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C09CA" w14:textId="5537D365" w:rsidR="00F83A93" w:rsidRPr="0052548E" w:rsidRDefault="00F83A93" w:rsidP="002C6F7D">
      <w:pPr>
        <w:tabs>
          <w:tab w:val="center" w:pos="4536"/>
          <w:tab w:val="right" w:pos="7938"/>
          <w:tab w:val="right" w:pos="9639"/>
        </w:tabs>
        <w:spacing w:after="0"/>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sidR="00536BB2">
        <w:rPr>
          <w:rFonts w:ascii="Arial" w:hAnsi="Arial" w:cs="Arial"/>
          <w:b/>
          <w:bCs/>
          <w:sz w:val="28"/>
        </w:rPr>
        <w:tab/>
      </w:r>
      <w:r w:rsidR="00F45D1E" w:rsidRPr="00F45D1E">
        <w:rPr>
          <w:rFonts w:ascii="Arial" w:hAnsi="Arial" w:cs="Arial"/>
          <w:b/>
          <w:bCs/>
          <w:sz w:val="28"/>
        </w:rPr>
        <w:t>R1-1804623</w:t>
      </w:r>
    </w:p>
    <w:p w14:paraId="19B05BFB" w14:textId="52F1D593" w:rsidR="00F83A93" w:rsidRPr="009513AC" w:rsidRDefault="00F83A93" w:rsidP="002C6F7D">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Sanya, </w:t>
      </w:r>
      <w:r w:rsidR="0034223E">
        <w:rPr>
          <w:rFonts w:ascii="Arial" w:eastAsia="MS Mincho" w:hAnsi="Arial" w:cs="Arial"/>
          <w:b/>
          <w:bCs/>
          <w:sz w:val="28"/>
          <w:lang w:eastAsia="ja-JP"/>
        </w:rPr>
        <w:t xml:space="preserve">P.R. </w:t>
      </w:r>
      <w:r>
        <w:rPr>
          <w:rFonts w:ascii="Arial" w:eastAsia="MS Mincho" w:hAnsi="Arial" w:cs="Arial"/>
          <w:b/>
          <w:bCs/>
          <w:sz w:val="28"/>
          <w:lang w:eastAsia="ja-JP"/>
        </w:rPr>
        <w:t>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146076C4" w14:textId="2316B3D1" w:rsidR="000F77CF" w:rsidRPr="00F83A93" w:rsidRDefault="000F77CF" w:rsidP="000F77CF">
      <w:pPr>
        <w:pStyle w:val="CRCoverPage"/>
        <w:rPr>
          <w:rFonts w:cs="Arial"/>
          <w:b/>
          <w:bCs/>
          <w:sz w:val="24"/>
        </w:rPr>
      </w:pPr>
    </w:p>
    <w:p w14:paraId="53B8F1CD" w14:textId="5E48C1EE" w:rsidR="000F77CF" w:rsidRPr="00BB3A4E" w:rsidRDefault="000F77CF" w:rsidP="00500D04">
      <w:pPr>
        <w:pStyle w:val="CRCoverPage"/>
        <w:spacing w:after="0"/>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D97AF8">
        <w:rPr>
          <w:rFonts w:cs="Arial"/>
          <w:b/>
          <w:bCs/>
          <w:sz w:val="24"/>
          <w:lang w:val="en-US"/>
        </w:rPr>
        <w:t xml:space="preserve">7.7.3 </w:t>
      </w:r>
    </w:p>
    <w:p w14:paraId="792132F1" w14:textId="2C27E55D" w:rsidR="000F77CF" w:rsidRPr="00BB3A4E" w:rsidRDefault="000F77CF" w:rsidP="00500D04">
      <w:pPr>
        <w:tabs>
          <w:tab w:val="left" w:pos="1985"/>
        </w:tabs>
        <w:spacing w:after="0"/>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t>Nokia, Nokia Shanghai Bell</w:t>
      </w:r>
    </w:p>
    <w:p w14:paraId="09AC2FDB" w14:textId="27D4F397" w:rsidR="000F77CF" w:rsidRPr="00BB3A4E" w:rsidRDefault="000F77CF" w:rsidP="00500D04">
      <w:pPr>
        <w:spacing w:after="0"/>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3911A4">
        <w:rPr>
          <w:rFonts w:ascii="Arial" w:hAnsi="Arial" w:cs="Arial"/>
          <w:b/>
          <w:bCs/>
          <w:sz w:val="24"/>
          <w:lang w:val="en-US"/>
        </w:rPr>
        <w:t>RRM</w:t>
      </w:r>
      <w:r w:rsidR="00DD40FC">
        <w:rPr>
          <w:rFonts w:ascii="Arial" w:hAnsi="Arial" w:cs="Arial"/>
          <w:b/>
          <w:bCs/>
          <w:sz w:val="24"/>
          <w:lang w:val="en-US"/>
        </w:rPr>
        <w:t xml:space="preserve"> measurements in presence of</w:t>
      </w:r>
      <w:r w:rsidR="004379B1">
        <w:rPr>
          <w:rFonts w:ascii="Arial" w:hAnsi="Arial" w:cs="Arial"/>
          <w:b/>
          <w:bCs/>
          <w:sz w:val="24"/>
          <w:lang w:val="en-US"/>
        </w:rPr>
        <w:t xml:space="preserve"> IAB</w:t>
      </w:r>
      <w:r>
        <w:rPr>
          <w:rFonts w:ascii="Arial" w:hAnsi="Arial" w:cs="Arial"/>
          <w:b/>
          <w:bCs/>
          <w:sz w:val="24"/>
          <w:lang w:val="en-US"/>
        </w:rPr>
        <w:t xml:space="preserve"> </w:t>
      </w:r>
    </w:p>
    <w:p w14:paraId="4C527D37" w14:textId="2C942433" w:rsidR="00500D04" w:rsidRPr="00BB3A4E" w:rsidRDefault="000F77CF" w:rsidP="00500D04">
      <w:pPr>
        <w:spacing w:after="0"/>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t>Discussion</w:t>
      </w:r>
    </w:p>
    <w:p w14:paraId="03536D4B" w14:textId="4FE938FE" w:rsidR="000F77CF" w:rsidRPr="00BB3A4E" w:rsidRDefault="000F77CF" w:rsidP="00F45D1E">
      <w:pPr>
        <w:pStyle w:val="Heading1"/>
        <w:pBdr>
          <w:top w:val="single" w:sz="12" w:space="2" w:color="auto"/>
        </w:pBdr>
        <w:rPr>
          <w:lang w:val="en-US"/>
        </w:rPr>
      </w:pPr>
      <w:r w:rsidRPr="00BB3A4E">
        <w:rPr>
          <w:lang w:val="en-US"/>
        </w:rPr>
        <w:t>1</w:t>
      </w:r>
      <w:r w:rsidRPr="00BB3A4E">
        <w:rPr>
          <w:lang w:val="en-US"/>
        </w:rPr>
        <w:tab/>
        <w:t>Introduction</w:t>
      </w:r>
    </w:p>
    <w:p w14:paraId="180016D3" w14:textId="03D45CF2" w:rsidR="00360C21" w:rsidRPr="00536BB2" w:rsidRDefault="00360C21" w:rsidP="002C6F7D">
      <w:pPr>
        <w:jc w:val="both"/>
        <w:rPr>
          <w:bCs/>
          <w:lang w:val="en-US"/>
        </w:rPr>
      </w:pPr>
      <w:r w:rsidRPr="00536BB2">
        <w:rPr>
          <w:bCs/>
          <w:lang w:val="en-US"/>
        </w:rPr>
        <w:t>This</w:t>
      </w:r>
      <w:r w:rsidR="00BA4452">
        <w:rPr>
          <w:bCs/>
          <w:lang w:val="en-US"/>
        </w:rPr>
        <w:t xml:space="preserve"> </w:t>
      </w:r>
      <w:r w:rsidRPr="00536BB2">
        <w:rPr>
          <w:bCs/>
          <w:lang w:val="en-US"/>
        </w:rPr>
        <w:t>docume</w:t>
      </w:r>
      <w:r w:rsidR="00D942B0">
        <w:rPr>
          <w:bCs/>
          <w:lang w:val="en-US"/>
        </w:rPr>
        <w:t>nt</w:t>
      </w:r>
      <w:r w:rsidR="009D6FAA" w:rsidRPr="00536BB2">
        <w:rPr>
          <w:bCs/>
          <w:lang w:val="en-US"/>
        </w:rPr>
        <w:t xml:space="preserve"> is related to the following</w:t>
      </w:r>
      <w:r w:rsidRPr="00536BB2">
        <w:rPr>
          <w:bCs/>
          <w:lang w:val="en-US"/>
        </w:rPr>
        <w:t xml:space="preserve"> objective of the </w:t>
      </w:r>
      <w:r w:rsidR="005440BD" w:rsidRPr="00536BB2">
        <w:rPr>
          <w:bCs/>
          <w:lang w:val="en-US"/>
        </w:rPr>
        <w:t xml:space="preserve">Rel-15 </w:t>
      </w:r>
      <w:r w:rsidRPr="00536BB2">
        <w:rPr>
          <w:bCs/>
          <w:lang w:val="en-US"/>
        </w:rPr>
        <w:t xml:space="preserve">study item </w:t>
      </w:r>
      <w:r w:rsidR="006413EC" w:rsidRPr="00536BB2">
        <w:rPr>
          <w:bCs/>
          <w:lang w:val="en-US"/>
        </w:rPr>
        <w:t>on IAB</w:t>
      </w:r>
      <w:r w:rsidR="00F45D1E" w:rsidRPr="00536BB2">
        <w:rPr>
          <w:bCs/>
          <w:lang w:val="en-US"/>
        </w:rPr>
        <w:t xml:space="preserve"> </w:t>
      </w:r>
      <w:r w:rsidRPr="00536BB2">
        <w:rPr>
          <w:bCs/>
          <w:lang w:val="en-US"/>
        </w:rPr>
        <w:t>[1]:</w:t>
      </w:r>
    </w:p>
    <w:p w14:paraId="24016BCE" w14:textId="67E45DF8" w:rsidR="00360C21" w:rsidRPr="00536BB2" w:rsidRDefault="00360C21" w:rsidP="008D23F5">
      <w:pPr>
        <w:pStyle w:val="maintext"/>
        <w:numPr>
          <w:ilvl w:val="0"/>
          <w:numId w:val="11"/>
        </w:numPr>
        <w:spacing w:line="240" w:lineRule="auto"/>
        <w:ind w:firstLineChars="0"/>
        <w:rPr>
          <w:rFonts w:ascii="Times New Roman" w:eastAsia="Times New Roman" w:hAnsi="Times New Roman" w:cs="Times New Roman"/>
          <w:i/>
          <w:lang w:eastAsia="en-US"/>
        </w:rPr>
      </w:pPr>
      <w:r w:rsidRPr="00536BB2">
        <w:rPr>
          <w:rFonts w:ascii="Times New Roman" w:eastAsia="Times New Roman" w:hAnsi="Times New Roman" w:cs="Times New Roman"/>
          <w:i/>
          <w:lang w:eastAsia="en-US"/>
        </w:rPr>
        <w:t>Route selection and optimization [RAN2, RAN1, RAN3], e.g.</w:t>
      </w:r>
    </w:p>
    <w:p w14:paraId="659183BF" w14:textId="543777D5" w:rsidR="00360C21" w:rsidRPr="00536BB2" w:rsidRDefault="00360C21" w:rsidP="002C6F7D">
      <w:pPr>
        <w:numPr>
          <w:ilvl w:val="1"/>
          <w:numId w:val="11"/>
        </w:numPr>
        <w:autoSpaceDN w:val="0"/>
        <w:spacing w:after="0"/>
        <w:jc w:val="both"/>
        <w:rPr>
          <w:i/>
        </w:rPr>
      </w:pPr>
      <w:r w:rsidRPr="00536BB2">
        <w:rPr>
          <w:rFonts w:eastAsia="MS Mincho"/>
          <w:i/>
          <w:lang w:eastAsia="ja-JP"/>
        </w:rPr>
        <w:t>Mechanisms for discovery and management of backhaul links for TRPs with integrated backhaul and access functionalities</w:t>
      </w:r>
    </w:p>
    <w:p w14:paraId="1A7812ED" w14:textId="77777777" w:rsidR="00360C21" w:rsidRPr="00536BB2" w:rsidRDefault="00360C21" w:rsidP="008D23F5">
      <w:pPr>
        <w:pStyle w:val="maintext"/>
        <w:numPr>
          <w:ilvl w:val="1"/>
          <w:numId w:val="11"/>
        </w:numPr>
        <w:spacing w:line="240" w:lineRule="auto"/>
        <w:ind w:firstLineChars="0"/>
        <w:rPr>
          <w:rFonts w:ascii="Times New Roman" w:eastAsia="Times New Roman" w:hAnsi="Times New Roman" w:cs="Times New Roman"/>
          <w:i/>
          <w:lang w:eastAsia="en-US"/>
        </w:rPr>
      </w:pPr>
      <w:r w:rsidRPr="00536BB2">
        <w:rPr>
          <w:rFonts w:ascii="Times New Roman" w:eastAsia="Times New Roman" w:hAnsi="Times New Roman" w:cs="Times New Roman"/>
          <w:i/>
          <w:lang w:eastAsia="en-US"/>
        </w:rPr>
        <w:t>RAN-based mechanisms to support dynamic route selection (potentially without core network involvement) to accommodate short-term blocking and transmission of latency-sensitive traffic across backhaul links</w:t>
      </w:r>
    </w:p>
    <w:p w14:paraId="0B7ACE17" w14:textId="407B4A89" w:rsidR="00360C21" w:rsidRPr="00536BB2" w:rsidRDefault="00360C21" w:rsidP="008D23F5">
      <w:pPr>
        <w:pStyle w:val="maintext"/>
        <w:numPr>
          <w:ilvl w:val="1"/>
          <w:numId w:val="11"/>
        </w:numPr>
        <w:spacing w:line="240" w:lineRule="auto"/>
        <w:ind w:firstLineChars="0"/>
        <w:rPr>
          <w:rFonts w:ascii="Times New Roman" w:eastAsia="Times New Roman" w:hAnsi="Times New Roman" w:cs="Times New Roman"/>
          <w:i/>
          <w:lang w:eastAsia="en-US"/>
        </w:rPr>
      </w:pPr>
      <w:r w:rsidRPr="00536BB2">
        <w:rPr>
          <w:rFonts w:ascii="Times New Roman" w:eastAsia="Times New Roman" w:hAnsi="Times New Roman" w:cs="Times New Roman"/>
          <w:i/>
          <w:lang w:eastAsia="en-US"/>
        </w:rPr>
        <w:t>Evaluate the benefit of resource allocation/route management coordination across multiple nodes, for end-to-end route selection and optimization.</w:t>
      </w:r>
    </w:p>
    <w:p w14:paraId="455BF57A" w14:textId="17060DB1" w:rsidR="00187F7B" w:rsidRPr="00536BB2" w:rsidRDefault="006D7339">
      <w:pPr>
        <w:jc w:val="both"/>
        <w:rPr>
          <w:lang w:eastAsia="zh-CN"/>
        </w:rPr>
      </w:pPr>
      <w:r w:rsidRPr="00536BB2">
        <w:rPr>
          <w:lang w:eastAsia="zh-CN"/>
        </w:rPr>
        <w:t>In this document</w:t>
      </w:r>
      <w:r w:rsidR="00AC128D" w:rsidRPr="00536BB2">
        <w:rPr>
          <w:lang w:eastAsia="zh-CN"/>
        </w:rPr>
        <w:t xml:space="preserve"> we </w:t>
      </w:r>
      <w:r w:rsidRPr="00536BB2">
        <w:rPr>
          <w:lang w:eastAsia="zh-CN"/>
        </w:rPr>
        <w:t xml:space="preserve">concentrate on the situation </w:t>
      </w:r>
      <w:r w:rsidR="00F45D1E" w:rsidRPr="00536BB2">
        <w:rPr>
          <w:lang w:eastAsia="zh-CN"/>
        </w:rPr>
        <w:t>that</w:t>
      </w:r>
      <w:r w:rsidR="00B473F5" w:rsidRPr="00536BB2">
        <w:rPr>
          <w:lang w:eastAsia="zh-CN"/>
        </w:rPr>
        <w:t xml:space="preserve"> </w:t>
      </w:r>
      <w:r w:rsidRPr="00536BB2">
        <w:rPr>
          <w:lang w:eastAsia="zh-CN"/>
        </w:rPr>
        <w:t xml:space="preserve">there is already a </w:t>
      </w:r>
      <w:r w:rsidR="00CA7B39">
        <w:rPr>
          <w:lang w:eastAsia="zh-CN"/>
        </w:rPr>
        <w:t>backhaul (</w:t>
      </w:r>
      <w:r w:rsidRPr="00536BB2">
        <w:rPr>
          <w:lang w:eastAsia="zh-CN"/>
        </w:rPr>
        <w:t>BH</w:t>
      </w:r>
      <w:r w:rsidR="00CA7B39">
        <w:rPr>
          <w:lang w:eastAsia="zh-CN"/>
        </w:rPr>
        <w:t>)</w:t>
      </w:r>
      <w:r w:rsidRPr="00536BB2">
        <w:rPr>
          <w:lang w:eastAsia="zh-CN"/>
        </w:rPr>
        <w:t xml:space="preserve"> connection running</w:t>
      </w:r>
      <w:r w:rsidR="00AC128D" w:rsidRPr="00536BB2">
        <w:rPr>
          <w:lang w:eastAsia="zh-CN"/>
        </w:rPr>
        <w:t>. Setting up the connection could mean other kind of measurements.</w:t>
      </w:r>
      <w:r w:rsidR="00F45D1E" w:rsidRPr="00536BB2">
        <w:rPr>
          <w:lang w:eastAsia="zh-CN"/>
        </w:rPr>
        <w:t xml:space="preserve"> </w:t>
      </w:r>
      <w:r w:rsidR="00AC128D" w:rsidRPr="00536BB2">
        <w:rPr>
          <w:lang w:eastAsia="zh-CN"/>
        </w:rPr>
        <w:t>T</w:t>
      </w:r>
      <w:r w:rsidR="00887A18" w:rsidRPr="00536BB2">
        <w:rPr>
          <w:lang w:eastAsia="zh-CN"/>
        </w:rPr>
        <w:t xml:space="preserve">wo aspects </w:t>
      </w:r>
      <w:r w:rsidR="00AC128D" w:rsidRPr="00536BB2">
        <w:rPr>
          <w:lang w:eastAsia="zh-CN"/>
        </w:rPr>
        <w:t>are</w:t>
      </w:r>
      <w:r w:rsidR="00887A18" w:rsidRPr="00536BB2">
        <w:rPr>
          <w:lang w:eastAsia="zh-CN"/>
        </w:rPr>
        <w:t xml:space="preserve"> considered: </w:t>
      </w:r>
    </w:p>
    <w:p w14:paraId="68080889" w14:textId="183A56B0" w:rsidR="00187F7B" w:rsidRPr="00536BB2" w:rsidRDefault="00887A18">
      <w:pPr>
        <w:ind w:firstLine="284"/>
        <w:jc w:val="both"/>
        <w:rPr>
          <w:lang w:eastAsia="zh-CN"/>
        </w:rPr>
      </w:pPr>
      <w:r w:rsidRPr="00536BB2">
        <w:rPr>
          <w:lang w:eastAsia="zh-CN"/>
        </w:rPr>
        <w:t>(1)</w:t>
      </w:r>
      <w:r w:rsidR="00AC128D" w:rsidRPr="00536BB2">
        <w:rPr>
          <w:lang w:eastAsia="zh-CN"/>
        </w:rPr>
        <w:t xml:space="preserve"> We assume that IAB is completely transparent to UEs, </w:t>
      </w:r>
      <w:r w:rsidR="0067353C" w:rsidRPr="00536BB2">
        <w:rPr>
          <w:lang w:eastAsia="zh-CN"/>
        </w:rPr>
        <w:t xml:space="preserve">and </w:t>
      </w:r>
      <w:r w:rsidR="00AC128D" w:rsidRPr="00536BB2">
        <w:rPr>
          <w:lang w:eastAsia="zh-CN"/>
        </w:rPr>
        <w:t>therefore</w:t>
      </w:r>
      <w:r w:rsidR="000A1204" w:rsidRPr="00536BB2">
        <w:rPr>
          <w:lang w:eastAsia="zh-CN"/>
        </w:rPr>
        <w:t xml:space="preserve"> </w:t>
      </w:r>
      <w:r w:rsidR="00AC128D" w:rsidRPr="00536BB2">
        <w:rPr>
          <w:lang w:eastAsia="zh-CN"/>
        </w:rPr>
        <w:t>a</w:t>
      </w:r>
      <w:r w:rsidR="0067353C" w:rsidRPr="00536BB2">
        <w:rPr>
          <w:lang w:eastAsia="zh-CN"/>
        </w:rPr>
        <w:t>n</w:t>
      </w:r>
      <w:r w:rsidR="00AC128D" w:rsidRPr="00536BB2">
        <w:rPr>
          <w:lang w:eastAsia="zh-CN"/>
        </w:rPr>
        <w:t xml:space="preserve"> </w:t>
      </w:r>
      <w:r w:rsidR="000A1204" w:rsidRPr="00536BB2">
        <w:rPr>
          <w:lang w:eastAsia="zh-CN"/>
        </w:rPr>
        <w:t xml:space="preserve">IAB </w:t>
      </w:r>
      <w:r w:rsidR="00AC128D" w:rsidRPr="00536BB2">
        <w:rPr>
          <w:lang w:eastAsia="zh-CN"/>
        </w:rPr>
        <w:t>N</w:t>
      </w:r>
      <w:r w:rsidR="000A1204" w:rsidRPr="00536BB2">
        <w:rPr>
          <w:lang w:eastAsia="zh-CN"/>
        </w:rPr>
        <w:t xml:space="preserve">ode should transmit </w:t>
      </w:r>
      <w:r w:rsidRPr="00536BB2">
        <w:rPr>
          <w:lang w:eastAsia="zh-CN"/>
        </w:rPr>
        <w:t>SSB and CSI-RS for UE mobility like without IAB</w:t>
      </w:r>
      <w:r w:rsidR="00AC128D" w:rsidRPr="00536BB2">
        <w:rPr>
          <w:lang w:eastAsia="zh-CN"/>
        </w:rPr>
        <w:t xml:space="preserve">. </w:t>
      </w:r>
      <w:r w:rsidRPr="00536BB2">
        <w:rPr>
          <w:lang w:eastAsia="zh-CN"/>
        </w:rPr>
        <w:t xml:space="preserve"> </w:t>
      </w:r>
    </w:p>
    <w:p w14:paraId="2C65F462" w14:textId="0E019FE5" w:rsidR="006D7339" w:rsidRDefault="00887A18">
      <w:pPr>
        <w:ind w:firstLine="284"/>
        <w:jc w:val="both"/>
        <w:rPr>
          <w:lang w:eastAsia="zh-CN"/>
        </w:rPr>
      </w:pPr>
      <w:r w:rsidRPr="00536BB2">
        <w:rPr>
          <w:lang w:eastAsia="zh-CN"/>
        </w:rPr>
        <w:t xml:space="preserve">(2) </w:t>
      </w:r>
      <w:r w:rsidR="00B07E2E" w:rsidRPr="00536BB2">
        <w:rPr>
          <w:lang w:eastAsia="zh-CN"/>
        </w:rPr>
        <w:t xml:space="preserve">IAB nodes should measure </w:t>
      </w:r>
      <w:r w:rsidR="00AC128D" w:rsidRPr="00536BB2">
        <w:rPr>
          <w:lang w:eastAsia="zh-CN"/>
        </w:rPr>
        <w:t xml:space="preserve">the </w:t>
      </w:r>
      <w:r w:rsidR="00B07E2E" w:rsidRPr="00536BB2">
        <w:rPr>
          <w:lang w:eastAsia="zh-CN"/>
        </w:rPr>
        <w:t xml:space="preserve">quality </w:t>
      </w:r>
      <w:r w:rsidR="00AC128D" w:rsidRPr="00536BB2">
        <w:rPr>
          <w:lang w:eastAsia="zh-CN"/>
        </w:rPr>
        <w:t xml:space="preserve">of links </w:t>
      </w:r>
      <w:r w:rsidR="00B07E2E" w:rsidRPr="00536BB2">
        <w:rPr>
          <w:lang w:eastAsia="zh-CN"/>
        </w:rPr>
        <w:t xml:space="preserve">to neighboring IAB </w:t>
      </w:r>
      <w:r w:rsidR="00AC128D" w:rsidRPr="00536BB2">
        <w:rPr>
          <w:lang w:eastAsia="zh-CN"/>
        </w:rPr>
        <w:t>N</w:t>
      </w:r>
      <w:r w:rsidR="00B07E2E" w:rsidRPr="00536BB2">
        <w:rPr>
          <w:lang w:eastAsia="zh-CN"/>
        </w:rPr>
        <w:t>odes and D</w:t>
      </w:r>
      <w:r w:rsidR="00AC128D" w:rsidRPr="00536BB2">
        <w:rPr>
          <w:lang w:eastAsia="zh-CN"/>
        </w:rPr>
        <w:t>onors</w:t>
      </w:r>
      <w:r w:rsidR="006201CC" w:rsidRPr="00536BB2">
        <w:rPr>
          <w:lang w:eastAsia="zh-CN"/>
        </w:rPr>
        <w:t>.</w:t>
      </w:r>
    </w:p>
    <w:p w14:paraId="6F5FC019" w14:textId="77777777" w:rsidR="00500D04" w:rsidRPr="00536BB2" w:rsidRDefault="00500D04">
      <w:pPr>
        <w:ind w:firstLine="284"/>
        <w:jc w:val="both"/>
        <w:rPr>
          <w:lang w:eastAsia="zh-CN"/>
        </w:rPr>
      </w:pPr>
    </w:p>
    <w:p w14:paraId="3823E5DA" w14:textId="701A5437" w:rsidR="000F77CF" w:rsidRPr="005E06BF" w:rsidRDefault="000F77CF" w:rsidP="005E06BF">
      <w:pPr>
        <w:pStyle w:val="Heading1"/>
        <w:rPr>
          <w:color w:val="000000"/>
          <w:lang w:val="en-US"/>
        </w:rPr>
      </w:pPr>
      <w:r>
        <w:rPr>
          <w:color w:val="000000"/>
          <w:lang w:val="en-US"/>
        </w:rPr>
        <w:t>2</w:t>
      </w:r>
      <w:r w:rsidR="007C0ADD">
        <w:rPr>
          <w:color w:val="000000"/>
          <w:lang w:val="en-US"/>
        </w:rPr>
        <w:tab/>
      </w:r>
      <w:r w:rsidR="005E06BF">
        <w:rPr>
          <w:color w:val="000000"/>
          <w:lang w:val="en-US"/>
        </w:rPr>
        <w:t>Discussion</w:t>
      </w:r>
    </w:p>
    <w:p w14:paraId="47D68F2D" w14:textId="1C7C171D" w:rsidR="00860582" w:rsidRPr="00860582" w:rsidRDefault="005E06BF" w:rsidP="00860582">
      <w:pPr>
        <w:pStyle w:val="Heading2"/>
        <w:rPr>
          <w:lang w:val="en-US"/>
        </w:rPr>
      </w:pPr>
      <w:r>
        <w:rPr>
          <w:lang w:val="en-US"/>
        </w:rPr>
        <w:t xml:space="preserve">2.1 </w:t>
      </w:r>
      <w:r w:rsidR="002C6F7D">
        <w:rPr>
          <w:lang w:val="en-US"/>
        </w:rPr>
        <w:tab/>
      </w:r>
      <w:r w:rsidR="00D97AF8">
        <w:rPr>
          <w:lang w:val="en-US"/>
        </w:rPr>
        <w:t>Measurements for access and BH</w:t>
      </w:r>
      <w:r w:rsidR="00224F2D">
        <w:rPr>
          <w:lang w:val="en-US"/>
        </w:rPr>
        <w:t xml:space="preserve"> </w:t>
      </w:r>
    </w:p>
    <w:p w14:paraId="45BB1D01" w14:textId="45B941A8" w:rsidR="002517DC" w:rsidRPr="00536BB2" w:rsidRDefault="00E33C01" w:rsidP="002C6F7D">
      <w:pPr>
        <w:jc w:val="both"/>
        <w:rPr>
          <w:lang w:val="en-US"/>
        </w:rPr>
      </w:pPr>
      <w:r w:rsidRPr="00536BB2">
        <w:rPr>
          <w:lang w:val="en-US"/>
        </w:rPr>
        <w:t>Besides maintaining link(s) for active BH data transmission</w:t>
      </w:r>
      <w:r w:rsidR="002517DC" w:rsidRPr="00536BB2">
        <w:rPr>
          <w:lang w:val="en-US"/>
        </w:rPr>
        <w:t>,</w:t>
      </w:r>
      <w:r w:rsidRPr="00536BB2">
        <w:rPr>
          <w:lang w:val="en-US"/>
        </w:rPr>
        <w:t xml:space="preserve"> an </w:t>
      </w:r>
      <w:r w:rsidR="009F30D4" w:rsidRPr="00536BB2">
        <w:rPr>
          <w:lang w:val="en-US"/>
        </w:rPr>
        <w:t>IAB N</w:t>
      </w:r>
      <w:r w:rsidR="00860582" w:rsidRPr="00536BB2">
        <w:rPr>
          <w:lang w:val="en-US"/>
        </w:rPr>
        <w:t>o</w:t>
      </w:r>
      <w:r w:rsidRPr="00536BB2">
        <w:rPr>
          <w:lang w:val="en-US"/>
        </w:rPr>
        <w:t xml:space="preserve">de must support preparations for </w:t>
      </w:r>
      <w:r w:rsidR="002B7D41" w:rsidRPr="00536BB2">
        <w:rPr>
          <w:lang w:val="en-US"/>
        </w:rPr>
        <w:t>topology</w:t>
      </w:r>
      <w:r w:rsidRPr="00536BB2">
        <w:rPr>
          <w:lang w:val="en-US"/>
        </w:rPr>
        <w:t xml:space="preserve"> changes. This necessarily includes at least moni</w:t>
      </w:r>
      <w:r w:rsidR="00664B01" w:rsidRPr="00536BB2">
        <w:rPr>
          <w:lang w:val="en-US"/>
        </w:rPr>
        <w:t>toring the quality of some candidate links</w:t>
      </w:r>
      <w:r w:rsidR="003103D2" w:rsidRPr="00536BB2">
        <w:rPr>
          <w:lang w:val="en-US"/>
        </w:rPr>
        <w:t>, as depicted in Figure 1</w:t>
      </w:r>
      <w:r w:rsidR="00664B01" w:rsidRPr="00536BB2">
        <w:rPr>
          <w:lang w:val="en-US"/>
        </w:rPr>
        <w:t xml:space="preserve">. </w:t>
      </w:r>
      <w:r w:rsidR="002517DC" w:rsidRPr="00536BB2">
        <w:t xml:space="preserve">Figure 1 illustrates a simple scenario with two Donor nodes having BH connection to IAB nodes. In addition to established BH connections, an IAB Node should be able to monitor </w:t>
      </w:r>
      <w:r w:rsidR="000D0676" w:rsidRPr="00536BB2">
        <w:t>other neighboring nodes (Donors and</w:t>
      </w:r>
      <w:r w:rsidR="002517DC" w:rsidRPr="00536BB2">
        <w:t xml:space="preserve"> </w:t>
      </w:r>
      <w:r w:rsidR="000D0676" w:rsidRPr="00536BB2">
        <w:t xml:space="preserve">other </w:t>
      </w:r>
      <w:r w:rsidR="00050741" w:rsidRPr="00536BB2">
        <w:t>IAB N</w:t>
      </w:r>
      <w:r w:rsidR="002517DC" w:rsidRPr="00536BB2">
        <w:t>odes) being candidates for the BH connection in case the radio conditions are changed, e.g. due to blocking of a link, or if congestion over a link</w:t>
      </w:r>
      <w:r w:rsidR="00CB05F8" w:rsidRPr="00536BB2">
        <w:t xml:space="preserve"> </w:t>
      </w:r>
      <w:r w:rsidR="002517DC" w:rsidRPr="00536BB2">
        <w:t xml:space="preserve">would </w:t>
      </w:r>
      <w:r w:rsidR="00CB05F8" w:rsidRPr="00536BB2">
        <w:t xml:space="preserve">trigger </w:t>
      </w:r>
      <w:r w:rsidR="002517DC" w:rsidRPr="00536BB2">
        <w:t>the BH link change to a new serving node. IAB nodes should not only find the neighbour nodes but also be able to have sufficient measurements to have up-to-date information about the radio conditions to the candidate nodes. In the scenario of Figure 1, t</w:t>
      </w:r>
      <w:r w:rsidR="00050741" w:rsidRPr="00536BB2">
        <w:t>he Donor 1</w:t>
      </w:r>
      <w:r w:rsidR="002517DC" w:rsidRPr="00536BB2">
        <w:t xml:space="preserve"> has t</w:t>
      </w:r>
      <w:r w:rsidR="001C07AC" w:rsidRPr="00536BB2">
        <w:t>w</w:t>
      </w:r>
      <w:r w:rsidR="002517DC" w:rsidRPr="00536BB2">
        <w:t xml:space="preserve">o subtending IAB </w:t>
      </w:r>
      <w:r w:rsidR="00050741" w:rsidRPr="00536BB2">
        <w:t>N</w:t>
      </w:r>
      <w:r w:rsidR="002517DC" w:rsidRPr="00536BB2">
        <w:t>odes (two hop case) whereas Donor 2 has only one (single hop). Solid arrow</w:t>
      </w:r>
      <w:r w:rsidR="00083C37">
        <w:t>s</w:t>
      </w:r>
      <w:r w:rsidR="002517DC" w:rsidRPr="00536BB2">
        <w:t xml:space="preserve"> indicate established and active BH conn</w:t>
      </w:r>
      <w:r w:rsidR="001C07AC" w:rsidRPr="00536BB2">
        <w:t>ecti</w:t>
      </w:r>
      <w:r w:rsidR="00083C37">
        <w:t>ons and dashed (grey) arrows</w:t>
      </w:r>
      <w:r w:rsidR="002517DC" w:rsidRPr="00536BB2">
        <w:t xml:space="preserve"> indicate links to be measured. </w:t>
      </w:r>
    </w:p>
    <w:p w14:paraId="631D8ED8" w14:textId="5B882B64" w:rsidR="002517DC" w:rsidRPr="00536BB2" w:rsidRDefault="000D0676" w:rsidP="002C6F7D">
      <w:pPr>
        <w:jc w:val="both"/>
        <w:rPr>
          <w:lang w:val="en-US"/>
        </w:rPr>
      </w:pPr>
      <w:r w:rsidRPr="00536BB2">
        <w:rPr>
          <w:lang w:val="en-US"/>
        </w:rPr>
        <w:t xml:space="preserve">Figure 1 shows </w:t>
      </w:r>
      <w:r w:rsidR="001C07AC" w:rsidRPr="00536BB2">
        <w:rPr>
          <w:lang w:val="en-US"/>
        </w:rPr>
        <w:t>also a U</w:t>
      </w:r>
      <w:r w:rsidRPr="00536BB2">
        <w:rPr>
          <w:lang w:val="en-US"/>
        </w:rPr>
        <w:t>E with</w:t>
      </w:r>
      <w:r w:rsidR="001C07AC" w:rsidRPr="00536BB2">
        <w:rPr>
          <w:lang w:val="en-US"/>
        </w:rPr>
        <w:t xml:space="preserve"> an access connection</w:t>
      </w:r>
      <w:r w:rsidR="00083C37">
        <w:rPr>
          <w:lang w:val="en-US"/>
        </w:rPr>
        <w:t xml:space="preserve"> (solid arrow</w:t>
      </w:r>
      <w:r w:rsidR="005E667A" w:rsidRPr="00536BB2">
        <w:rPr>
          <w:lang w:val="en-US"/>
        </w:rPr>
        <w:t>)</w:t>
      </w:r>
      <w:r w:rsidR="001C07AC" w:rsidRPr="00536BB2">
        <w:rPr>
          <w:lang w:val="en-US"/>
        </w:rPr>
        <w:t xml:space="preserve"> </w:t>
      </w:r>
      <w:r w:rsidR="005E667A" w:rsidRPr="00536BB2">
        <w:rPr>
          <w:lang w:val="en-US"/>
        </w:rPr>
        <w:t xml:space="preserve">to an IAB Node </w:t>
      </w:r>
      <w:r w:rsidR="001C07AC" w:rsidRPr="00536BB2">
        <w:rPr>
          <w:lang w:val="en-US"/>
        </w:rPr>
        <w:t xml:space="preserve">and </w:t>
      </w:r>
      <w:r w:rsidRPr="00536BB2">
        <w:rPr>
          <w:lang w:val="en-US"/>
        </w:rPr>
        <w:t xml:space="preserve">mobility </w:t>
      </w:r>
      <w:r w:rsidR="005E667A" w:rsidRPr="00536BB2">
        <w:rPr>
          <w:lang w:val="en-US"/>
        </w:rPr>
        <w:t>measurements</w:t>
      </w:r>
      <w:r w:rsidR="001C07AC" w:rsidRPr="00536BB2">
        <w:rPr>
          <w:lang w:val="en-US"/>
        </w:rPr>
        <w:t xml:space="preserve"> </w:t>
      </w:r>
      <w:r w:rsidR="005B7100" w:rsidRPr="00536BB2">
        <w:rPr>
          <w:lang w:val="en-US"/>
        </w:rPr>
        <w:t xml:space="preserve">(dashed arrows) </w:t>
      </w:r>
      <w:r w:rsidRPr="00536BB2">
        <w:rPr>
          <w:lang w:val="en-US"/>
        </w:rPr>
        <w:t xml:space="preserve">on other neighboring </w:t>
      </w:r>
      <w:r w:rsidR="005B7100" w:rsidRPr="00536BB2">
        <w:rPr>
          <w:lang w:val="en-US"/>
        </w:rPr>
        <w:t>Nodes.  T</w:t>
      </w:r>
      <w:r w:rsidR="002517DC" w:rsidRPr="00536BB2">
        <w:rPr>
          <w:lang w:val="en-US"/>
        </w:rPr>
        <w:t xml:space="preserve">he IAB </w:t>
      </w:r>
      <w:r w:rsidR="00050741" w:rsidRPr="00536BB2">
        <w:rPr>
          <w:lang w:val="en-US"/>
        </w:rPr>
        <w:t>N</w:t>
      </w:r>
      <w:r w:rsidR="002517DC" w:rsidRPr="00536BB2">
        <w:rPr>
          <w:lang w:val="en-US"/>
        </w:rPr>
        <w:t xml:space="preserve">odes should appear like normal gNBs </w:t>
      </w:r>
      <w:r w:rsidR="005B7100" w:rsidRPr="00536BB2">
        <w:rPr>
          <w:lang w:val="en-US"/>
        </w:rPr>
        <w:t xml:space="preserve">to UEs, </w:t>
      </w:r>
      <w:r w:rsidR="002517DC" w:rsidRPr="00536BB2">
        <w:rPr>
          <w:lang w:val="en-US"/>
        </w:rPr>
        <w:t xml:space="preserve">and UE mobility </w:t>
      </w:r>
      <w:r w:rsidRPr="00536BB2">
        <w:rPr>
          <w:lang w:val="en-US"/>
        </w:rPr>
        <w:t>measurements</w:t>
      </w:r>
      <w:r w:rsidR="002517DC" w:rsidRPr="00536BB2">
        <w:rPr>
          <w:lang w:val="en-US"/>
        </w:rPr>
        <w:t xml:space="preserve"> should not be affected by IAB</w:t>
      </w:r>
      <w:r w:rsidR="00CB05F8" w:rsidRPr="00536BB2">
        <w:rPr>
          <w:lang w:val="en-US"/>
        </w:rPr>
        <w:t xml:space="preserve"> deployment</w:t>
      </w:r>
      <w:r w:rsidR="002517DC" w:rsidRPr="00536BB2">
        <w:rPr>
          <w:lang w:val="en-US"/>
        </w:rPr>
        <w:t>.</w:t>
      </w:r>
    </w:p>
    <w:p w14:paraId="0147D5C5" w14:textId="738CA82E" w:rsidR="006A11F8" w:rsidRPr="00536BB2" w:rsidRDefault="0076083D" w:rsidP="002C6F7D">
      <w:pPr>
        <w:jc w:val="both"/>
        <w:rPr>
          <w:lang w:val="en-US"/>
        </w:rPr>
      </w:pPr>
      <w:r w:rsidRPr="00536BB2">
        <w:rPr>
          <w:lang w:val="en-US"/>
        </w:rPr>
        <w:t>Q</w:t>
      </w:r>
      <w:r w:rsidR="002517DC" w:rsidRPr="00536BB2">
        <w:t>uestion</w:t>
      </w:r>
      <w:r w:rsidR="005B7100" w:rsidRPr="00536BB2">
        <w:t xml:space="preserve">s are </w:t>
      </w:r>
      <w:r w:rsidR="00B45578" w:rsidRPr="00536BB2">
        <w:t xml:space="preserve">now </w:t>
      </w:r>
      <w:r w:rsidR="005B7100" w:rsidRPr="00536BB2">
        <w:t>what</w:t>
      </w:r>
      <w:r w:rsidR="002517DC" w:rsidRPr="00536BB2">
        <w:t xml:space="preserve"> arrangement and configurations are needed to</w:t>
      </w:r>
      <w:r w:rsidR="005B7100" w:rsidRPr="00536BB2">
        <w:t xml:space="preserve"> (1)</w:t>
      </w:r>
      <w:r w:rsidR="002517DC" w:rsidRPr="00536BB2">
        <w:t xml:space="preserve"> enable</w:t>
      </w:r>
      <w:r w:rsidR="005B7100" w:rsidRPr="00536BB2">
        <w:t xml:space="preserve"> IAB Nodes’ measurements on other Nodes and (2) </w:t>
      </w:r>
      <w:r w:rsidR="00147DD3" w:rsidRPr="00536BB2">
        <w:t>if UE mobility measurements can be handled well enough despite IAB</w:t>
      </w:r>
      <w:r w:rsidR="002517DC" w:rsidRPr="00536BB2">
        <w:t>.</w:t>
      </w:r>
      <w:r w:rsidR="00147DD3" w:rsidRPr="00536BB2">
        <w:t xml:space="preserve"> </w:t>
      </w:r>
      <w:r w:rsidR="00147DD3" w:rsidRPr="00536BB2">
        <w:rPr>
          <w:lang w:val="en-US"/>
        </w:rPr>
        <w:t xml:space="preserve">IAB Nodes’ measurements should preferably </w:t>
      </w:r>
      <w:r w:rsidR="00664B01" w:rsidRPr="00536BB2">
        <w:rPr>
          <w:lang w:val="en-US"/>
        </w:rPr>
        <w:t xml:space="preserve">be </w:t>
      </w:r>
      <w:r w:rsidR="00CB05F8" w:rsidRPr="00536BB2">
        <w:rPr>
          <w:lang w:val="en-US"/>
        </w:rPr>
        <w:t xml:space="preserve">similar to </w:t>
      </w:r>
      <w:r w:rsidR="00664B01" w:rsidRPr="00536BB2">
        <w:rPr>
          <w:lang w:val="en-US"/>
        </w:rPr>
        <w:t>mobility measurements</w:t>
      </w:r>
      <w:r w:rsidR="00CB05F8" w:rsidRPr="00536BB2">
        <w:rPr>
          <w:lang w:val="en-US"/>
        </w:rPr>
        <w:t xml:space="preserve"> of an access UE</w:t>
      </w:r>
      <w:r w:rsidR="00147DD3" w:rsidRPr="00536BB2">
        <w:rPr>
          <w:lang w:val="en-US"/>
        </w:rPr>
        <w:t xml:space="preserve">. </w:t>
      </w:r>
      <w:r w:rsidR="00050741" w:rsidRPr="00536BB2">
        <w:rPr>
          <w:lang w:val="en-US"/>
        </w:rPr>
        <w:t xml:space="preserve">A </w:t>
      </w:r>
      <w:r w:rsidR="00147DD3" w:rsidRPr="00536BB2">
        <w:rPr>
          <w:lang w:val="en-US"/>
        </w:rPr>
        <w:t xml:space="preserve">difference </w:t>
      </w:r>
      <w:r w:rsidR="00050741" w:rsidRPr="00536BB2">
        <w:rPr>
          <w:lang w:val="en-US"/>
        </w:rPr>
        <w:t>is</w:t>
      </w:r>
      <w:r w:rsidR="00664B01" w:rsidRPr="00536BB2">
        <w:rPr>
          <w:lang w:val="en-US"/>
        </w:rPr>
        <w:t xml:space="preserve"> that IAB measurement</w:t>
      </w:r>
      <w:r w:rsidR="00147DD3" w:rsidRPr="00536BB2">
        <w:rPr>
          <w:lang w:val="en-US"/>
        </w:rPr>
        <w:t>s could</w:t>
      </w:r>
      <w:r w:rsidR="00664B01" w:rsidRPr="00536BB2">
        <w:rPr>
          <w:lang w:val="en-US"/>
        </w:rPr>
        <w:t xml:space="preserve"> be bidirectional</w:t>
      </w:r>
      <w:r w:rsidR="00147DD3" w:rsidRPr="00536BB2">
        <w:rPr>
          <w:lang w:val="en-US"/>
        </w:rPr>
        <w:t>.</w:t>
      </w:r>
      <w:r w:rsidR="00CF72F6" w:rsidRPr="00536BB2">
        <w:rPr>
          <w:lang w:val="en-US"/>
        </w:rPr>
        <w:t xml:space="preserve">  </w:t>
      </w:r>
      <w:r w:rsidR="004304E1" w:rsidRPr="00536BB2">
        <w:rPr>
          <w:lang w:val="en-US"/>
        </w:rPr>
        <w:t xml:space="preserve"> </w:t>
      </w:r>
      <w:r w:rsidR="00664B01" w:rsidRPr="00536BB2">
        <w:rPr>
          <w:lang w:val="en-US"/>
        </w:rPr>
        <w:t xml:space="preserve"> </w:t>
      </w:r>
      <w:r w:rsidR="006A11F8" w:rsidRPr="00536BB2">
        <w:rPr>
          <w:lang w:val="en-US"/>
        </w:rPr>
        <w:t xml:space="preserve"> </w:t>
      </w:r>
    </w:p>
    <w:p w14:paraId="17DB635C" w14:textId="599C4D46" w:rsidR="005E06BF" w:rsidRPr="00536BB2" w:rsidRDefault="00050741" w:rsidP="00536BB2">
      <w:pPr>
        <w:jc w:val="center"/>
      </w:pPr>
      <w:r w:rsidRPr="00536BB2">
        <w:rPr>
          <w:noProof/>
        </w:rPr>
        <w:lastRenderedPageBreak/>
        <w:drawing>
          <wp:inline distT="0" distB="0" distL="0" distR="0" wp14:anchorId="23719734" wp14:editId="7D104752">
            <wp:extent cx="5414010" cy="1987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4010" cy="1987550"/>
                    </a:xfrm>
                    <a:prstGeom prst="rect">
                      <a:avLst/>
                    </a:prstGeom>
                    <a:noFill/>
                  </pic:spPr>
                </pic:pic>
              </a:graphicData>
            </a:graphic>
          </wp:inline>
        </w:drawing>
      </w:r>
    </w:p>
    <w:p w14:paraId="0D271ABC" w14:textId="2160B05E" w:rsidR="00B45578" w:rsidRPr="00536BB2" w:rsidRDefault="00BF51A3" w:rsidP="00377181">
      <w:pPr>
        <w:jc w:val="center"/>
        <w:rPr>
          <w:b/>
          <w:lang w:val="en-US"/>
        </w:rPr>
      </w:pPr>
      <w:r w:rsidRPr="00536BB2">
        <w:rPr>
          <w:b/>
          <w:lang w:val="en-US"/>
        </w:rPr>
        <w:t xml:space="preserve">Figure 1: </w:t>
      </w:r>
      <w:r w:rsidRPr="00536BB2">
        <w:rPr>
          <w:b/>
        </w:rPr>
        <w:t>Candidate connections (dashed lines) besides active connections (solid lines).</w:t>
      </w:r>
    </w:p>
    <w:p w14:paraId="3A8D8FED" w14:textId="77777777" w:rsidR="00500D04" w:rsidRDefault="00500D04" w:rsidP="002C6F7D">
      <w:pPr>
        <w:jc w:val="both"/>
        <w:rPr>
          <w:b/>
          <w:i/>
          <w:lang w:val="en-US"/>
        </w:rPr>
      </w:pPr>
    </w:p>
    <w:p w14:paraId="54F98F32" w14:textId="1FE1F555" w:rsidR="00377181" w:rsidRPr="00536BB2" w:rsidRDefault="008C5390" w:rsidP="002C6F7D">
      <w:pPr>
        <w:jc w:val="both"/>
        <w:rPr>
          <w:b/>
          <w:i/>
          <w:lang w:val="en-US"/>
        </w:rPr>
      </w:pPr>
      <w:r w:rsidRPr="00536BB2">
        <w:rPr>
          <w:b/>
          <w:i/>
          <w:lang w:val="en-US"/>
        </w:rPr>
        <w:t>Proposal</w:t>
      </w:r>
      <w:r w:rsidR="00377181" w:rsidRPr="00536BB2">
        <w:rPr>
          <w:b/>
          <w:i/>
          <w:lang w:val="en-US"/>
        </w:rPr>
        <w:t xml:space="preserve"> 1: </w:t>
      </w:r>
      <w:r w:rsidRPr="00536BB2">
        <w:rPr>
          <w:b/>
          <w:i/>
          <w:lang w:val="en-US"/>
        </w:rPr>
        <w:t>IAB</w:t>
      </w:r>
      <w:r w:rsidR="00D91B27" w:rsidRPr="00536BB2">
        <w:rPr>
          <w:b/>
          <w:i/>
          <w:lang w:val="en-US"/>
        </w:rPr>
        <w:t xml:space="preserve"> Nodes are measuring link quality to candidate Nodes besides the active IAB connection</w:t>
      </w:r>
      <w:r w:rsidR="006D493E" w:rsidRPr="00536BB2">
        <w:rPr>
          <w:b/>
          <w:i/>
          <w:lang w:val="en-US"/>
        </w:rPr>
        <w:t>(s)</w:t>
      </w:r>
      <w:r w:rsidR="00D91B27" w:rsidRPr="00536BB2">
        <w:rPr>
          <w:b/>
          <w:i/>
          <w:lang w:val="en-US"/>
        </w:rPr>
        <w:t>.</w:t>
      </w:r>
      <w:r w:rsidR="002F3C34" w:rsidRPr="00536BB2">
        <w:rPr>
          <w:b/>
          <w:i/>
          <w:lang w:val="en-US"/>
        </w:rPr>
        <w:t xml:space="preserve"> </w:t>
      </w:r>
    </w:p>
    <w:p w14:paraId="224185D2" w14:textId="475969DB" w:rsidR="00B45578" w:rsidRDefault="00B45578" w:rsidP="002C6F7D">
      <w:pPr>
        <w:jc w:val="both"/>
      </w:pPr>
      <w:r w:rsidRPr="00536BB2">
        <w:t xml:space="preserve">Discovery of other nodes could be </w:t>
      </w:r>
      <w:r w:rsidR="00083C37" w:rsidRPr="00536BB2">
        <w:t>a separate</w:t>
      </w:r>
      <w:r w:rsidRPr="00536BB2">
        <w:t xml:space="preserve"> function running before or at least independently of the measurements on candidate links. This is a reasonable assumption when the nodes are stationary and when assuming the addition of a new IAB </w:t>
      </w:r>
      <w:r w:rsidR="00050741" w:rsidRPr="00536BB2">
        <w:t>N</w:t>
      </w:r>
      <w:r w:rsidRPr="00536BB2">
        <w:t xml:space="preserve">ode to the system happens rarely. </w:t>
      </w:r>
      <w:r w:rsidR="00225E90" w:rsidRPr="00536BB2">
        <w:t xml:space="preserve">Discovery might </w:t>
      </w:r>
      <w:r w:rsidR="001A4A72" w:rsidRPr="00536BB2">
        <w:t xml:space="preserve">then </w:t>
      </w:r>
      <w:r w:rsidR="00225E90" w:rsidRPr="00536BB2">
        <w:t xml:space="preserve">take place without constraints due to </w:t>
      </w:r>
      <w:r w:rsidR="003435F0">
        <w:t xml:space="preserve">the </w:t>
      </w:r>
      <w:r w:rsidR="00225E90" w:rsidRPr="00536BB2">
        <w:t xml:space="preserve">allocation of BH for the discovering IAB Node. </w:t>
      </w:r>
    </w:p>
    <w:p w14:paraId="4C3ECA41" w14:textId="77777777" w:rsidR="00500D04" w:rsidRPr="00536BB2" w:rsidRDefault="00500D04" w:rsidP="002C6F7D">
      <w:pPr>
        <w:jc w:val="both"/>
      </w:pPr>
    </w:p>
    <w:p w14:paraId="7D3618E0" w14:textId="5F8F65A9" w:rsidR="005E06BF" w:rsidRPr="005E06BF" w:rsidRDefault="00C0260C" w:rsidP="005E06BF">
      <w:pPr>
        <w:pStyle w:val="Heading2"/>
        <w:rPr>
          <w:lang w:val="en-US"/>
        </w:rPr>
      </w:pPr>
      <w:r>
        <w:rPr>
          <w:lang w:val="en-US"/>
        </w:rPr>
        <w:t>2.2</w:t>
      </w:r>
      <w:r w:rsidR="00B03B8D">
        <w:rPr>
          <w:lang w:val="en-US"/>
        </w:rPr>
        <w:t xml:space="preserve"> </w:t>
      </w:r>
      <w:r w:rsidR="002C6F7D">
        <w:rPr>
          <w:lang w:val="en-US"/>
        </w:rPr>
        <w:tab/>
      </w:r>
      <w:r w:rsidR="006B1C5E">
        <w:rPr>
          <w:lang w:val="en-US"/>
        </w:rPr>
        <w:t>Assumptions on</w:t>
      </w:r>
      <w:r w:rsidR="005E06BF">
        <w:rPr>
          <w:lang w:val="en-US"/>
        </w:rPr>
        <w:t xml:space="preserve"> resource allocation </w:t>
      </w:r>
    </w:p>
    <w:p w14:paraId="77237549" w14:textId="6F0263CC" w:rsidR="005E06BF" w:rsidRPr="00536BB2" w:rsidRDefault="002769B8" w:rsidP="002C6F7D">
      <w:pPr>
        <w:jc w:val="both"/>
      </w:pPr>
      <w:r w:rsidRPr="00536BB2">
        <w:t>With self</w:t>
      </w:r>
      <w:r w:rsidR="003435F0">
        <w:t>-</w:t>
      </w:r>
      <w:r w:rsidRPr="00536BB2">
        <w:t>backhauling, there are fo</w:t>
      </w:r>
      <w:r w:rsidR="005E06BF" w:rsidRPr="00536BB2">
        <w:t xml:space="preserve">ur link directions to </w:t>
      </w:r>
      <w:r w:rsidR="000A2D15" w:rsidRPr="00536BB2">
        <w:t xml:space="preserve">be </w:t>
      </w:r>
      <w:r w:rsidR="005E06BF" w:rsidRPr="00536BB2">
        <w:t>support</w:t>
      </w:r>
      <w:r w:rsidR="000A2D15" w:rsidRPr="00536BB2">
        <w:t>ed</w:t>
      </w:r>
      <w:r w:rsidR="005E06BF" w:rsidRPr="00536BB2">
        <w:t xml:space="preserve">: </w:t>
      </w:r>
      <w:r w:rsidRPr="00536BB2">
        <w:t xml:space="preserve">UL and DL access links, and </w:t>
      </w:r>
      <w:r w:rsidR="00C64083">
        <w:t>upstream and downstream BH</w:t>
      </w:r>
      <w:r w:rsidRPr="00536BB2">
        <w:t xml:space="preserve"> links.</w:t>
      </w:r>
      <w:r w:rsidR="00775864" w:rsidRPr="00536BB2">
        <w:t xml:space="preserve"> Allocation of resources for these four link directions is discussed in detail in </w:t>
      </w:r>
      <w:r w:rsidR="00CB05F8" w:rsidRPr="00536BB2">
        <w:fldChar w:fldCharType="begin"/>
      </w:r>
      <w:r w:rsidR="00CB05F8" w:rsidRPr="00536BB2">
        <w:instrText xml:space="preserve"> REF _Ref510701355 \r \h </w:instrText>
      </w:r>
      <w:r w:rsidR="00536BB2">
        <w:instrText xml:space="preserve"> \* MERGEFORMAT </w:instrText>
      </w:r>
      <w:r w:rsidR="00CB05F8" w:rsidRPr="00536BB2">
        <w:fldChar w:fldCharType="separate"/>
      </w:r>
      <w:r w:rsidR="008176C6">
        <w:t>[2]</w:t>
      </w:r>
      <w:r w:rsidR="00CB05F8" w:rsidRPr="00536BB2">
        <w:fldChar w:fldCharType="end"/>
      </w:r>
      <w:r w:rsidR="003435F0">
        <w:t>,</w:t>
      </w:r>
      <w:r w:rsidR="0083324F" w:rsidRPr="00536BB2">
        <w:t xml:space="preserve"> but the part relevant for measurements is repeated here</w:t>
      </w:r>
      <w:r w:rsidR="005E06BF" w:rsidRPr="00536BB2">
        <w:t xml:space="preserve"> because</w:t>
      </w:r>
      <w:r w:rsidR="00CF72F6" w:rsidRPr="00536BB2">
        <w:t xml:space="preserve"> opportunities for</w:t>
      </w:r>
      <w:r w:rsidR="005E06BF" w:rsidRPr="00536BB2">
        <w:t xml:space="preserve"> measurement</w:t>
      </w:r>
      <w:r w:rsidR="00CF72F6" w:rsidRPr="00536BB2">
        <w:t>s</w:t>
      </w:r>
      <w:r w:rsidR="005E06BF" w:rsidRPr="00536BB2">
        <w:t xml:space="preserve"> </w:t>
      </w:r>
      <w:r w:rsidR="00CF72F6" w:rsidRPr="00536BB2">
        <w:t>obviously depends on the resource allocation.</w:t>
      </w:r>
      <w:r w:rsidR="005E06BF" w:rsidRPr="00536BB2">
        <w:t xml:space="preserve">  </w:t>
      </w:r>
    </w:p>
    <w:p w14:paraId="08441995" w14:textId="26820D6F" w:rsidR="0011226F" w:rsidRPr="00536BB2" w:rsidRDefault="00CF72F6" w:rsidP="002C6F7D">
      <w:pPr>
        <w:jc w:val="both"/>
      </w:pPr>
      <w:r w:rsidRPr="00536BB2">
        <w:t>In</w:t>
      </w:r>
      <w:r w:rsidR="00BE6097" w:rsidRPr="00536BB2">
        <w:t xml:space="preserve"> </w:t>
      </w:r>
      <w:r w:rsidR="00CB05F8" w:rsidRPr="00536BB2">
        <w:fldChar w:fldCharType="begin"/>
      </w:r>
      <w:r w:rsidR="00CB05F8" w:rsidRPr="00536BB2">
        <w:instrText xml:space="preserve"> REF _Ref510701355 \r \h </w:instrText>
      </w:r>
      <w:r w:rsidR="00536BB2">
        <w:instrText xml:space="preserve"> \* MERGEFORMAT </w:instrText>
      </w:r>
      <w:r w:rsidR="00CB05F8" w:rsidRPr="00536BB2">
        <w:fldChar w:fldCharType="separate"/>
      </w:r>
      <w:r w:rsidR="008176C6">
        <w:t>[2]</w:t>
      </w:r>
      <w:r w:rsidR="00CB05F8" w:rsidRPr="00536BB2">
        <w:fldChar w:fldCharType="end"/>
      </w:r>
      <w:r w:rsidR="002024F2">
        <w:t>,</w:t>
      </w:r>
      <w:r w:rsidR="00CB05F8" w:rsidRPr="00536BB2">
        <w:t xml:space="preserve"> </w:t>
      </w:r>
      <w:r w:rsidRPr="00536BB2">
        <w:t xml:space="preserve">allocation alternatives with different assumptions on multiplexing </w:t>
      </w:r>
      <w:r w:rsidR="000A2D15" w:rsidRPr="00536BB2">
        <w:t>of</w:t>
      </w:r>
      <w:r w:rsidR="00394AE8" w:rsidRPr="00536BB2">
        <w:t xml:space="preserve"> link directions are considered. Here we concentrate on the altern</w:t>
      </w:r>
      <w:r w:rsidR="0011292D" w:rsidRPr="00536BB2">
        <w:t xml:space="preserve">ative we consider the basic one: half-duplex operation and TDM between access and BH (except that FDM or SDM may be used between DL access and downstream BH TX and between UL access and upstream BH RX). </w:t>
      </w:r>
      <w:r w:rsidR="008E4652" w:rsidRPr="00536BB2">
        <w:rPr>
          <w:lang w:val="en-US"/>
        </w:rPr>
        <w:t xml:space="preserve">With such assumptions, </w:t>
      </w:r>
      <w:r w:rsidR="002A145C" w:rsidRPr="00536BB2">
        <w:t>the</w:t>
      </w:r>
      <w:r w:rsidR="00096B2A" w:rsidRPr="00536BB2">
        <w:t xml:space="preserve"> transmission</w:t>
      </w:r>
      <w:r w:rsidR="00F726E1" w:rsidRPr="00536BB2">
        <w:t>/reception</w:t>
      </w:r>
      <w:r w:rsidR="003911A4" w:rsidRPr="00536BB2">
        <w:t xml:space="preserve"> configuration</w:t>
      </w:r>
      <w:r w:rsidR="008E4652" w:rsidRPr="00536BB2">
        <w:t>s</w:t>
      </w:r>
      <w:r w:rsidR="00645FAF" w:rsidRPr="00536BB2">
        <w:t xml:space="preserve"> for a chain of IAB N</w:t>
      </w:r>
      <w:r w:rsidR="0083324F" w:rsidRPr="00536BB2">
        <w:t xml:space="preserve">odes </w:t>
      </w:r>
      <w:r w:rsidR="00CB05F8" w:rsidRPr="00536BB2">
        <w:t xml:space="preserve">(three-hop scenario) </w:t>
      </w:r>
      <w:r w:rsidR="008E4652" w:rsidRPr="00536BB2">
        <w:t>are obtained</w:t>
      </w:r>
      <w:r w:rsidR="0011292D" w:rsidRPr="00536BB2">
        <w:t xml:space="preserve"> as depicted in Figure 2 where the transmission direction of </w:t>
      </w:r>
      <w:r w:rsidR="00645FAF" w:rsidRPr="00536BB2">
        <w:t xml:space="preserve">an IAB </w:t>
      </w:r>
      <w:r w:rsidR="0011292D" w:rsidRPr="00536BB2">
        <w:t>node would depend on the lev</w:t>
      </w:r>
      <w:r w:rsidR="00645FAF" w:rsidRPr="00536BB2">
        <w:t>el of h</w:t>
      </w:r>
      <w:r w:rsidR="00B473F5" w:rsidRPr="00536BB2">
        <w:t>i</w:t>
      </w:r>
      <w:r w:rsidR="00645FAF" w:rsidRPr="00536BB2">
        <w:t>erar</w:t>
      </w:r>
      <w:r w:rsidR="00B473F5" w:rsidRPr="00536BB2">
        <w:t>ch</w:t>
      </w:r>
      <w:r w:rsidR="00645FAF" w:rsidRPr="00536BB2">
        <w:t>y (hop count from D</w:t>
      </w:r>
      <w:r w:rsidR="0011292D" w:rsidRPr="00536BB2">
        <w:t>onor).</w:t>
      </w:r>
      <w:r w:rsidR="0011292D" w:rsidRPr="00536BB2">
        <w:rPr>
          <w:lang w:val="en-US"/>
        </w:rPr>
        <w:t xml:space="preserve"> </w:t>
      </w:r>
      <w:r w:rsidR="008E4652" w:rsidRPr="00536BB2">
        <w:rPr>
          <w:lang w:val="en-US"/>
        </w:rPr>
        <w:t>The four configurations of l</w:t>
      </w:r>
      <w:r w:rsidR="0011292D" w:rsidRPr="00536BB2">
        <w:rPr>
          <w:lang w:val="en-US"/>
        </w:rPr>
        <w:t>ink directions</w:t>
      </w:r>
      <w:r w:rsidR="008E4652" w:rsidRPr="00536BB2">
        <w:rPr>
          <w:lang w:val="en-US"/>
        </w:rPr>
        <w:t xml:space="preserve"> could be allocated in time following a fixed pattern or the allocation of the configurations could be to some extent dynamic. Even with dynamic allocation</w:t>
      </w:r>
      <w:r w:rsidR="003435F0">
        <w:rPr>
          <w:lang w:val="en-US"/>
        </w:rPr>
        <w:t>,</w:t>
      </w:r>
      <w:r w:rsidR="008E4652" w:rsidRPr="00536BB2">
        <w:rPr>
          <w:lang w:val="en-US"/>
        </w:rPr>
        <w:t xml:space="preserve"> there could be slots fixed for</w:t>
      </w:r>
      <w:r w:rsidR="00BC457E" w:rsidRPr="00536BB2">
        <w:rPr>
          <w:lang w:val="en-US"/>
        </w:rPr>
        <w:t xml:space="preserve"> </w:t>
      </w:r>
      <w:r w:rsidR="001E21F9" w:rsidRPr="00536BB2">
        <w:rPr>
          <w:lang w:val="en-US"/>
        </w:rPr>
        <w:t>a certain link direction.</w:t>
      </w:r>
      <w:r w:rsidR="00B7380B" w:rsidRPr="00536BB2">
        <w:rPr>
          <w:lang w:val="en-US"/>
        </w:rPr>
        <w:t xml:space="preserve"> It should be noted that the basic allocation scheme</w:t>
      </w:r>
      <w:r w:rsidR="00173F96" w:rsidRPr="00536BB2">
        <w:rPr>
          <w:lang w:val="en-US"/>
        </w:rPr>
        <w:t xml:space="preserve"> is the most constrained one.</w:t>
      </w:r>
      <w:r w:rsidR="008E4652" w:rsidRPr="00536BB2">
        <w:rPr>
          <w:lang w:val="en-US"/>
        </w:rPr>
        <w:t xml:space="preserve">  </w:t>
      </w:r>
    </w:p>
    <w:p w14:paraId="23CF8A78" w14:textId="67E1B739" w:rsidR="000D4974" w:rsidRPr="00536BB2" w:rsidRDefault="0040131D" w:rsidP="002C6F7D">
      <w:pPr>
        <w:jc w:val="both"/>
        <w:rPr>
          <w:b/>
          <w:i/>
        </w:rPr>
      </w:pPr>
      <w:r w:rsidRPr="00536BB2">
        <w:rPr>
          <w:b/>
          <w:i/>
        </w:rPr>
        <w:t>Observation</w:t>
      </w:r>
      <w:r w:rsidR="00430E20">
        <w:rPr>
          <w:b/>
          <w:i/>
        </w:rPr>
        <w:t xml:space="preserve"> 1</w:t>
      </w:r>
      <w:r w:rsidRPr="00536BB2">
        <w:rPr>
          <w:b/>
          <w:i/>
        </w:rPr>
        <w:t xml:space="preserve">: </w:t>
      </w:r>
      <w:r w:rsidR="00C13CF9" w:rsidRPr="00536BB2">
        <w:rPr>
          <w:b/>
          <w:i/>
        </w:rPr>
        <w:t xml:space="preserve">The basic </w:t>
      </w:r>
      <w:r w:rsidR="008B036B" w:rsidRPr="00536BB2">
        <w:rPr>
          <w:b/>
          <w:i/>
        </w:rPr>
        <w:t>IAB allocation scheme includes four configurations of transmission directions</w:t>
      </w:r>
      <w:r w:rsidR="00645FAF" w:rsidRPr="00536BB2">
        <w:rPr>
          <w:b/>
          <w:i/>
        </w:rPr>
        <w:t xml:space="preserve"> and the transmission direction of an IAB </w:t>
      </w:r>
      <w:r w:rsidR="00101968" w:rsidRPr="00536BB2">
        <w:rPr>
          <w:b/>
          <w:i/>
        </w:rPr>
        <w:t>N</w:t>
      </w:r>
      <w:r w:rsidR="00645FAF" w:rsidRPr="00536BB2">
        <w:rPr>
          <w:b/>
          <w:i/>
        </w:rPr>
        <w:t xml:space="preserve">ode in a configuration depends on the hop-count from the Donor. </w:t>
      </w:r>
    </w:p>
    <w:p w14:paraId="3FCDC84A" w14:textId="6F4DD2C9" w:rsidR="00775864" w:rsidRDefault="00165C5D" w:rsidP="00775864">
      <w:pPr>
        <w:jc w:val="center"/>
      </w:pPr>
      <w:r>
        <w:rPr>
          <w:noProof/>
        </w:rPr>
        <w:lastRenderedPageBreak/>
        <w:drawing>
          <wp:inline distT="0" distB="0" distL="0" distR="0" wp14:anchorId="654E5D38" wp14:editId="17699458">
            <wp:extent cx="2861945" cy="2942051"/>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7807" cy="2968637"/>
                    </a:xfrm>
                    <a:prstGeom prst="rect">
                      <a:avLst/>
                    </a:prstGeom>
                    <a:noFill/>
                  </pic:spPr>
                </pic:pic>
              </a:graphicData>
            </a:graphic>
          </wp:inline>
        </w:drawing>
      </w:r>
      <w:r w:rsidR="00774E4E">
        <w:t xml:space="preserve"> </w:t>
      </w:r>
      <w:r w:rsidR="002769B8">
        <w:t xml:space="preserve"> </w:t>
      </w:r>
    </w:p>
    <w:p w14:paraId="062A8FE4" w14:textId="63D74CF7" w:rsidR="005643E8" w:rsidRDefault="005643E8" w:rsidP="00430E20">
      <w:pPr>
        <w:jc w:val="center"/>
        <w:rPr>
          <w:b/>
        </w:rPr>
      </w:pPr>
      <w:r w:rsidRPr="00536BB2">
        <w:rPr>
          <w:b/>
        </w:rPr>
        <w:t>Figure 2</w:t>
      </w:r>
      <w:r w:rsidR="00775864" w:rsidRPr="00536BB2">
        <w:rPr>
          <w:b/>
        </w:rPr>
        <w:t xml:space="preserve">: </w:t>
      </w:r>
      <w:r w:rsidR="002A145C" w:rsidRPr="00536BB2">
        <w:rPr>
          <w:b/>
        </w:rPr>
        <w:t>Four configurations of transmission directions</w:t>
      </w:r>
      <w:r w:rsidR="00775864" w:rsidRPr="00536BB2">
        <w:rPr>
          <w:b/>
        </w:rPr>
        <w:t xml:space="preserve"> </w:t>
      </w:r>
      <w:r w:rsidR="003911A4" w:rsidRPr="00536BB2">
        <w:rPr>
          <w:b/>
        </w:rPr>
        <w:t>for half-</w:t>
      </w:r>
      <w:r w:rsidR="005B4333" w:rsidRPr="00536BB2">
        <w:rPr>
          <w:b/>
        </w:rPr>
        <w:t>duplex</w:t>
      </w:r>
      <w:r w:rsidR="003911A4" w:rsidRPr="00536BB2">
        <w:rPr>
          <w:b/>
        </w:rPr>
        <w:t xml:space="preserve"> </w:t>
      </w:r>
      <w:r w:rsidR="00050741" w:rsidRPr="00536BB2">
        <w:rPr>
          <w:b/>
        </w:rPr>
        <w:t>IAB Node</w:t>
      </w:r>
      <w:r w:rsidR="003911A4" w:rsidRPr="00536BB2">
        <w:rPr>
          <w:b/>
        </w:rPr>
        <w:t>s</w:t>
      </w:r>
      <w:r w:rsidR="000A2D15" w:rsidRPr="00536BB2">
        <w:rPr>
          <w:b/>
        </w:rPr>
        <w:t xml:space="preserve"> in multi-hop IAB</w:t>
      </w:r>
      <w:r w:rsidR="003911A4" w:rsidRPr="00536BB2">
        <w:rPr>
          <w:b/>
        </w:rPr>
        <w:t xml:space="preserve">. </w:t>
      </w:r>
    </w:p>
    <w:p w14:paraId="62F6BBAE" w14:textId="1B3BF218" w:rsidR="005643E8" w:rsidRDefault="00E36629" w:rsidP="005643E8">
      <w:pPr>
        <w:pStyle w:val="Heading2"/>
        <w:rPr>
          <w:b/>
        </w:rPr>
      </w:pPr>
      <w:r>
        <w:rPr>
          <w:lang w:val="en-US"/>
        </w:rPr>
        <w:t>2.</w:t>
      </w:r>
      <w:r w:rsidR="000413DC">
        <w:rPr>
          <w:lang w:val="en-US"/>
        </w:rPr>
        <w:t>3</w:t>
      </w:r>
      <w:r w:rsidR="005643E8">
        <w:rPr>
          <w:lang w:val="en-US"/>
        </w:rPr>
        <w:t xml:space="preserve"> </w:t>
      </w:r>
      <w:r w:rsidR="002C6F7D">
        <w:rPr>
          <w:lang w:val="en-US"/>
        </w:rPr>
        <w:tab/>
      </w:r>
      <w:r w:rsidR="005643E8">
        <w:rPr>
          <w:lang w:val="en-US"/>
        </w:rPr>
        <w:t>UE measurements in presence of IAB</w:t>
      </w:r>
    </w:p>
    <w:p w14:paraId="6F43A989" w14:textId="3CFD186F" w:rsidR="00CB05F8" w:rsidRPr="00536BB2" w:rsidRDefault="00192CD3" w:rsidP="002C6F7D">
      <w:pPr>
        <w:jc w:val="both"/>
      </w:pPr>
      <w:r w:rsidRPr="00536BB2">
        <w:t>As can be o</w:t>
      </w:r>
      <w:r w:rsidR="00592CEC" w:rsidRPr="00536BB2">
        <w:t>bserved from Figure 2, the basic IAB allocation scheme means that, compared with Donors, IAB Nodes have</w:t>
      </w:r>
      <w:r w:rsidR="00FA0D50" w:rsidRPr="00536BB2">
        <w:t xml:space="preserve"> fewer</w:t>
      </w:r>
      <w:r w:rsidR="00592CEC" w:rsidRPr="00536BB2">
        <w:t xml:space="preserve"> DL Access slots</w:t>
      </w:r>
      <w:r w:rsidR="005A20B6" w:rsidRPr="00536BB2">
        <w:t xml:space="preserve"> available for SS/PBCH block transmission. This is demonstrated in Fig</w:t>
      </w:r>
      <w:r w:rsidR="00B06A11">
        <w:t>ure 3 for the fixed and dynamic</w:t>
      </w:r>
      <w:r w:rsidR="005A20B6" w:rsidRPr="00536BB2">
        <w:t xml:space="preserve"> </w:t>
      </w:r>
      <w:r w:rsidR="004C600D" w:rsidRPr="00536BB2">
        <w:t>BH/Access allocation</w:t>
      </w:r>
      <w:r w:rsidR="0032013C" w:rsidRPr="00536BB2">
        <w:t xml:space="preserve"> s</w:t>
      </w:r>
      <w:r w:rsidR="00A870D4" w:rsidRPr="00536BB2">
        <w:t>c</w:t>
      </w:r>
      <w:r w:rsidR="0032013C" w:rsidRPr="00536BB2">
        <w:t xml:space="preserve">hemes </w:t>
      </w:r>
      <w:r w:rsidR="00A870D4" w:rsidRPr="00536BB2">
        <w:t>discussed in</w:t>
      </w:r>
      <w:r w:rsidR="000A1747">
        <w:t xml:space="preserve"> </w:t>
      </w:r>
      <w:r w:rsidR="00CB05F8" w:rsidRPr="00536BB2">
        <w:fldChar w:fldCharType="begin"/>
      </w:r>
      <w:r w:rsidR="00CB05F8" w:rsidRPr="00536BB2">
        <w:instrText xml:space="preserve"> REF _Ref510701355 \r \h </w:instrText>
      </w:r>
      <w:r w:rsidR="00536BB2">
        <w:instrText xml:space="preserve"> \* MERGEFORMAT </w:instrText>
      </w:r>
      <w:r w:rsidR="00CB05F8" w:rsidRPr="00536BB2">
        <w:fldChar w:fldCharType="separate"/>
      </w:r>
      <w:r w:rsidR="008176C6">
        <w:t>[2]</w:t>
      </w:r>
      <w:r w:rsidR="00CB05F8" w:rsidRPr="00536BB2">
        <w:fldChar w:fldCharType="end"/>
      </w:r>
      <w:r w:rsidR="00A870D4" w:rsidRPr="00536BB2">
        <w:t xml:space="preserve">. </w:t>
      </w:r>
      <w:r w:rsidR="000A1747" w:rsidRPr="00536BB2">
        <w:t>In Figure 3, the top part corresponds to fixed BH/Access allocation and lower one to dynamic allocation. “D” refers to DL Access, “U” to UL Access, “F” to flexibly allocated slot, and the BH slots are without any marking. The figure corresponds to 120 kHz SCS, and the possible SS/PBCH block occasions are as shown in the bottom (64 occas</w:t>
      </w:r>
      <w:r w:rsidR="000A1747">
        <w:t xml:space="preserve">ions/5ms). </w:t>
      </w:r>
      <w:r w:rsidR="000A1747" w:rsidRPr="00536BB2">
        <w:t xml:space="preserve">The DL access slots with orange color are carrying SS/PBCH </w:t>
      </w:r>
      <w:r w:rsidR="00CA7B39" w:rsidRPr="00536BB2">
        <w:t>blocks</w:t>
      </w:r>
      <w:r w:rsidR="000A1747" w:rsidRPr="00536BB2">
        <w:t xml:space="preserve"> in an exemplary allocation of 8 blocks per 5 ms to the beginning of the 5 ms period.</w:t>
      </w:r>
      <w:r w:rsidR="000A1747">
        <w:t xml:space="preserve"> </w:t>
      </w:r>
      <w:r w:rsidR="00F70EBF" w:rsidRPr="00536BB2">
        <w:t>With equal allocation of the four configurations of Figure 2</w:t>
      </w:r>
      <w:r w:rsidR="00F97ECE" w:rsidRPr="00536BB2">
        <w:t>,</w:t>
      </w:r>
      <w:r w:rsidR="00F70EBF" w:rsidRPr="00536BB2">
        <w:t xml:space="preserve"> like in the upper part of Figure 3, the number of SS/PBCH </w:t>
      </w:r>
      <w:r w:rsidR="005F2A1C" w:rsidRPr="00536BB2">
        <w:t xml:space="preserve">transmission opportunities is </w:t>
      </w:r>
      <w:r w:rsidR="008D723F" w:rsidRPr="00536BB2">
        <w:t xml:space="preserve">halved for the IAB Nodes. </w:t>
      </w:r>
      <w:r w:rsidR="00C260F8" w:rsidRPr="00536BB2">
        <w:t xml:space="preserve">With some other </w:t>
      </w:r>
      <w:r w:rsidR="002038B1" w:rsidRPr="00536BB2">
        <w:t>fixed allocation, the</w:t>
      </w:r>
      <w:r w:rsidR="006D7AE2" w:rsidRPr="00536BB2">
        <w:t xml:space="preserve"> transmission opportunities may be even fewer and their number may depend on the IAB Node’s count of hops from Donor</w:t>
      </w:r>
      <w:r w:rsidR="002038B1" w:rsidRPr="00536BB2">
        <w:t xml:space="preserve">. </w:t>
      </w:r>
      <w:r w:rsidR="00C260F8" w:rsidRPr="00536BB2">
        <w:t xml:space="preserve"> </w:t>
      </w:r>
      <w:r w:rsidR="008D723F" w:rsidRPr="00536BB2">
        <w:t xml:space="preserve">With </w:t>
      </w:r>
      <w:r w:rsidR="002234F4" w:rsidRPr="00536BB2">
        <w:t xml:space="preserve">the </w:t>
      </w:r>
      <w:r w:rsidR="008D723F" w:rsidRPr="00536BB2">
        <w:t xml:space="preserve">flexible </w:t>
      </w:r>
      <w:r w:rsidR="002234F4" w:rsidRPr="00536BB2">
        <w:t>BH/Access allocation scheme introduced in</w:t>
      </w:r>
      <w:r w:rsidR="00107469">
        <w:t xml:space="preserve"> </w:t>
      </w:r>
      <w:r w:rsidR="00CB05F8" w:rsidRPr="00536BB2">
        <w:fldChar w:fldCharType="begin"/>
      </w:r>
      <w:r w:rsidR="00CB05F8" w:rsidRPr="00536BB2">
        <w:instrText xml:space="preserve"> REF _Ref510701355 \r \h </w:instrText>
      </w:r>
      <w:r w:rsidR="00536BB2">
        <w:instrText xml:space="preserve"> \* MERGEFORMAT </w:instrText>
      </w:r>
      <w:r w:rsidR="00CB05F8" w:rsidRPr="00536BB2">
        <w:fldChar w:fldCharType="separate"/>
      </w:r>
      <w:r w:rsidR="008176C6">
        <w:t>[2]</w:t>
      </w:r>
      <w:r w:rsidR="00CB05F8" w:rsidRPr="00536BB2">
        <w:fldChar w:fldCharType="end"/>
      </w:r>
      <w:r w:rsidR="002E0D33" w:rsidRPr="00536BB2">
        <w:t>,</w:t>
      </w:r>
      <w:r w:rsidR="008D723F" w:rsidRPr="00536BB2">
        <w:t xml:space="preserve"> the</w:t>
      </w:r>
      <w:r w:rsidR="002234F4" w:rsidRPr="00536BB2">
        <w:t xml:space="preserve"> slots fixed for Node’s DL transmission</w:t>
      </w:r>
      <w:r w:rsidR="000A1747">
        <w:t>,</w:t>
      </w:r>
      <w:r w:rsidR="002234F4" w:rsidRPr="00536BB2">
        <w:t xml:space="preserve"> and therefore always available for SS/PBCH block transmission</w:t>
      </w:r>
      <w:r w:rsidR="000A1747">
        <w:t>,</w:t>
      </w:r>
      <w:r w:rsidR="002234F4" w:rsidRPr="00536BB2">
        <w:t xml:space="preserve"> may be fairly few as shown in the lower part of Figure 3.</w:t>
      </w:r>
    </w:p>
    <w:p w14:paraId="6ECC9071" w14:textId="4EF7E3B5" w:rsidR="00B7380B" w:rsidRPr="00536BB2" w:rsidRDefault="00CB05F8" w:rsidP="002C6F7D">
      <w:pPr>
        <w:jc w:val="both"/>
        <w:rPr>
          <w:i/>
        </w:rPr>
      </w:pPr>
      <w:r w:rsidRPr="00536BB2">
        <w:t xml:space="preserve">One can </w:t>
      </w:r>
      <w:r w:rsidR="00D65600" w:rsidRPr="00536BB2">
        <w:t>observ</w:t>
      </w:r>
      <w:r w:rsidRPr="00536BB2">
        <w:t>e that</w:t>
      </w:r>
      <w:r w:rsidR="00D65600" w:rsidRPr="00536BB2">
        <w:t xml:space="preserve"> SS/PBCH transmission with IAB may be a concern, and </w:t>
      </w:r>
      <w:r w:rsidR="002E0D33" w:rsidRPr="00536BB2">
        <w:t>it could in some situations be necessary to prioritize SS/PBCH transmissions: inste</w:t>
      </w:r>
      <w:bookmarkStart w:id="0" w:name="_GoBack"/>
      <w:bookmarkEnd w:id="0"/>
      <w:r w:rsidR="002E0D33" w:rsidRPr="00536BB2">
        <w:t xml:space="preserve">ad of configuring their transmissions according to BH/Access allocation, they would be transmitted </w:t>
      </w:r>
      <w:r w:rsidR="003A5BC1" w:rsidRPr="00536BB2">
        <w:t>also in other than DL access slots. This could be acceptable at least with long SS/PBCH burst set periodicities.</w:t>
      </w:r>
      <w:r w:rsidR="002E0D33" w:rsidRPr="00536BB2">
        <w:t xml:space="preserve"> </w:t>
      </w:r>
      <w:r w:rsidR="006D7AE2" w:rsidRPr="00536BB2">
        <w:t xml:space="preserve"> </w:t>
      </w:r>
      <w:r w:rsidR="004C600D" w:rsidRPr="00536BB2">
        <w:t xml:space="preserve"> </w:t>
      </w:r>
    </w:p>
    <w:p w14:paraId="6E59EFA8" w14:textId="4BBED209" w:rsidR="00FC305B" w:rsidRPr="00430E20" w:rsidRDefault="002C0A49" w:rsidP="002C6F7D">
      <w:pPr>
        <w:jc w:val="both"/>
        <w:rPr>
          <w:b/>
          <w:i/>
        </w:rPr>
      </w:pPr>
      <w:r w:rsidRPr="00430E20">
        <w:rPr>
          <w:b/>
          <w:i/>
        </w:rPr>
        <w:t>Observation</w:t>
      </w:r>
      <w:r w:rsidR="00430E20">
        <w:rPr>
          <w:b/>
          <w:i/>
        </w:rPr>
        <w:t xml:space="preserve"> 2</w:t>
      </w:r>
      <w:r w:rsidRPr="00430E20">
        <w:rPr>
          <w:b/>
          <w:i/>
        </w:rPr>
        <w:t>:</w:t>
      </w:r>
      <w:r w:rsidR="00430E20" w:rsidRPr="00430E20">
        <w:rPr>
          <w:b/>
          <w:i/>
        </w:rPr>
        <w:t xml:space="preserve"> </w:t>
      </w:r>
      <w:r w:rsidR="003A5BC1" w:rsidRPr="00430E20">
        <w:rPr>
          <w:b/>
          <w:i/>
        </w:rPr>
        <w:t>Depending on the allocation scheme</w:t>
      </w:r>
      <w:r w:rsidR="00B06328" w:rsidRPr="00430E20">
        <w:rPr>
          <w:b/>
          <w:i/>
        </w:rPr>
        <w:t xml:space="preserve"> of BH/Access slots</w:t>
      </w:r>
      <w:r w:rsidR="003A5BC1" w:rsidRPr="00430E20">
        <w:rPr>
          <w:b/>
          <w:i/>
        </w:rPr>
        <w:t xml:space="preserve">, </w:t>
      </w:r>
      <w:r w:rsidR="00B06328" w:rsidRPr="00430E20">
        <w:rPr>
          <w:b/>
          <w:i/>
        </w:rPr>
        <w:t>there could be a shortage of DL Access slots available for IAB Node’</w:t>
      </w:r>
      <w:r w:rsidR="00B15F17" w:rsidRPr="00430E20">
        <w:rPr>
          <w:b/>
          <w:i/>
        </w:rPr>
        <w:t xml:space="preserve">s SS/PBCH </w:t>
      </w:r>
      <w:r w:rsidR="00FB5E98" w:rsidRPr="00430E20">
        <w:rPr>
          <w:b/>
          <w:i/>
        </w:rPr>
        <w:t xml:space="preserve">block </w:t>
      </w:r>
      <w:r w:rsidR="00B15F17" w:rsidRPr="00430E20">
        <w:rPr>
          <w:b/>
          <w:i/>
        </w:rPr>
        <w:t>transmission.</w:t>
      </w:r>
      <w:r w:rsidR="00B06328" w:rsidRPr="00430E20">
        <w:rPr>
          <w:b/>
          <w:i/>
        </w:rPr>
        <w:t xml:space="preserve">  </w:t>
      </w:r>
      <w:r w:rsidR="00FC305B" w:rsidRPr="00430E20">
        <w:rPr>
          <w:b/>
          <w:i/>
        </w:rPr>
        <w:t xml:space="preserve">  </w:t>
      </w:r>
    </w:p>
    <w:p w14:paraId="09F2E722" w14:textId="1F3538A7" w:rsidR="00430E20" w:rsidRDefault="00AF3484" w:rsidP="005643E8">
      <w:pPr>
        <w:rPr>
          <w:b/>
        </w:rPr>
      </w:pPr>
      <w:r w:rsidRPr="00536BB2">
        <w:rPr>
          <w:b/>
          <w:noProof/>
        </w:rPr>
        <w:drawing>
          <wp:anchor distT="0" distB="0" distL="114300" distR="114300" simplePos="0" relativeHeight="251658240" behindDoc="0" locked="0" layoutInCell="1" allowOverlap="1" wp14:anchorId="2F48B770" wp14:editId="2D999712">
            <wp:simplePos x="0" y="0"/>
            <wp:positionH relativeFrom="column">
              <wp:posOffset>-3810</wp:posOffset>
            </wp:positionH>
            <wp:positionV relativeFrom="paragraph">
              <wp:posOffset>0</wp:posOffset>
            </wp:positionV>
            <wp:extent cx="6120765" cy="187579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E meas scaled.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1875790"/>
                    </a:xfrm>
                    <a:prstGeom prst="rect">
                      <a:avLst/>
                    </a:prstGeom>
                  </pic:spPr>
                </pic:pic>
              </a:graphicData>
            </a:graphic>
          </wp:anchor>
        </w:drawing>
      </w:r>
    </w:p>
    <w:p w14:paraId="4400F851" w14:textId="4CFC5447" w:rsidR="00AF3484" w:rsidRPr="00430E20" w:rsidRDefault="00430E20" w:rsidP="00430E20">
      <w:pPr>
        <w:jc w:val="center"/>
        <w:rPr>
          <w:b/>
        </w:rPr>
      </w:pPr>
      <w:r w:rsidRPr="00536BB2">
        <w:rPr>
          <w:b/>
        </w:rPr>
        <w:t>Figure 3. Mapping of SS/PBCH blocks to DL access slots for Donors and an IAB Nodes.</w:t>
      </w:r>
    </w:p>
    <w:p w14:paraId="5C6F45AF" w14:textId="65C33332" w:rsidR="005643E8" w:rsidRPr="000D4974" w:rsidRDefault="00FC305B" w:rsidP="00430E20">
      <w:pPr>
        <w:pStyle w:val="Heading2"/>
      </w:pPr>
      <w:r>
        <w:lastRenderedPageBreak/>
        <w:t xml:space="preserve"> </w:t>
      </w:r>
      <w:r w:rsidR="00430E20">
        <w:t xml:space="preserve">2.4 </w:t>
      </w:r>
      <w:r w:rsidR="002C6F7D">
        <w:tab/>
      </w:r>
      <w:r w:rsidR="00EE4776">
        <w:t>IAB N</w:t>
      </w:r>
      <w:r w:rsidR="00E36629">
        <w:t>ode</w:t>
      </w:r>
      <w:r w:rsidR="00EE4776">
        <w:t>’s</w:t>
      </w:r>
      <w:r w:rsidR="00E36629">
        <w:t xml:space="preserve"> measurements</w:t>
      </w:r>
    </w:p>
    <w:p w14:paraId="7C32F9D0" w14:textId="601DD3FB" w:rsidR="005643E8" w:rsidRPr="00430E20" w:rsidRDefault="00956BBD" w:rsidP="002C6F7D">
      <w:pPr>
        <w:jc w:val="both"/>
      </w:pPr>
      <w:r w:rsidRPr="00536BB2">
        <w:t>The link monitoring must be enabled</w:t>
      </w:r>
      <w:r w:rsidR="005643E8" w:rsidRPr="00536BB2">
        <w:t xml:space="preserve"> between chains of RNs originating from different </w:t>
      </w:r>
      <w:r w:rsidR="00050741" w:rsidRPr="00536BB2">
        <w:t>Donors</w:t>
      </w:r>
      <w:r w:rsidR="005643E8" w:rsidRPr="00536BB2">
        <w:t xml:space="preserve"> or between branches in a tree-shape topology. </w:t>
      </w:r>
      <w:r w:rsidRPr="000A1747">
        <w:t>Such m</w:t>
      </w:r>
      <w:r w:rsidR="005643E8" w:rsidRPr="000A1747">
        <w:t xml:space="preserve">easurement opportunities cannot </w:t>
      </w:r>
      <w:r w:rsidR="00085544" w:rsidRPr="000A1747">
        <w:t xml:space="preserve">always </w:t>
      </w:r>
      <w:r w:rsidR="005643E8" w:rsidRPr="000A1747">
        <w:t>be provided without breaks in the downstr</w:t>
      </w:r>
      <w:r w:rsidR="00262439" w:rsidRPr="000A1747">
        <w:t>eam-upstream slot configuration as demonstrated by the simple e</w:t>
      </w:r>
      <w:r w:rsidR="005643E8" w:rsidRPr="000A1747">
        <w:t xml:space="preserve">xample in Figure </w:t>
      </w:r>
      <w:r w:rsidR="00AF3484" w:rsidRPr="000A1747">
        <w:t>4</w:t>
      </w:r>
      <w:r w:rsidR="005643E8" w:rsidRPr="000A1747">
        <w:t xml:space="preserve">: </w:t>
      </w:r>
      <w:r w:rsidR="00717F5D" w:rsidRPr="000A1747">
        <w:t>assuming the basic allocation configurations of Fig. 2</w:t>
      </w:r>
      <w:r w:rsidR="00717F5D" w:rsidRPr="00430E20">
        <w:t xml:space="preserve">, </w:t>
      </w:r>
      <w:r w:rsidR="005643E8" w:rsidRPr="00430E20">
        <w:t xml:space="preserve">Nodes 2 and 3 </w:t>
      </w:r>
      <w:r w:rsidR="00262439" w:rsidRPr="00430E20">
        <w:t xml:space="preserve">are </w:t>
      </w:r>
      <w:r w:rsidR="005643E8" w:rsidRPr="00430E20">
        <w:t>on the same level of hierar</w:t>
      </w:r>
      <w:r w:rsidR="00B473F5" w:rsidRPr="00536BB2">
        <w:t>ch</w:t>
      </w:r>
      <w:r w:rsidR="005643E8" w:rsidRPr="00536BB2">
        <w:t xml:space="preserve">y and normally always transmit or receive in the same </w:t>
      </w:r>
      <w:r w:rsidRPr="000A1747">
        <w:t xml:space="preserve">slots. </w:t>
      </w:r>
      <w:r w:rsidR="00262439" w:rsidRPr="000A1747">
        <w:t>Then, a</w:t>
      </w:r>
      <w:r w:rsidR="00430E20">
        <w:t>t least one of the n</w:t>
      </w:r>
      <w:r w:rsidRPr="000A1747">
        <w:t>odes</w:t>
      </w:r>
      <w:r w:rsidR="005643E8" w:rsidRPr="000A1747">
        <w:t xml:space="preserve"> must have an IAB measurement gap: RX in a slot that is normally used for transmission or TX in a slot t</w:t>
      </w:r>
      <w:r w:rsidR="00262439" w:rsidRPr="00430E20">
        <w:t xml:space="preserve">hat is normally for reception. </w:t>
      </w:r>
      <w:r w:rsidR="005643E8" w:rsidRPr="00430E20">
        <w:t>In the other e</w:t>
      </w:r>
      <w:r w:rsidR="00262439" w:rsidRPr="00430E20">
        <w:t xml:space="preserve">nd there may be beam switching but no change in the TX/RX direction. </w:t>
      </w:r>
      <w:r w:rsidR="005643E8" w:rsidRPr="00430E20">
        <w:t xml:space="preserve"> </w:t>
      </w:r>
    </w:p>
    <w:p w14:paraId="4AA689FC" w14:textId="34E6AFBF" w:rsidR="005643E8" w:rsidRDefault="005643E8" w:rsidP="005643E8">
      <w:pPr>
        <w:jc w:val="center"/>
      </w:pPr>
      <w:r>
        <w:rPr>
          <w:noProof/>
        </w:rPr>
        <w:drawing>
          <wp:inline distT="0" distB="0" distL="0" distR="0" wp14:anchorId="605FF60D" wp14:editId="5927ADC0">
            <wp:extent cx="4477871" cy="2057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80174" cy="2058458"/>
                    </a:xfrm>
                    <a:prstGeom prst="rect">
                      <a:avLst/>
                    </a:prstGeom>
                    <a:noFill/>
                    <a:ln>
                      <a:noFill/>
                    </a:ln>
                  </pic:spPr>
                </pic:pic>
              </a:graphicData>
            </a:graphic>
          </wp:inline>
        </w:drawing>
      </w:r>
    </w:p>
    <w:p w14:paraId="4B3D18F7" w14:textId="67D08937" w:rsidR="00006E3A" w:rsidRPr="00536BB2" w:rsidRDefault="005643E8" w:rsidP="005437A0">
      <w:pPr>
        <w:jc w:val="center"/>
        <w:rPr>
          <w:b/>
        </w:rPr>
      </w:pPr>
      <w:r w:rsidRPr="00536BB2">
        <w:rPr>
          <w:b/>
        </w:rPr>
        <w:t xml:space="preserve">Figure </w:t>
      </w:r>
      <w:r w:rsidR="00AF3484" w:rsidRPr="00536BB2">
        <w:rPr>
          <w:b/>
        </w:rPr>
        <w:t>4</w:t>
      </w:r>
      <w:r w:rsidRPr="00536BB2">
        <w:rPr>
          <w:b/>
        </w:rPr>
        <w:t xml:space="preserve">: </w:t>
      </w:r>
      <w:r w:rsidR="00AF3484" w:rsidRPr="00536BB2">
        <w:rPr>
          <w:b/>
        </w:rPr>
        <w:t xml:space="preserve">Illustration on IAB measurement gaps. </w:t>
      </w:r>
      <w:r w:rsidRPr="00536BB2">
        <w:rPr>
          <w:b/>
        </w:rPr>
        <w:t xml:space="preserve">Nodes 2 and 3 normally transmit (and receive) simultaneously: One of nodes must switch from TX to RX or from RX to TX </w:t>
      </w:r>
      <w:r w:rsidR="00CA7B39" w:rsidRPr="00536BB2">
        <w:rPr>
          <w:b/>
        </w:rPr>
        <w:t>to</w:t>
      </w:r>
      <w:r w:rsidRPr="00536BB2">
        <w:rPr>
          <w:b/>
        </w:rPr>
        <w:t xml:space="preserve"> allow measurements between Nodes 2 and 3.</w:t>
      </w:r>
    </w:p>
    <w:p w14:paraId="1189EEA7" w14:textId="7C557970" w:rsidR="00262439" w:rsidRPr="00430E20" w:rsidRDefault="00262439" w:rsidP="002C6F7D">
      <w:pPr>
        <w:jc w:val="both"/>
        <w:rPr>
          <w:b/>
          <w:i/>
        </w:rPr>
      </w:pPr>
      <w:r w:rsidRPr="00430E20">
        <w:rPr>
          <w:b/>
          <w:i/>
        </w:rPr>
        <w:t>Observation</w:t>
      </w:r>
      <w:r w:rsidR="00430E20">
        <w:rPr>
          <w:b/>
          <w:i/>
        </w:rPr>
        <w:t xml:space="preserve"> 3</w:t>
      </w:r>
      <w:r w:rsidRPr="00430E20">
        <w:rPr>
          <w:b/>
          <w:i/>
        </w:rPr>
        <w:t>: To enable monitoring between all IAB Nodes, IAB measurement gaps must be introduced: RX in a slot that is normally used for transmission or TX in a slot that is normally for reception</w:t>
      </w:r>
      <w:r w:rsidR="00430E20">
        <w:rPr>
          <w:b/>
          <w:i/>
        </w:rPr>
        <w:t>.</w:t>
      </w:r>
    </w:p>
    <w:p w14:paraId="091BC4C2" w14:textId="5F80D867" w:rsidR="00CC1983" w:rsidRPr="00536BB2" w:rsidRDefault="00A6137D" w:rsidP="002C6F7D">
      <w:pPr>
        <w:jc w:val="both"/>
      </w:pPr>
      <w:r w:rsidRPr="00536BB2">
        <w:rPr>
          <w:lang w:val="en-US"/>
        </w:rPr>
        <w:t>The</w:t>
      </w:r>
      <w:r w:rsidR="00C41951" w:rsidRPr="00536BB2">
        <w:rPr>
          <w:lang w:val="en-US"/>
        </w:rPr>
        <w:t xml:space="preserve"> </w:t>
      </w:r>
      <w:r w:rsidR="00181B48" w:rsidRPr="00536BB2">
        <w:rPr>
          <w:lang w:val="en-US"/>
        </w:rPr>
        <w:t xml:space="preserve">IAB </w:t>
      </w:r>
      <w:r w:rsidR="00C41951" w:rsidRPr="00536BB2">
        <w:rPr>
          <w:lang w:val="en-US"/>
        </w:rPr>
        <w:t xml:space="preserve">measurements should </w:t>
      </w:r>
      <w:r w:rsidR="00241430" w:rsidRPr="00536BB2">
        <w:rPr>
          <w:lang w:val="en-US"/>
        </w:rPr>
        <w:t>p</w:t>
      </w:r>
      <w:r w:rsidR="00C41951" w:rsidRPr="00536BB2">
        <w:rPr>
          <w:lang w:val="en-US"/>
        </w:rPr>
        <w:t>rovide beam level information on the candidate links. This would be essential for fast switching of the connection</w:t>
      </w:r>
      <w:r w:rsidR="000825EE" w:rsidRPr="00536BB2">
        <w:rPr>
          <w:lang w:val="en-US"/>
        </w:rPr>
        <w:t xml:space="preserve"> to a </w:t>
      </w:r>
      <w:r w:rsidR="00FB1C2B" w:rsidRPr="00536BB2">
        <w:rPr>
          <w:lang w:val="en-US"/>
        </w:rPr>
        <w:t>candidate</w:t>
      </w:r>
      <w:r w:rsidR="008A2334" w:rsidRPr="00536BB2">
        <w:rPr>
          <w:lang w:val="en-US"/>
        </w:rPr>
        <w:t xml:space="preserve"> link</w:t>
      </w:r>
      <w:r w:rsidR="00F725A3" w:rsidRPr="00536BB2">
        <w:t xml:space="preserve">. </w:t>
      </w:r>
      <w:r w:rsidR="00181B48" w:rsidRPr="00536BB2">
        <w:t>The</w:t>
      </w:r>
      <w:r w:rsidR="00F725A3" w:rsidRPr="00536BB2">
        <w:t xml:space="preserve"> </w:t>
      </w:r>
      <w:r w:rsidR="00181B48" w:rsidRPr="00536BB2">
        <w:t xml:space="preserve">CSI-RS </w:t>
      </w:r>
      <w:r w:rsidR="00F725A3" w:rsidRPr="00536BB2">
        <w:t>measurement configuration</w:t>
      </w:r>
      <w:r w:rsidR="00181B48" w:rsidRPr="00536BB2">
        <w:t>s for UE</w:t>
      </w:r>
      <w:r w:rsidR="00CC1983" w:rsidRPr="00536BB2">
        <w:t>’s mobility measurements</w:t>
      </w:r>
      <w:r w:rsidR="00181B48" w:rsidRPr="00536BB2">
        <w:t xml:space="preserve"> </w:t>
      </w:r>
      <w:r w:rsidR="00F725A3" w:rsidRPr="00536BB2">
        <w:t>seems to be flexible enough for IAB purposes. What could simplify things is that IAB measurements are needed infrequently.</w:t>
      </w:r>
      <w:r w:rsidR="00181B48" w:rsidRPr="00536BB2">
        <w:t xml:space="preserve"> In addition to CSI-RS, the measurement could be based on SRS transmission. This would allow defining master-slave relations between IAB Nodes: Masters would follow undisturbed TX/RX pattern and slaves would be receiving CSI-RS or transmitting SRS. </w:t>
      </w:r>
    </w:p>
    <w:p w14:paraId="064227E2" w14:textId="63CB356A" w:rsidR="00692C93" w:rsidRPr="00430E20" w:rsidRDefault="00CC1983" w:rsidP="002C6F7D">
      <w:pPr>
        <w:jc w:val="both"/>
        <w:rPr>
          <w:rFonts w:ascii="Arial" w:hAnsi="Arial"/>
          <w:sz w:val="36"/>
          <w:lang w:val="en-US"/>
        </w:rPr>
      </w:pPr>
      <w:r w:rsidRPr="00430E20">
        <w:rPr>
          <w:b/>
          <w:i/>
        </w:rPr>
        <w:t>Observation</w:t>
      </w:r>
      <w:r w:rsidR="005437A0">
        <w:rPr>
          <w:b/>
          <w:i/>
        </w:rPr>
        <w:t xml:space="preserve"> 4</w:t>
      </w:r>
      <w:r w:rsidRPr="00430E20">
        <w:rPr>
          <w:b/>
          <w:i/>
        </w:rPr>
        <w:t>: The framework of CSI-RS based UE mobility measurements could be applied as such for IAB measurements.</w:t>
      </w:r>
      <w:r w:rsidR="00F725A3" w:rsidRPr="00430E20">
        <w:rPr>
          <w:rFonts w:ascii="Arial" w:hAnsi="Arial"/>
          <w:i/>
          <w:sz w:val="36"/>
          <w:lang w:val="en-US"/>
        </w:rPr>
        <w:t xml:space="preserve">  </w:t>
      </w:r>
      <w:r w:rsidR="00F725A3" w:rsidRPr="00430E20">
        <w:rPr>
          <w:rFonts w:ascii="Arial" w:hAnsi="Arial"/>
          <w:sz w:val="36"/>
          <w:lang w:val="en-US"/>
        </w:rPr>
        <w:t xml:space="preserve"> </w:t>
      </w:r>
      <w:r w:rsidR="00FB1C2B" w:rsidRPr="00430E20">
        <w:rPr>
          <w:rFonts w:ascii="Arial" w:hAnsi="Arial"/>
          <w:sz w:val="36"/>
          <w:lang w:val="en-US"/>
        </w:rPr>
        <w:t xml:space="preserve"> </w:t>
      </w:r>
      <w:r w:rsidR="00C41951" w:rsidRPr="00430E20">
        <w:rPr>
          <w:rFonts w:ascii="Arial" w:hAnsi="Arial"/>
          <w:sz w:val="36"/>
          <w:lang w:val="en-US"/>
        </w:rPr>
        <w:t xml:space="preserve"> </w:t>
      </w:r>
      <w:r w:rsidR="00A6137D" w:rsidRPr="00430E20">
        <w:rPr>
          <w:rFonts w:ascii="Arial" w:hAnsi="Arial"/>
          <w:sz w:val="36"/>
          <w:lang w:val="en-US"/>
        </w:rPr>
        <w:t xml:space="preserve"> </w:t>
      </w:r>
      <w:r w:rsidR="009D6E64" w:rsidRPr="00430E20">
        <w:rPr>
          <w:rFonts w:ascii="Arial" w:hAnsi="Arial"/>
          <w:sz w:val="36"/>
          <w:lang w:val="en-US"/>
        </w:rPr>
        <w:t xml:space="preserve"> </w:t>
      </w:r>
    </w:p>
    <w:p w14:paraId="543DFCDD" w14:textId="0C8FF303" w:rsidR="000C3831" w:rsidRDefault="000F77CF" w:rsidP="005C2312">
      <w:pPr>
        <w:pStyle w:val="Heading1"/>
      </w:pPr>
      <w:bookmarkStart w:id="1" w:name="_Toc415085486"/>
      <w:bookmarkStart w:id="2" w:name="_Toc503902229"/>
      <w:r w:rsidRPr="00430E20">
        <w:rPr>
          <w:lang w:val="en-US"/>
        </w:rPr>
        <w:t>3</w:t>
      </w:r>
      <w:r w:rsidR="0067353C" w:rsidRPr="00430E20">
        <w:rPr>
          <w:lang w:val="en-US"/>
        </w:rPr>
        <w:t xml:space="preserve"> </w:t>
      </w:r>
      <w:r w:rsidR="002C6F7D">
        <w:rPr>
          <w:lang w:val="en-US"/>
        </w:rPr>
        <w:tab/>
      </w:r>
      <w:r w:rsidR="00373629" w:rsidRPr="00430E20">
        <w:rPr>
          <w:lang w:val="en-US"/>
        </w:rPr>
        <w:t>Conclusion</w:t>
      </w:r>
      <w:bookmarkEnd w:id="1"/>
      <w:bookmarkEnd w:id="2"/>
    </w:p>
    <w:p w14:paraId="533AAC2E" w14:textId="017575B2" w:rsidR="00B06A11" w:rsidRPr="00B06A11" w:rsidRDefault="00B06A11" w:rsidP="002C6F7D">
      <w:pPr>
        <w:jc w:val="both"/>
        <w:rPr>
          <w:lang w:val="en-US"/>
        </w:rPr>
      </w:pPr>
      <w:r>
        <w:rPr>
          <w:lang w:val="en-US"/>
        </w:rPr>
        <w:t>Our proposals and observations on RRM measurements in presence of IAB are:</w:t>
      </w:r>
    </w:p>
    <w:p w14:paraId="6A2C652F" w14:textId="293E39C3" w:rsidR="005437A0" w:rsidRPr="005437A0" w:rsidRDefault="005437A0" w:rsidP="002C6F7D">
      <w:pPr>
        <w:jc w:val="both"/>
        <w:rPr>
          <w:b/>
          <w:i/>
          <w:lang w:val="en-US"/>
        </w:rPr>
      </w:pPr>
      <w:r w:rsidRPr="00536BB2">
        <w:rPr>
          <w:b/>
          <w:i/>
          <w:lang w:val="en-US"/>
        </w:rPr>
        <w:t xml:space="preserve">Proposal 1: IAB Nodes are measuring link quality to candidate Nodes besides the active IAB connection(s). </w:t>
      </w:r>
    </w:p>
    <w:p w14:paraId="67327AB2" w14:textId="7886E5D7" w:rsidR="005437A0" w:rsidRDefault="005437A0" w:rsidP="002C6F7D">
      <w:pPr>
        <w:jc w:val="both"/>
        <w:rPr>
          <w:b/>
          <w:i/>
        </w:rPr>
      </w:pPr>
      <w:r w:rsidRPr="00536BB2">
        <w:rPr>
          <w:b/>
          <w:i/>
        </w:rPr>
        <w:t>Observation</w:t>
      </w:r>
      <w:r>
        <w:rPr>
          <w:b/>
          <w:i/>
        </w:rPr>
        <w:t xml:space="preserve"> 1</w:t>
      </w:r>
      <w:r w:rsidRPr="00536BB2">
        <w:rPr>
          <w:b/>
          <w:i/>
        </w:rPr>
        <w:t>: The basic IAB allocation scheme includes four configurations of transmission directions and the transmission direction of an IAB Node in a configuration depends on the hop-count from the Donor.</w:t>
      </w:r>
    </w:p>
    <w:p w14:paraId="2A020365" w14:textId="4861B390" w:rsidR="005437A0" w:rsidRDefault="005437A0" w:rsidP="002C6F7D">
      <w:pPr>
        <w:jc w:val="both"/>
        <w:rPr>
          <w:b/>
          <w:i/>
        </w:rPr>
      </w:pPr>
      <w:r w:rsidRPr="00430E20">
        <w:rPr>
          <w:b/>
          <w:i/>
        </w:rPr>
        <w:t>Observation</w:t>
      </w:r>
      <w:r>
        <w:rPr>
          <w:b/>
          <w:i/>
        </w:rPr>
        <w:t xml:space="preserve"> 2</w:t>
      </w:r>
      <w:r w:rsidRPr="00430E20">
        <w:rPr>
          <w:b/>
          <w:i/>
        </w:rPr>
        <w:t xml:space="preserve">: Depending on the allocation scheme of BH/Access slots, there could be a shortage of DL Access slots available for IAB Node’s SS/PBCH block transmission.    </w:t>
      </w:r>
    </w:p>
    <w:p w14:paraId="23D06D43" w14:textId="0DFC7ADC" w:rsidR="005437A0" w:rsidRPr="00430E20" w:rsidRDefault="005437A0" w:rsidP="002C6F7D">
      <w:pPr>
        <w:jc w:val="both"/>
        <w:rPr>
          <w:b/>
          <w:i/>
        </w:rPr>
      </w:pPr>
      <w:r w:rsidRPr="00430E20">
        <w:rPr>
          <w:b/>
          <w:i/>
        </w:rPr>
        <w:t>Observation</w:t>
      </w:r>
      <w:r>
        <w:rPr>
          <w:b/>
          <w:i/>
        </w:rPr>
        <w:t xml:space="preserve"> 3</w:t>
      </w:r>
      <w:r w:rsidRPr="00430E20">
        <w:rPr>
          <w:b/>
          <w:i/>
        </w:rPr>
        <w:t>: To enable monitoring between all IAB Nodes, IAB measurement gaps must be introduced: RX in a slot that is normally used for transmission or TX in a slot that is normally for reception</w:t>
      </w:r>
      <w:r>
        <w:rPr>
          <w:b/>
          <w:i/>
        </w:rPr>
        <w:t>.</w:t>
      </w:r>
    </w:p>
    <w:p w14:paraId="1947E5D6" w14:textId="48D342DE" w:rsidR="0067353C" w:rsidRPr="005437A0" w:rsidRDefault="005437A0" w:rsidP="002C6F7D">
      <w:pPr>
        <w:jc w:val="both"/>
        <w:rPr>
          <w:rFonts w:ascii="Arial" w:hAnsi="Arial"/>
          <w:sz w:val="36"/>
          <w:lang w:val="en-US"/>
        </w:rPr>
      </w:pPr>
      <w:r w:rsidRPr="00430E20">
        <w:rPr>
          <w:b/>
          <w:i/>
        </w:rPr>
        <w:t>Observation</w:t>
      </w:r>
      <w:r>
        <w:rPr>
          <w:b/>
          <w:i/>
        </w:rPr>
        <w:t xml:space="preserve"> 4</w:t>
      </w:r>
      <w:r w:rsidRPr="00430E20">
        <w:rPr>
          <w:b/>
          <w:i/>
        </w:rPr>
        <w:t>: The framework of CSI-RS based UE mobility measurements could be applied as such for IAB measurements.</w:t>
      </w:r>
      <w:r w:rsidRPr="00430E20">
        <w:rPr>
          <w:rFonts w:ascii="Arial" w:hAnsi="Arial"/>
          <w:i/>
          <w:sz w:val="36"/>
          <w:lang w:val="en-US"/>
        </w:rPr>
        <w:t xml:space="preserve">  </w:t>
      </w:r>
      <w:r w:rsidRPr="00430E20">
        <w:rPr>
          <w:rFonts w:ascii="Arial" w:hAnsi="Arial"/>
          <w:sz w:val="36"/>
          <w:lang w:val="en-US"/>
        </w:rPr>
        <w:t xml:space="preserve">     </w:t>
      </w:r>
    </w:p>
    <w:p w14:paraId="5C9BB4A9" w14:textId="5FFD7394" w:rsidR="000C3831" w:rsidRPr="00A51522" w:rsidRDefault="000C3831" w:rsidP="000C3831">
      <w:pPr>
        <w:pStyle w:val="Heading1"/>
      </w:pPr>
      <w:r w:rsidRPr="00A51522">
        <w:lastRenderedPageBreak/>
        <w:t xml:space="preserve">References </w:t>
      </w:r>
    </w:p>
    <w:p w14:paraId="5C6E9F05" w14:textId="4C0D0A61" w:rsidR="000C3831" w:rsidRPr="00536BB2" w:rsidRDefault="000413DC" w:rsidP="000413DC">
      <w:pPr>
        <w:numPr>
          <w:ilvl w:val="0"/>
          <w:numId w:val="22"/>
        </w:numPr>
        <w:overflowPunct w:val="0"/>
        <w:autoSpaceDE w:val="0"/>
        <w:autoSpaceDN w:val="0"/>
        <w:adjustRightInd w:val="0"/>
        <w:textAlignment w:val="baseline"/>
      </w:pPr>
      <w:r w:rsidRPr="00536BB2">
        <w:rPr>
          <w:lang w:eastAsia="zh-CN"/>
        </w:rPr>
        <w:t>RP-172290</w:t>
      </w:r>
      <w:r w:rsidR="000C3831" w:rsidRPr="00536BB2">
        <w:rPr>
          <w:lang w:eastAsia="zh-CN"/>
        </w:rPr>
        <w:t>, “</w:t>
      </w:r>
      <w:r w:rsidR="000C3831" w:rsidRPr="00536BB2">
        <w:rPr>
          <w:i/>
          <w:lang w:eastAsia="zh-CN"/>
        </w:rPr>
        <w:t>Study on Integrated Access and Backhaul for NR</w:t>
      </w:r>
      <w:r w:rsidR="000C3831" w:rsidRPr="00536BB2">
        <w:rPr>
          <w:lang w:eastAsia="zh-CN"/>
        </w:rPr>
        <w:t>”, AT&amp;T, Qualcomm, Samsung</w:t>
      </w:r>
      <w:r w:rsidR="005437A0">
        <w:rPr>
          <w:lang w:eastAsia="zh-CN"/>
        </w:rPr>
        <w:t>.</w:t>
      </w:r>
    </w:p>
    <w:p w14:paraId="08F501E6" w14:textId="484184AA" w:rsidR="005C2312" w:rsidRPr="005437A0" w:rsidRDefault="005C2312" w:rsidP="000C3831">
      <w:pPr>
        <w:numPr>
          <w:ilvl w:val="0"/>
          <w:numId w:val="22"/>
        </w:numPr>
        <w:overflowPunct w:val="0"/>
        <w:autoSpaceDE w:val="0"/>
        <w:autoSpaceDN w:val="0"/>
        <w:adjustRightInd w:val="0"/>
        <w:textAlignment w:val="baseline"/>
      </w:pPr>
      <w:bookmarkStart w:id="3" w:name="_Ref510701355"/>
      <w:r w:rsidRPr="005437A0">
        <w:rPr>
          <w:lang w:eastAsia="zh-CN"/>
        </w:rPr>
        <w:t>R1-</w:t>
      </w:r>
      <w:r w:rsidR="005437A0" w:rsidRPr="005437A0">
        <w:rPr>
          <w:lang w:eastAsia="zh-CN"/>
        </w:rPr>
        <w:t xml:space="preserve"> 1804622</w:t>
      </w:r>
      <w:r w:rsidRPr="005437A0">
        <w:rPr>
          <w:lang w:eastAsia="zh-CN"/>
        </w:rPr>
        <w:t xml:space="preserve">, </w:t>
      </w:r>
      <w:r w:rsidRPr="005437A0">
        <w:rPr>
          <w:bCs/>
        </w:rPr>
        <w:t>“</w:t>
      </w:r>
      <w:r w:rsidRPr="005437A0">
        <w:rPr>
          <w:bCs/>
          <w:i/>
        </w:rPr>
        <w:t>Dynamic resource allocation between backhaul and access links</w:t>
      </w:r>
      <w:r w:rsidRPr="005437A0">
        <w:rPr>
          <w:bCs/>
        </w:rPr>
        <w:t>”, Nokia, Nokia Shanghai Bell, April 2018.</w:t>
      </w:r>
      <w:bookmarkEnd w:id="3"/>
    </w:p>
    <w:p w14:paraId="3E6AB2B1" w14:textId="23529C09" w:rsidR="001F4E52" w:rsidRPr="00987B72" w:rsidRDefault="001F4E52" w:rsidP="009D6FAA"/>
    <w:sectPr w:rsidR="001F4E52" w:rsidRPr="00987B72" w:rsidSect="000B7FED">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03BDC" w14:textId="77777777" w:rsidR="003814DB" w:rsidRDefault="003814DB">
      <w:r>
        <w:separator/>
      </w:r>
    </w:p>
  </w:endnote>
  <w:endnote w:type="continuationSeparator" w:id="0">
    <w:p w14:paraId="347E2104" w14:textId="77777777" w:rsidR="003814DB" w:rsidRDefault="00381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E2A91" w14:textId="1C4F1875" w:rsidR="00A5547C" w:rsidRDefault="00A5547C">
    <w:pPr>
      <w:pStyle w:val="Footer"/>
    </w:pPr>
    <w:r>
      <mc:AlternateContent>
        <mc:Choice Requires="wps">
          <w:drawing>
            <wp:anchor distT="0" distB="0" distL="114300" distR="114300" simplePos="0" relativeHeight="251659264" behindDoc="0" locked="0" layoutInCell="0" allowOverlap="1" wp14:anchorId="2169F7E1" wp14:editId="28F64811">
              <wp:simplePos x="0" y="0"/>
              <wp:positionH relativeFrom="page">
                <wp:posOffset>0</wp:posOffset>
              </wp:positionH>
              <wp:positionV relativeFrom="page">
                <wp:posOffset>10250170</wp:posOffset>
              </wp:positionV>
              <wp:extent cx="7560945" cy="252095"/>
              <wp:effectExtent l="0" t="0" r="0" b="14605"/>
              <wp:wrapNone/>
              <wp:docPr id="1" name="MSIPCM7eca489ca1f2bb9373cd5448" descr="{&quot;HashCode&quot;:2662602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8D1AAC" w14:textId="34022DCE" w:rsidR="00A5547C" w:rsidRPr="00153795" w:rsidRDefault="00A5547C" w:rsidP="00153795">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169F7E1" id="_x0000_t202" coordsize="21600,21600" o:spt="202" path="m,l,21600r21600,l21600,xe">
              <v:stroke joinstyle="miter"/>
              <v:path gradientshapeok="t" o:connecttype="rect"/>
            </v:shapetype>
            <v:shape id="MSIPCM7eca489ca1f2bb9373cd5448" o:spid="_x0000_s1026" type="#_x0000_t202" alt="{&quot;HashCode&quot;:26626021,&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" o:allowincell="f" filled="f" stroked="f" strokeweight=".5pt">
              <v:textbox inset=",0,,0">
                <w:txbxContent>
                  <w:p w14:paraId="668D1AAC" w14:textId="34022DCE" w:rsidR="00A5547C" w:rsidRPr="00153795" w:rsidRDefault="00A5547C" w:rsidP="00153795">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26E6F" w14:textId="77777777" w:rsidR="003814DB" w:rsidRDefault="003814DB">
      <w:r>
        <w:separator/>
      </w:r>
    </w:p>
  </w:footnote>
  <w:footnote w:type="continuationSeparator" w:id="0">
    <w:p w14:paraId="2DA6F7DF" w14:textId="77777777" w:rsidR="003814DB" w:rsidRDefault="00381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0BE86" w14:textId="77777777" w:rsidR="00A5547C" w:rsidRDefault="00A5547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817FE"/>
    <w:multiLevelType w:val="hybridMultilevel"/>
    <w:tmpl w:val="BA3C1CD0"/>
    <w:lvl w:ilvl="0" w:tplc="7C568D7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FA26B1"/>
    <w:multiLevelType w:val="hybridMultilevel"/>
    <w:tmpl w:val="C09E2016"/>
    <w:lvl w:ilvl="0" w:tplc="04A0D3A4">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962E4"/>
    <w:multiLevelType w:val="hybridMultilevel"/>
    <w:tmpl w:val="78BC4F88"/>
    <w:lvl w:ilvl="0" w:tplc="16B0A3F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67B8D"/>
    <w:multiLevelType w:val="hybridMultilevel"/>
    <w:tmpl w:val="686A3E84"/>
    <w:lvl w:ilvl="0" w:tplc="865611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575B7"/>
    <w:multiLevelType w:val="hybridMultilevel"/>
    <w:tmpl w:val="A31CFD72"/>
    <w:lvl w:ilvl="0" w:tplc="4152395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977CEB"/>
    <w:multiLevelType w:val="hybridMultilevel"/>
    <w:tmpl w:val="C9962FDE"/>
    <w:lvl w:ilvl="0" w:tplc="A9AA9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3F146F2"/>
    <w:multiLevelType w:val="hybridMultilevel"/>
    <w:tmpl w:val="BF107032"/>
    <w:lvl w:ilvl="0" w:tplc="AE8487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7D84D4F"/>
    <w:multiLevelType w:val="hybridMultilevel"/>
    <w:tmpl w:val="DAAEDE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F42707"/>
    <w:multiLevelType w:val="multilevel"/>
    <w:tmpl w:val="F620C88C"/>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1D62A51"/>
    <w:multiLevelType w:val="hybridMultilevel"/>
    <w:tmpl w:val="E0CEB950"/>
    <w:lvl w:ilvl="0" w:tplc="E75C584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43018BD"/>
    <w:multiLevelType w:val="hybridMultilevel"/>
    <w:tmpl w:val="988A7EDE"/>
    <w:lvl w:ilvl="0" w:tplc="A006A9E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A462BD9"/>
    <w:multiLevelType w:val="hybridMultilevel"/>
    <w:tmpl w:val="D41E04EC"/>
    <w:lvl w:ilvl="0" w:tplc="64A6A7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4"/>
  </w:num>
  <w:num w:numId="3">
    <w:abstractNumId w:val="12"/>
  </w:num>
  <w:num w:numId="4">
    <w:abstractNumId w:val="21"/>
  </w:num>
  <w:num w:numId="5">
    <w:abstractNumId w:val="13"/>
  </w:num>
  <w:num w:numId="6">
    <w:abstractNumId w:val="11"/>
  </w:num>
  <w:num w:numId="7">
    <w:abstractNumId w:val="1"/>
  </w:num>
  <w:num w:numId="8">
    <w:abstractNumId w:val="19"/>
  </w:num>
  <w:num w:numId="9">
    <w:abstractNumId w:val="9"/>
  </w:num>
  <w:num w:numId="10">
    <w:abstractNumId w:val="3"/>
  </w:num>
  <w:num w:numId="11">
    <w:abstractNumId w:val="16"/>
  </w:num>
  <w:num w:numId="12">
    <w:abstractNumId w:val="10"/>
  </w:num>
  <w:num w:numId="13">
    <w:abstractNumId w:val="0"/>
  </w:num>
  <w:num w:numId="14">
    <w:abstractNumId w:val="17"/>
  </w:num>
  <w:num w:numId="15">
    <w:abstractNumId w:val="2"/>
  </w:num>
  <w:num w:numId="16">
    <w:abstractNumId w:val="18"/>
  </w:num>
  <w:num w:numId="17">
    <w:abstractNumId w:val="20"/>
  </w:num>
  <w:num w:numId="18">
    <w:abstractNumId w:val="6"/>
  </w:num>
  <w:num w:numId="19">
    <w:abstractNumId w:val="5"/>
  </w:num>
  <w:num w:numId="20">
    <w:abstractNumId w:val="4"/>
  </w:num>
  <w:num w:numId="21">
    <w:abstractNumId w:val="15"/>
  </w:num>
  <w:num w:numId="2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3A"/>
    <w:rsid w:val="00011D53"/>
    <w:rsid w:val="00022E4A"/>
    <w:rsid w:val="000231E2"/>
    <w:rsid w:val="00040959"/>
    <w:rsid w:val="00040D4F"/>
    <w:rsid w:val="000413DC"/>
    <w:rsid w:val="00043A85"/>
    <w:rsid w:val="00050741"/>
    <w:rsid w:val="00052675"/>
    <w:rsid w:val="000571B5"/>
    <w:rsid w:val="00061A26"/>
    <w:rsid w:val="00070EB1"/>
    <w:rsid w:val="00076B4E"/>
    <w:rsid w:val="000825EE"/>
    <w:rsid w:val="00083C37"/>
    <w:rsid w:val="00085544"/>
    <w:rsid w:val="00090EB7"/>
    <w:rsid w:val="00096B2A"/>
    <w:rsid w:val="00096D36"/>
    <w:rsid w:val="000A1204"/>
    <w:rsid w:val="000A1747"/>
    <w:rsid w:val="000A2D15"/>
    <w:rsid w:val="000A6394"/>
    <w:rsid w:val="000B023C"/>
    <w:rsid w:val="000B0638"/>
    <w:rsid w:val="000B7FED"/>
    <w:rsid w:val="000C038A"/>
    <w:rsid w:val="000C3831"/>
    <w:rsid w:val="000C6598"/>
    <w:rsid w:val="000D0676"/>
    <w:rsid w:val="000D4974"/>
    <w:rsid w:val="000D5570"/>
    <w:rsid w:val="000D5ECC"/>
    <w:rsid w:val="000F77CF"/>
    <w:rsid w:val="00101968"/>
    <w:rsid w:val="00107469"/>
    <w:rsid w:val="0011226F"/>
    <w:rsid w:val="0011292D"/>
    <w:rsid w:val="00112D64"/>
    <w:rsid w:val="00113881"/>
    <w:rsid w:val="00114495"/>
    <w:rsid w:val="00115568"/>
    <w:rsid w:val="00124C57"/>
    <w:rsid w:val="00145D43"/>
    <w:rsid w:val="00145F7E"/>
    <w:rsid w:val="00147DD3"/>
    <w:rsid w:val="00153795"/>
    <w:rsid w:val="00154C33"/>
    <w:rsid w:val="00155F82"/>
    <w:rsid w:val="00165C5D"/>
    <w:rsid w:val="00171583"/>
    <w:rsid w:val="00173F96"/>
    <w:rsid w:val="00181B48"/>
    <w:rsid w:val="00184977"/>
    <w:rsid w:val="00187F7B"/>
    <w:rsid w:val="00191481"/>
    <w:rsid w:val="00192C46"/>
    <w:rsid w:val="00192CD3"/>
    <w:rsid w:val="001955B0"/>
    <w:rsid w:val="00195697"/>
    <w:rsid w:val="00195A0D"/>
    <w:rsid w:val="00196A47"/>
    <w:rsid w:val="001A08B3"/>
    <w:rsid w:val="001A29C5"/>
    <w:rsid w:val="001A4A72"/>
    <w:rsid w:val="001A6A7F"/>
    <w:rsid w:val="001A7B60"/>
    <w:rsid w:val="001B15AD"/>
    <w:rsid w:val="001B52F0"/>
    <w:rsid w:val="001B7A65"/>
    <w:rsid w:val="001C07AC"/>
    <w:rsid w:val="001D0245"/>
    <w:rsid w:val="001D7ED2"/>
    <w:rsid w:val="001E21F9"/>
    <w:rsid w:val="001E41F3"/>
    <w:rsid w:val="001E6C6A"/>
    <w:rsid w:val="001F1325"/>
    <w:rsid w:val="001F4E52"/>
    <w:rsid w:val="002024F2"/>
    <w:rsid w:val="002038B1"/>
    <w:rsid w:val="002234F4"/>
    <w:rsid w:val="002238D7"/>
    <w:rsid w:val="00224F2D"/>
    <w:rsid w:val="00225E90"/>
    <w:rsid w:val="00225F20"/>
    <w:rsid w:val="00226DB4"/>
    <w:rsid w:val="00234198"/>
    <w:rsid w:val="00241430"/>
    <w:rsid w:val="00244469"/>
    <w:rsid w:val="002517DC"/>
    <w:rsid w:val="002575F7"/>
    <w:rsid w:val="0026004D"/>
    <w:rsid w:val="00262439"/>
    <w:rsid w:val="00262916"/>
    <w:rsid w:val="002640DD"/>
    <w:rsid w:val="00275D12"/>
    <w:rsid w:val="002769B8"/>
    <w:rsid w:val="0028171B"/>
    <w:rsid w:val="002844AA"/>
    <w:rsid w:val="00284FEB"/>
    <w:rsid w:val="002860C4"/>
    <w:rsid w:val="002A002E"/>
    <w:rsid w:val="002A0CB3"/>
    <w:rsid w:val="002A145C"/>
    <w:rsid w:val="002A3FF8"/>
    <w:rsid w:val="002B0117"/>
    <w:rsid w:val="002B0607"/>
    <w:rsid w:val="002B3F4B"/>
    <w:rsid w:val="002B4300"/>
    <w:rsid w:val="002B5155"/>
    <w:rsid w:val="002B5741"/>
    <w:rsid w:val="002B7D41"/>
    <w:rsid w:val="002C0A49"/>
    <w:rsid w:val="002C3CCD"/>
    <w:rsid w:val="002C6F7D"/>
    <w:rsid w:val="002D7EE4"/>
    <w:rsid w:val="002E0D33"/>
    <w:rsid w:val="002E751E"/>
    <w:rsid w:val="002F0FAD"/>
    <w:rsid w:val="002F3C34"/>
    <w:rsid w:val="002F4295"/>
    <w:rsid w:val="002F5642"/>
    <w:rsid w:val="002F7B2B"/>
    <w:rsid w:val="00303FC5"/>
    <w:rsid w:val="00305409"/>
    <w:rsid w:val="003103D2"/>
    <w:rsid w:val="00317B6A"/>
    <w:rsid w:val="0032013C"/>
    <w:rsid w:val="00320FD2"/>
    <w:rsid w:val="00333DBC"/>
    <w:rsid w:val="0034223E"/>
    <w:rsid w:val="003435F0"/>
    <w:rsid w:val="00343972"/>
    <w:rsid w:val="00346836"/>
    <w:rsid w:val="003609EF"/>
    <w:rsid w:val="00360C21"/>
    <w:rsid w:val="00361477"/>
    <w:rsid w:val="0036231A"/>
    <w:rsid w:val="00362B76"/>
    <w:rsid w:val="0037060E"/>
    <w:rsid w:val="003731FA"/>
    <w:rsid w:val="00373629"/>
    <w:rsid w:val="00373D07"/>
    <w:rsid w:val="00377181"/>
    <w:rsid w:val="003814DB"/>
    <w:rsid w:val="00387D73"/>
    <w:rsid w:val="003911A4"/>
    <w:rsid w:val="00394AE8"/>
    <w:rsid w:val="003A014C"/>
    <w:rsid w:val="003A55EC"/>
    <w:rsid w:val="003A5BC1"/>
    <w:rsid w:val="003C3C85"/>
    <w:rsid w:val="003C5AAC"/>
    <w:rsid w:val="003D0A44"/>
    <w:rsid w:val="003E1A36"/>
    <w:rsid w:val="00400928"/>
    <w:rsid w:val="0040131D"/>
    <w:rsid w:val="0040271F"/>
    <w:rsid w:val="004057B9"/>
    <w:rsid w:val="00410371"/>
    <w:rsid w:val="0041124E"/>
    <w:rsid w:val="00414140"/>
    <w:rsid w:val="00416283"/>
    <w:rsid w:val="00421FAB"/>
    <w:rsid w:val="004230D2"/>
    <w:rsid w:val="004242F1"/>
    <w:rsid w:val="004270B5"/>
    <w:rsid w:val="004304E1"/>
    <w:rsid w:val="00430E20"/>
    <w:rsid w:val="004341A2"/>
    <w:rsid w:val="00435079"/>
    <w:rsid w:val="00435CB6"/>
    <w:rsid w:val="004368E6"/>
    <w:rsid w:val="004379B1"/>
    <w:rsid w:val="00443B89"/>
    <w:rsid w:val="00447581"/>
    <w:rsid w:val="00465201"/>
    <w:rsid w:val="00481E97"/>
    <w:rsid w:val="004858A8"/>
    <w:rsid w:val="004A60A8"/>
    <w:rsid w:val="004B75B7"/>
    <w:rsid w:val="004C1B03"/>
    <w:rsid w:val="004C4118"/>
    <w:rsid w:val="004C600D"/>
    <w:rsid w:val="004D4E88"/>
    <w:rsid w:val="004E2013"/>
    <w:rsid w:val="004F68E7"/>
    <w:rsid w:val="00500D04"/>
    <w:rsid w:val="005078E1"/>
    <w:rsid w:val="0051580D"/>
    <w:rsid w:val="00525817"/>
    <w:rsid w:val="00525CB1"/>
    <w:rsid w:val="00533144"/>
    <w:rsid w:val="00536BB2"/>
    <w:rsid w:val="00541DAF"/>
    <w:rsid w:val="005437A0"/>
    <w:rsid w:val="005440BD"/>
    <w:rsid w:val="00547111"/>
    <w:rsid w:val="00550799"/>
    <w:rsid w:val="00555F35"/>
    <w:rsid w:val="005643E8"/>
    <w:rsid w:val="00592CEC"/>
    <w:rsid w:val="00592D74"/>
    <w:rsid w:val="005A20B6"/>
    <w:rsid w:val="005B0610"/>
    <w:rsid w:val="005B4333"/>
    <w:rsid w:val="005B7100"/>
    <w:rsid w:val="005C2312"/>
    <w:rsid w:val="005D24C7"/>
    <w:rsid w:val="005E06BF"/>
    <w:rsid w:val="005E2C44"/>
    <w:rsid w:val="005E482F"/>
    <w:rsid w:val="005E667A"/>
    <w:rsid w:val="005E7FAD"/>
    <w:rsid w:val="005F0429"/>
    <w:rsid w:val="005F04EC"/>
    <w:rsid w:val="005F2A1C"/>
    <w:rsid w:val="00606BD0"/>
    <w:rsid w:val="0060736A"/>
    <w:rsid w:val="006153C3"/>
    <w:rsid w:val="006201CC"/>
    <w:rsid w:val="00621188"/>
    <w:rsid w:val="0062358A"/>
    <w:rsid w:val="006257ED"/>
    <w:rsid w:val="0063038A"/>
    <w:rsid w:val="00634754"/>
    <w:rsid w:val="006413EC"/>
    <w:rsid w:val="0064269F"/>
    <w:rsid w:val="00643109"/>
    <w:rsid w:val="00645FAF"/>
    <w:rsid w:val="00653802"/>
    <w:rsid w:val="00664B01"/>
    <w:rsid w:val="0067353C"/>
    <w:rsid w:val="00692C93"/>
    <w:rsid w:val="00695808"/>
    <w:rsid w:val="00695F30"/>
    <w:rsid w:val="0069633D"/>
    <w:rsid w:val="006A01EA"/>
    <w:rsid w:val="006A11F8"/>
    <w:rsid w:val="006A35ED"/>
    <w:rsid w:val="006A5B96"/>
    <w:rsid w:val="006B1C5E"/>
    <w:rsid w:val="006B46FB"/>
    <w:rsid w:val="006B5A6A"/>
    <w:rsid w:val="006B6921"/>
    <w:rsid w:val="006C03D5"/>
    <w:rsid w:val="006C5D8A"/>
    <w:rsid w:val="006D380E"/>
    <w:rsid w:val="006D493E"/>
    <w:rsid w:val="006D7339"/>
    <w:rsid w:val="006D7AE2"/>
    <w:rsid w:val="006E0C9D"/>
    <w:rsid w:val="006E181F"/>
    <w:rsid w:val="006E21FB"/>
    <w:rsid w:val="00716B26"/>
    <w:rsid w:val="00717F5D"/>
    <w:rsid w:val="00724A8F"/>
    <w:rsid w:val="007335B0"/>
    <w:rsid w:val="00737FF2"/>
    <w:rsid w:val="007461DE"/>
    <w:rsid w:val="00750495"/>
    <w:rsid w:val="00757B22"/>
    <w:rsid w:val="0076083D"/>
    <w:rsid w:val="00766285"/>
    <w:rsid w:val="00774E4E"/>
    <w:rsid w:val="00775864"/>
    <w:rsid w:val="00776CC0"/>
    <w:rsid w:val="007801B4"/>
    <w:rsid w:val="00781AF1"/>
    <w:rsid w:val="00785241"/>
    <w:rsid w:val="00785DA7"/>
    <w:rsid w:val="00792342"/>
    <w:rsid w:val="007977A8"/>
    <w:rsid w:val="007B512A"/>
    <w:rsid w:val="007B5165"/>
    <w:rsid w:val="007C0ADD"/>
    <w:rsid w:val="007C181F"/>
    <w:rsid w:val="007C2097"/>
    <w:rsid w:val="007D6A07"/>
    <w:rsid w:val="007F0B0E"/>
    <w:rsid w:val="007F303B"/>
    <w:rsid w:val="007F526D"/>
    <w:rsid w:val="007F7259"/>
    <w:rsid w:val="00804C5B"/>
    <w:rsid w:val="00805726"/>
    <w:rsid w:val="008176C6"/>
    <w:rsid w:val="00825BA3"/>
    <w:rsid w:val="00825C4F"/>
    <w:rsid w:val="008279FA"/>
    <w:rsid w:val="00832341"/>
    <w:rsid w:val="0083324F"/>
    <w:rsid w:val="00843ADC"/>
    <w:rsid w:val="008454AA"/>
    <w:rsid w:val="008521DD"/>
    <w:rsid w:val="00852C7A"/>
    <w:rsid w:val="008540C0"/>
    <w:rsid w:val="00860582"/>
    <w:rsid w:val="00862598"/>
    <w:rsid w:val="008626E7"/>
    <w:rsid w:val="0086415B"/>
    <w:rsid w:val="00865806"/>
    <w:rsid w:val="00870EE7"/>
    <w:rsid w:val="00887A18"/>
    <w:rsid w:val="008911CC"/>
    <w:rsid w:val="008974AD"/>
    <w:rsid w:val="008A1676"/>
    <w:rsid w:val="008A2334"/>
    <w:rsid w:val="008A416E"/>
    <w:rsid w:val="008A45A6"/>
    <w:rsid w:val="008A52EA"/>
    <w:rsid w:val="008A5464"/>
    <w:rsid w:val="008A6B17"/>
    <w:rsid w:val="008B036B"/>
    <w:rsid w:val="008C1FCE"/>
    <w:rsid w:val="008C5390"/>
    <w:rsid w:val="008D23F5"/>
    <w:rsid w:val="008D723F"/>
    <w:rsid w:val="008E34A8"/>
    <w:rsid w:val="008E3E28"/>
    <w:rsid w:val="008E4652"/>
    <w:rsid w:val="008F3B34"/>
    <w:rsid w:val="008F6247"/>
    <w:rsid w:val="008F686C"/>
    <w:rsid w:val="00904F39"/>
    <w:rsid w:val="009055C0"/>
    <w:rsid w:val="0091488B"/>
    <w:rsid w:val="009148DE"/>
    <w:rsid w:val="009337A5"/>
    <w:rsid w:val="00935BE1"/>
    <w:rsid w:val="0093677C"/>
    <w:rsid w:val="00956BBD"/>
    <w:rsid w:val="0096572A"/>
    <w:rsid w:val="0096696A"/>
    <w:rsid w:val="00970956"/>
    <w:rsid w:val="009777D9"/>
    <w:rsid w:val="00987B72"/>
    <w:rsid w:val="00990F9F"/>
    <w:rsid w:val="00991B88"/>
    <w:rsid w:val="009A5753"/>
    <w:rsid w:val="009A579D"/>
    <w:rsid w:val="009B25D2"/>
    <w:rsid w:val="009C4581"/>
    <w:rsid w:val="009D6E64"/>
    <w:rsid w:val="009D6FAA"/>
    <w:rsid w:val="009E3297"/>
    <w:rsid w:val="009F2E08"/>
    <w:rsid w:val="009F30D4"/>
    <w:rsid w:val="009F734F"/>
    <w:rsid w:val="00A01DBB"/>
    <w:rsid w:val="00A05830"/>
    <w:rsid w:val="00A10538"/>
    <w:rsid w:val="00A14E09"/>
    <w:rsid w:val="00A15142"/>
    <w:rsid w:val="00A2068D"/>
    <w:rsid w:val="00A20F1F"/>
    <w:rsid w:val="00A246B6"/>
    <w:rsid w:val="00A25B5D"/>
    <w:rsid w:val="00A34B5F"/>
    <w:rsid w:val="00A36ED0"/>
    <w:rsid w:val="00A47E70"/>
    <w:rsid w:val="00A502F3"/>
    <w:rsid w:val="00A50CF0"/>
    <w:rsid w:val="00A53D45"/>
    <w:rsid w:val="00A5547C"/>
    <w:rsid w:val="00A56F0C"/>
    <w:rsid w:val="00A6137D"/>
    <w:rsid w:val="00A72B9C"/>
    <w:rsid w:val="00A760CB"/>
    <w:rsid w:val="00A7671C"/>
    <w:rsid w:val="00A870D4"/>
    <w:rsid w:val="00A91784"/>
    <w:rsid w:val="00A92495"/>
    <w:rsid w:val="00AA26B8"/>
    <w:rsid w:val="00AA2CBC"/>
    <w:rsid w:val="00AA54A0"/>
    <w:rsid w:val="00AA787C"/>
    <w:rsid w:val="00AB126E"/>
    <w:rsid w:val="00AB150A"/>
    <w:rsid w:val="00AB3E2A"/>
    <w:rsid w:val="00AB4209"/>
    <w:rsid w:val="00AC128D"/>
    <w:rsid w:val="00AC4EA0"/>
    <w:rsid w:val="00AC5820"/>
    <w:rsid w:val="00AD1CD8"/>
    <w:rsid w:val="00AE190D"/>
    <w:rsid w:val="00AE4F17"/>
    <w:rsid w:val="00AF1F15"/>
    <w:rsid w:val="00AF29FF"/>
    <w:rsid w:val="00AF2EF1"/>
    <w:rsid w:val="00AF3484"/>
    <w:rsid w:val="00AF4730"/>
    <w:rsid w:val="00B02B6C"/>
    <w:rsid w:val="00B03B8D"/>
    <w:rsid w:val="00B04E22"/>
    <w:rsid w:val="00B06328"/>
    <w:rsid w:val="00B06A11"/>
    <w:rsid w:val="00B07E2E"/>
    <w:rsid w:val="00B10581"/>
    <w:rsid w:val="00B10BAE"/>
    <w:rsid w:val="00B15F17"/>
    <w:rsid w:val="00B213C0"/>
    <w:rsid w:val="00B24667"/>
    <w:rsid w:val="00B258BB"/>
    <w:rsid w:val="00B413D1"/>
    <w:rsid w:val="00B41D79"/>
    <w:rsid w:val="00B45578"/>
    <w:rsid w:val="00B473F5"/>
    <w:rsid w:val="00B5134A"/>
    <w:rsid w:val="00B535C9"/>
    <w:rsid w:val="00B57294"/>
    <w:rsid w:val="00B64EEC"/>
    <w:rsid w:val="00B67B97"/>
    <w:rsid w:val="00B7380B"/>
    <w:rsid w:val="00B764FF"/>
    <w:rsid w:val="00B840AB"/>
    <w:rsid w:val="00B905EE"/>
    <w:rsid w:val="00B968C8"/>
    <w:rsid w:val="00BA1A22"/>
    <w:rsid w:val="00BA3EC5"/>
    <w:rsid w:val="00BA4452"/>
    <w:rsid w:val="00BA51D9"/>
    <w:rsid w:val="00BB3C76"/>
    <w:rsid w:val="00BB5DFC"/>
    <w:rsid w:val="00BC457E"/>
    <w:rsid w:val="00BC7F0B"/>
    <w:rsid w:val="00BD279D"/>
    <w:rsid w:val="00BD3C30"/>
    <w:rsid w:val="00BD6BB8"/>
    <w:rsid w:val="00BE1813"/>
    <w:rsid w:val="00BE4D11"/>
    <w:rsid w:val="00BE6097"/>
    <w:rsid w:val="00BF51A3"/>
    <w:rsid w:val="00BF7D67"/>
    <w:rsid w:val="00C0260C"/>
    <w:rsid w:val="00C13CF9"/>
    <w:rsid w:val="00C22695"/>
    <w:rsid w:val="00C260F8"/>
    <w:rsid w:val="00C30073"/>
    <w:rsid w:val="00C34D60"/>
    <w:rsid w:val="00C36713"/>
    <w:rsid w:val="00C41951"/>
    <w:rsid w:val="00C54204"/>
    <w:rsid w:val="00C575B6"/>
    <w:rsid w:val="00C6345E"/>
    <w:rsid w:val="00C64083"/>
    <w:rsid w:val="00C66BA2"/>
    <w:rsid w:val="00C72B60"/>
    <w:rsid w:val="00C87335"/>
    <w:rsid w:val="00C905AB"/>
    <w:rsid w:val="00C93053"/>
    <w:rsid w:val="00C95985"/>
    <w:rsid w:val="00CA7B39"/>
    <w:rsid w:val="00CB05F8"/>
    <w:rsid w:val="00CC1983"/>
    <w:rsid w:val="00CC5026"/>
    <w:rsid w:val="00CD1568"/>
    <w:rsid w:val="00CD705E"/>
    <w:rsid w:val="00CF0BE9"/>
    <w:rsid w:val="00CF2183"/>
    <w:rsid w:val="00CF21C8"/>
    <w:rsid w:val="00CF32C0"/>
    <w:rsid w:val="00CF5299"/>
    <w:rsid w:val="00CF629F"/>
    <w:rsid w:val="00CF72F6"/>
    <w:rsid w:val="00D03F9A"/>
    <w:rsid w:val="00D06D51"/>
    <w:rsid w:val="00D10AF2"/>
    <w:rsid w:val="00D14396"/>
    <w:rsid w:val="00D16925"/>
    <w:rsid w:val="00D1756D"/>
    <w:rsid w:val="00D24991"/>
    <w:rsid w:val="00D3028B"/>
    <w:rsid w:val="00D3357E"/>
    <w:rsid w:val="00D356B9"/>
    <w:rsid w:val="00D4146C"/>
    <w:rsid w:val="00D41DC4"/>
    <w:rsid w:val="00D43103"/>
    <w:rsid w:val="00D50255"/>
    <w:rsid w:val="00D557EA"/>
    <w:rsid w:val="00D6331C"/>
    <w:rsid w:val="00D646D4"/>
    <w:rsid w:val="00D649D1"/>
    <w:rsid w:val="00D65600"/>
    <w:rsid w:val="00D65971"/>
    <w:rsid w:val="00D85773"/>
    <w:rsid w:val="00D91B27"/>
    <w:rsid w:val="00D93BDD"/>
    <w:rsid w:val="00D942B0"/>
    <w:rsid w:val="00D945D5"/>
    <w:rsid w:val="00D97AF8"/>
    <w:rsid w:val="00D97E38"/>
    <w:rsid w:val="00DA01BB"/>
    <w:rsid w:val="00DA64B1"/>
    <w:rsid w:val="00DB4CA5"/>
    <w:rsid w:val="00DC0E6F"/>
    <w:rsid w:val="00DC6202"/>
    <w:rsid w:val="00DD2131"/>
    <w:rsid w:val="00DD40FC"/>
    <w:rsid w:val="00DE34CF"/>
    <w:rsid w:val="00E04D79"/>
    <w:rsid w:val="00E102A3"/>
    <w:rsid w:val="00E13CFD"/>
    <w:rsid w:val="00E13F3D"/>
    <w:rsid w:val="00E157DD"/>
    <w:rsid w:val="00E33C01"/>
    <w:rsid w:val="00E36629"/>
    <w:rsid w:val="00E42646"/>
    <w:rsid w:val="00E43B3D"/>
    <w:rsid w:val="00E43E94"/>
    <w:rsid w:val="00E43EB1"/>
    <w:rsid w:val="00E46A99"/>
    <w:rsid w:val="00E57B53"/>
    <w:rsid w:val="00E61FC1"/>
    <w:rsid w:val="00E63E32"/>
    <w:rsid w:val="00E66BFA"/>
    <w:rsid w:val="00E8165A"/>
    <w:rsid w:val="00E82C54"/>
    <w:rsid w:val="00E86F63"/>
    <w:rsid w:val="00E973D3"/>
    <w:rsid w:val="00EA0B6A"/>
    <w:rsid w:val="00EC0569"/>
    <w:rsid w:val="00EC28F4"/>
    <w:rsid w:val="00EC3D16"/>
    <w:rsid w:val="00EE0A91"/>
    <w:rsid w:val="00EE0F0E"/>
    <w:rsid w:val="00EE24B6"/>
    <w:rsid w:val="00EE4776"/>
    <w:rsid w:val="00EE4A89"/>
    <w:rsid w:val="00EE7D7C"/>
    <w:rsid w:val="00EF3416"/>
    <w:rsid w:val="00EF53C8"/>
    <w:rsid w:val="00F00BCE"/>
    <w:rsid w:val="00F035F8"/>
    <w:rsid w:val="00F10893"/>
    <w:rsid w:val="00F1734B"/>
    <w:rsid w:val="00F25A63"/>
    <w:rsid w:val="00F25D98"/>
    <w:rsid w:val="00F26943"/>
    <w:rsid w:val="00F300FB"/>
    <w:rsid w:val="00F45D1E"/>
    <w:rsid w:val="00F5181B"/>
    <w:rsid w:val="00F537AC"/>
    <w:rsid w:val="00F57663"/>
    <w:rsid w:val="00F66582"/>
    <w:rsid w:val="00F70EBF"/>
    <w:rsid w:val="00F722BC"/>
    <w:rsid w:val="00F725A3"/>
    <w:rsid w:val="00F726E1"/>
    <w:rsid w:val="00F74BA7"/>
    <w:rsid w:val="00F83A93"/>
    <w:rsid w:val="00F84B1A"/>
    <w:rsid w:val="00F901E0"/>
    <w:rsid w:val="00F90FA7"/>
    <w:rsid w:val="00F9576C"/>
    <w:rsid w:val="00F965C9"/>
    <w:rsid w:val="00F97ECE"/>
    <w:rsid w:val="00FA0A06"/>
    <w:rsid w:val="00FA0D50"/>
    <w:rsid w:val="00FA120B"/>
    <w:rsid w:val="00FA4849"/>
    <w:rsid w:val="00FA604D"/>
    <w:rsid w:val="00FB1C2B"/>
    <w:rsid w:val="00FB5E98"/>
    <w:rsid w:val="00FB6386"/>
    <w:rsid w:val="00FC14FC"/>
    <w:rsid w:val="00FC305B"/>
    <w:rsid w:val="00FC5987"/>
    <w:rsid w:val="00FC78CF"/>
    <w:rsid w:val="00FD4401"/>
    <w:rsid w:val="00FE11DD"/>
    <w:rsid w:val="00FE22AA"/>
    <w:rsid w:val="00FF27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2F72A"/>
  <w15:docId w15:val="{60E04971-3D50-49A9-B680-38069EA8F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3"/>
      </w:numPr>
      <w:spacing w:after="120"/>
    </w:pPr>
    <w:rPr>
      <w:rFonts w:eastAsia="MS Mincho"/>
      <w:lang w:val="en-US"/>
    </w:rPr>
  </w:style>
  <w:style w:type="paragraph" w:customStyle="1" w:styleId="textintend2">
    <w:name w:val="text intend 2"/>
    <w:basedOn w:val="text"/>
    <w:rsid w:val="002F4295"/>
    <w:pPr>
      <w:widowControl/>
      <w:numPr>
        <w:numId w:val="4"/>
      </w:numPr>
      <w:spacing w:after="120"/>
    </w:pPr>
    <w:rPr>
      <w:rFonts w:eastAsia="MS Mincho"/>
      <w:lang w:val="en-US"/>
    </w:rPr>
  </w:style>
  <w:style w:type="paragraph" w:customStyle="1" w:styleId="textintend3">
    <w:name w:val="text intend 3"/>
    <w:basedOn w:val="text"/>
    <w:rsid w:val="002F4295"/>
    <w:pPr>
      <w:widowControl/>
      <w:numPr>
        <w:numId w:val="5"/>
      </w:numPr>
      <w:spacing w:after="120"/>
    </w:pPr>
    <w:rPr>
      <w:rFonts w:eastAsia="MS Mincho"/>
      <w:lang w:val="en-US"/>
    </w:rPr>
  </w:style>
  <w:style w:type="paragraph" w:customStyle="1" w:styleId="normalpuce">
    <w:name w:val="normal puce"/>
    <w:basedOn w:val="Normal"/>
    <w:rsid w:val="002F429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uiPriority w:val="59"/>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basedOn w:val="Normal"/>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 w:type="character" w:customStyle="1" w:styleId="TALChar">
    <w:name w:val="TAL Char"/>
    <w:link w:val="TAL"/>
    <w:locked/>
    <w:rsid w:val="00362B76"/>
    <w:rPr>
      <w:rFonts w:ascii="Arial" w:hAnsi="Arial"/>
      <w:sz w:val="18"/>
      <w:lang w:val="en-GB" w:eastAsia="en-US"/>
    </w:rPr>
  </w:style>
  <w:style w:type="character" w:customStyle="1" w:styleId="B11">
    <w:name w:val="B1 (文字)"/>
    <w:uiPriority w:val="99"/>
    <w:locked/>
    <w:rsid w:val="00362B76"/>
    <w:rPr>
      <w:rFonts w:ascii="Times New Roman" w:hAnsi="Times New Roman"/>
      <w:lang w:val="en-GB" w:eastAsia="en-US"/>
    </w:rPr>
  </w:style>
  <w:style w:type="character" w:customStyle="1" w:styleId="TALCar">
    <w:name w:val="TAL Car"/>
    <w:rsid w:val="00362B76"/>
    <w:rPr>
      <w:rFonts w:ascii="Arial" w:hAnsi="Arial"/>
      <w:sz w:val="18"/>
      <w:lang w:eastAsia="en-US"/>
    </w:rPr>
  </w:style>
  <w:style w:type="character" w:customStyle="1" w:styleId="B1Char">
    <w:name w:val="B1 Char"/>
    <w:rsid w:val="00362B76"/>
    <w:rPr>
      <w:rFonts w:ascii="Times New Roman" w:hAnsi="Times New Roman"/>
      <w:lang w:val="en-GB" w:eastAsia="en-US"/>
    </w:rPr>
  </w:style>
  <w:style w:type="paragraph" w:customStyle="1" w:styleId="MTDisplayEquation">
    <w:name w:val="MTDisplayEquation"/>
    <w:basedOn w:val="Normal"/>
    <w:next w:val="Normal"/>
    <w:link w:val="MTDisplayEquationChar"/>
    <w:rsid w:val="00362B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62B76"/>
    <w:rPr>
      <w:rFonts w:ascii="Times New Roman" w:eastAsia="Calibri" w:hAnsi="Times New Roman"/>
      <w:szCs w:val="22"/>
      <w:lang w:val="x-none" w:eastAsia="x-none"/>
    </w:rPr>
  </w:style>
  <w:style w:type="character" w:customStyle="1" w:styleId="fontstyle11">
    <w:name w:val="fontstyle11"/>
    <w:rsid w:val="00362B76"/>
    <w:rPr>
      <w:rFonts w:ascii="Times-Italic" w:hAnsi="Times-Italic" w:hint="default"/>
      <w:b w:val="0"/>
      <w:bCs w:val="0"/>
      <w:i/>
      <w:iCs/>
      <w:color w:val="000000"/>
      <w:sz w:val="20"/>
      <w:szCs w:val="20"/>
    </w:rPr>
  </w:style>
  <w:style w:type="paragraph" w:styleId="Quote">
    <w:name w:val="Quote"/>
    <w:basedOn w:val="Normal"/>
    <w:next w:val="Normal"/>
    <w:link w:val="QuoteChar"/>
    <w:uiPriority w:val="29"/>
    <w:qFormat/>
    <w:rsid w:val="00EA0B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0B6A"/>
    <w:rPr>
      <w:rFonts w:ascii="Times New Roman" w:hAnsi="Times New Roman"/>
      <w:i/>
      <w:iCs/>
      <w:color w:val="404040" w:themeColor="text1" w:themeTint="BF"/>
      <w:lang w:val="en-GB" w:eastAsia="en-US"/>
    </w:rPr>
  </w:style>
  <w:style w:type="character" w:customStyle="1" w:styleId="maintextChar">
    <w:name w:val="main text Char"/>
    <w:link w:val="maintext"/>
    <w:locked/>
    <w:rsid w:val="00360C21"/>
    <w:rPr>
      <w:rFonts w:ascii="Malgun Gothic" w:eastAsia="Malgun Gothic" w:hAnsi="Malgun Gothic" w:cs="Batang"/>
      <w:lang w:val="en-GB" w:eastAsia="ko-KR"/>
    </w:rPr>
  </w:style>
  <w:style w:type="paragraph" w:customStyle="1" w:styleId="maintext">
    <w:name w:val="main text"/>
    <w:basedOn w:val="Normal"/>
    <w:link w:val="maintextChar"/>
    <w:qFormat/>
    <w:rsid w:val="00360C21"/>
    <w:pPr>
      <w:spacing w:before="60" w:after="60" w:line="288" w:lineRule="auto"/>
      <w:ind w:firstLineChars="200" w:firstLine="200"/>
      <w:jc w:val="both"/>
    </w:pPr>
    <w:rPr>
      <w:rFonts w:ascii="Malgun Gothic" w:eastAsia="Malgun Gothic" w:hAnsi="Malgun Gothic" w:cs="Batang"/>
      <w:lang w:eastAsia="ko-KR"/>
    </w:rPr>
  </w:style>
  <w:style w:type="paragraph" w:styleId="NormalWeb">
    <w:name w:val="Normal (Web)"/>
    <w:basedOn w:val="Normal"/>
    <w:uiPriority w:val="99"/>
    <w:semiHidden/>
    <w:unhideWhenUsed/>
    <w:rsid w:val="00B41D79"/>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78757">
      <w:bodyDiv w:val="1"/>
      <w:marLeft w:val="0"/>
      <w:marRight w:val="0"/>
      <w:marTop w:val="0"/>
      <w:marBottom w:val="0"/>
      <w:divBdr>
        <w:top w:val="none" w:sz="0" w:space="0" w:color="auto"/>
        <w:left w:val="none" w:sz="0" w:space="0" w:color="auto"/>
        <w:bottom w:val="none" w:sz="0" w:space="0" w:color="auto"/>
        <w:right w:val="none" w:sz="0" w:space="0" w:color="auto"/>
      </w:divBdr>
    </w:div>
    <w:div w:id="127436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5AIRPNAIUNRU-1830940522-3055</_dlc_DocId>
    <_dlc_DocIdUrl xmlns="71c5aaf6-e6ce-465b-b873-5148d2a4c105">
      <Url>https://nokia.sharepoint.com/sites/c5g/5gradio/_layouts/15/DocIdRedir.aspx?ID=5AIRPNAIUNRU-1830940522-3055</Url>
      <Description>5AIRPNAIUNRU-1830940522-3055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FD914-FE79-4D89-B1B3-07F01892142C}">
  <ds:schemaRefs>
    <ds:schemaRef ds:uri="Microsoft.SharePoint.Taxonomy.ContentTypeSync"/>
  </ds:schemaRefs>
</ds:datastoreItem>
</file>

<file path=customXml/itemProps2.xml><?xml version="1.0" encoding="utf-8"?>
<ds:datastoreItem xmlns:ds="http://schemas.openxmlformats.org/officeDocument/2006/customXml" ds:itemID="{88BEC34E-AC09-42C6-8413-093ECB91D3F9}">
  <ds:schemaRefs>
    <ds:schemaRef ds:uri="http://schemas.microsoft.com/sharepoint/events"/>
  </ds:schemaRefs>
</ds:datastoreItem>
</file>

<file path=customXml/itemProps3.xml><?xml version="1.0" encoding="utf-8"?>
<ds:datastoreItem xmlns:ds="http://schemas.openxmlformats.org/officeDocument/2006/customXml" ds:itemID="{E6FA2486-A42B-4F2C-8EB8-DB5D0F447257}">
  <ds:schemaRefs>
    <ds:schemaRef ds:uri="http://schemas.microsoft.com/sharepoint/v3/contenttype/forms"/>
  </ds:schemaRefs>
</ds:datastoreItem>
</file>

<file path=customXml/itemProps4.xml><?xml version="1.0" encoding="utf-8"?>
<ds:datastoreItem xmlns:ds="http://schemas.openxmlformats.org/officeDocument/2006/customXml" ds:itemID="{BCB5FF53-0B99-4AD7-B136-E3E547536BC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53FCED2-92F1-43BB-A322-2FCAA0C98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14C31E-A6C6-441C-A610-AA58C735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1568</Words>
  <Characters>8942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Nokia;Nokia Shanghai Bell</dc:creator>
  <cp:keywords/>
  <dc:description/>
  <cp:lastModifiedBy>Jayasinghe, Keeth (Nokia - FI/Espoo)</cp:lastModifiedBy>
  <cp:revision>6</cp:revision>
  <cp:lastPrinted>2018-04-06T11:36:00Z</cp:lastPrinted>
  <dcterms:created xsi:type="dcterms:W3CDTF">2018-04-06T11:59:00Z</dcterms:created>
  <dcterms:modified xsi:type="dcterms:W3CDTF">2018-04-06T15:50:00Z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SIP_Label_69302123-5948-4868-ab07-6a45d4659f6f_Enabled">
    <vt:lpwstr>False</vt:lpwstr>
  </property>
  <property fmtid="{D5CDD505-2E9C-101B-9397-08002B2CF9AE}" pid="21" name="MSIP_Label_69302123-5948-4868-ab07-6a45d4659f6f_SiteId">
    <vt:lpwstr>5d471751-9675-428d-917b-70f44f9630b0</vt:lpwstr>
  </property>
  <property fmtid="{D5CDD505-2E9C-101B-9397-08002B2CF9AE}" pid="22" name="MSIP_Label_69302123-5948-4868-ab07-6a45d4659f6f_Owner">
    <vt:lpwstr>juha.s.korhonen@nokia-bell-labs.com</vt:lpwstr>
  </property>
  <property fmtid="{D5CDD505-2E9C-101B-9397-08002B2CF9AE}" pid="23" name="MSIP_Label_69302123-5948-4868-ab07-6a45d4659f6f_SetDate">
    <vt:lpwstr>2018-03-13T13:29:23.8185400+02:00</vt:lpwstr>
  </property>
  <property fmtid="{D5CDD505-2E9C-101B-9397-08002B2CF9AE}" pid="24" name="MSIP_Label_69302123-5948-4868-ab07-6a45d4659f6f_Name">
    <vt:lpwstr>Confidential</vt:lpwstr>
  </property>
  <property fmtid="{D5CDD505-2E9C-101B-9397-08002B2CF9AE}" pid="25" name="MSIP_Label_69302123-5948-4868-ab07-6a45d4659f6f_Application">
    <vt:lpwstr>Microsoft Azure Information Protection</vt:lpwstr>
  </property>
  <property fmtid="{D5CDD505-2E9C-101B-9397-08002B2CF9AE}" pid="26" name="MSIP_Label_69302123-5948-4868-ab07-6a45d4659f6f_Extended_MSFT_Method">
    <vt:lpwstr>Manual</vt:lpwstr>
  </property>
  <property fmtid="{D5CDD505-2E9C-101B-9397-08002B2CF9AE}" pid="27" name="MSIP_Label_31548a04-232c-4d2b-9540-8ad225fd25b3_Enabled">
    <vt:lpwstr>False</vt:lpwstr>
  </property>
  <property fmtid="{D5CDD505-2E9C-101B-9397-08002B2CF9AE}" pid="28" name="MSIP_Label_31548a04-232c-4d2b-9540-8ad225fd25b3_SiteId">
    <vt:lpwstr>5d471751-9675-428d-917b-70f44f9630b0</vt:lpwstr>
  </property>
  <property fmtid="{D5CDD505-2E9C-101B-9397-08002B2CF9AE}" pid="29" name="MSIP_Label_31548a04-232c-4d2b-9540-8ad225fd25b3_Owner">
    <vt:lpwstr>juha.s.korhonen@nokia-bell-labs.com</vt:lpwstr>
  </property>
  <property fmtid="{D5CDD505-2E9C-101B-9397-08002B2CF9AE}" pid="30" name="MSIP_Label_31548a04-232c-4d2b-9540-8ad225fd25b3_SetDate">
    <vt:lpwstr>2018-03-13T13:29:23.8185400+02:00</vt:lpwstr>
  </property>
  <property fmtid="{D5CDD505-2E9C-101B-9397-08002B2CF9AE}" pid="31" name="MSIP_Label_31548a04-232c-4d2b-9540-8ad225fd25b3_Name">
    <vt:lpwstr>Employees and externals</vt:lpwstr>
  </property>
  <property fmtid="{D5CDD505-2E9C-101B-9397-08002B2CF9AE}" pid="32" name="MSIP_Label_31548a04-232c-4d2b-9540-8ad225fd25b3_Application">
    <vt:lpwstr>Microsoft Azure Information Protection</vt:lpwstr>
  </property>
  <property fmtid="{D5CDD505-2E9C-101B-9397-08002B2CF9AE}" pid="33" name="MSIP_Label_31548a04-232c-4d2b-9540-8ad225fd25b3_Extended_MSFT_Method">
    <vt:lpwstr>Manual</vt:lpwstr>
  </property>
  <property fmtid="{D5CDD505-2E9C-101B-9397-08002B2CF9AE}" pid="34" name="MSIP_Label_31548a04-232c-4d2b-9540-8ad225fd25b3_Parent">
    <vt:lpwstr>69302123-5948-4868-ab07-6a45d4659f6f</vt:lpwstr>
  </property>
  <property fmtid="{D5CDD505-2E9C-101B-9397-08002B2CF9AE}" pid="35" name="Sensitivity">
    <vt:lpwstr/>
  </property>
  <property fmtid="{D5CDD505-2E9C-101B-9397-08002B2CF9AE}" pid="36" name="ContentTypeId">
    <vt:lpwstr>0x010100F72F5225BF40E546BD513D0BB4BDDD33</vt:lpwstr>
  </property>
  <property fmtid="{D5CDD505-2E9C-101B-9397-08002B2CF9AE}" pid="37" name="_dlc_DocIdItemGuid">
    <vt:lpwstr>95c8ba0b-3931-4e8b-8aa7-81fcf2d61823</vt:lpwstr>
  </property>
</Properties>
</file>