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DE1FC" w14:textId="01A2A4B0" w:rsidR="008A27E9" w:rsidRPr="008A27E9" w:rsidRDefault="008A27E9" w:rsidP="008A27E9">
      <w:pPr>
        <w:tabs>
          <w:tab w:val="center" w:pos="4536"/>
          <w:tab w:val="right" w:pos="8280"/>
          <w:tab w:val="right" w:pos="9639"/>
        </w:tabs>
        <w:ind w:right="2"/>
        <w:rPr>
          <w:rFonts w:ascii="Arial" w:hAnsi="Arial" w:cs="Arial"/>
          <w:b/>
          <w:bCs/>
          <w:sz w:val="24"/>
        </w:rPr>
      </w:pPr>
      <w:r w:rsidRPr="008A27E9">
        <w:rPr>
          <w:rFonts w:ascii="Arial" w:hAnsi="Arial" w:cs="Arial"/>
          <w:b/>
          <w:bCs/>
          <w:sz w:val="24"/>
        </w:rPr>
        <w:t>3GPP TSG RAN WG1 Meeting #92bis</w:t>
      </w:r>
      <w:r w:rsidRPr="008A27E9">
        <w:rPr>
          <w:rFonts w:ascii="Arial" w:hAnsi="Arial" w:cs="Arial"/>
          <w:b/>
          <w:bCs/>
          <w:sz w:val="24"/>
        </w:rPr>
        <w:tab/>
      </w:r>
      <w:r w:rsidRPr="008A27E9">
        <w:rPr>
          <w:rFonts w:ascii="Arial" w:hAnsi="Arial" w:cs="Arial"/>
          <w:b/>
          <w:bCs/>
          <w:sz w:val="24"/>
        </w:rPr>
        <w:tab/>
        <w:t>R1-18</w:t>
      </w:r>
      <w:r w:rsidR="006834B9">
        <w:rPr>
          <w:rFonts w:ascii="Arial" w:eastAsia="MS Mincho" w:hAnsi="Arial" w:cs="Arial"/>
          <w:b/>
          <w:bCs/>
          <w:sz w:val="24"/>
          <w:lang w:eastAsia="ja-JP"/>
        </w:rPr>
        <w:t>03990</w:t>
      </w:r>
    </w:p>
    <w:p w14:paraId="3FF3573D" w14:textId="77777777" w:rsidR="008A27E9" w:rsidRPr="008A27E9" w:rsidRDefault="008A27E9" w:rsidP="008A27E9">
      <w:pPr>
        <w:tabs>
          <w:tab w:val="center" w:pos="4536"/>
          <w:tab w:val="right" w:pos="9072"/>
        </w:tabs>
        <w:rPr>
          <w:rFonts w:ascii="Arial" w:eastAsia="MS Mincho" w:hAnsi="Arial" w:cs="Arial"/>
          <w:b/>
          <w:bCs/>
          <w:sz w:val="24"/>
          <w:lang w:eastAsia="ja-JP"/>
        </w:rPr>
      </w:pPr>
      <w:r w:rsidRPr="008A27E9">
        <w:rPr>
          <w:rFonts w:ascii="Arial" w:eastAsia="MS Mincho" w:hAnsi="Arial" w:cs="Arial"/>
          <w:b/>
          <w:bCs/>
          <w:sz w:val="24"/>
          <w:lang w:eastAsia="ja-JP"/>
        </w:rPr>
        <w:t>Sanya, China, April 16</w:t>
      </w:r>
      <w:r w:rsidRPr="008A27E9">
        <w:rPr>
          <w:rFonts w:ascii="Arial" w:eastAsia="MS Mincho" w:hAnsi="Arial" w:cs="Arial"/>
          <w:b/>
          <w:bCs/>
          <w:sz w:val="24"/>
          <w:vertAlign w:val="superscript"/>
          <w:lang w:eastAsia="ja-JP"/>
        </w:rPr>
        <w:t>th</w:t>
      </w:r>
      <w:r w:rsidRPr="008A27E9">
        <w:rPr>
          <w:rFonts w:ascii="Arial" w:eastAsia="MS Mincho" w:hAnsi="Arial" w:cs="Arial"/>
          <w:b/>
          <w:bCs/>
          <w:sz w:val="24"/>
          <w:lang w:eastAsia="ja-JP"/>
        </w:rPr>
        <w:t xml:space="preserve"> – 20</w:t>
      </w:r>
      <w:r w:rsidRPr="008A27E9">
        <w:rPr>
          <w:rFonts w:ascii="Arial" w:eastAsia="MS Mincho" w:hAnsi="Arial" w:cs="Arial"/>
          <w:b/>
          <w:bCs/>
          <w:sz w:val="24"/>
          <w:vertAlign w:val="superscript"/>
          <w:lang w:eastAsia="ja-JP"/>
        </w:rPr>
        <w:t>th</w:t>
      </w:r>
      <w:r w:rsidRPr="008A27E9">
        <w:rPr>
          <w:rFonts w:ascii="Arial" w:eastAsia="MS Mincho" w:hAnsi="Arial" w:cs="Arial"/>
          <w:b/>
          <w:bCs/>
          <w:sz w:val="24"/>
          <w:lang w:eastAsia="ja-JP"/>
        </w:rPr>
        <w:t xml:space="preserve">, 2018 </w:t>
      </w:r>
    </w:p>
    <w:p w14:paraId="79ECDB1D" w14:textId="77777777" w:rsidR="005B539F" w:rsidRPr="008A27E9" w:rsidRDefault="005B539F" w:rsidP="005B539F">
      <w:pPr>
        <w:pStyle w:val="a4"/>
        <w:tabs>
          <w:tab w:val="clear" w:pos="4536"/>
          <w:tab w:val="clear" w:pos="9072"/>
          <w:tab w:val="left" w:pos="1891"/>
        </w:tabs>
        <w:rPr>
          <w:rFonts w:eastAsia="宋体"/>
          <w:sz w:val="22"/>
          <w:lang w:eastAsia="zh-CN"/>
        </w:rPr>
      </w:pPr>
    </w:p>
    <w:p w14:paraId="0E9ED1DD" w14:textId="77777777" w:rsidR="005B539F" w:rsidRPr="008A3176" w:rsidRDefault="005B539F" w:rsidP="005B539F">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14:paraId="7DE5B52B" w14:textId="77ABAD11" w:rsidR="005B539F" w:rsidRPr="008A3176" w:rsidRDefault="005B539F" w:rsidP="005B539F">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8A27E9">
        <w:rPr>
          <w:sz w:val="22"/>
        </w:rPr>
        <w:t>Discussion of r</w:t>
      </w:r>
      <w:r w:rsidR="008A27E9">
        <w:rPr>
          <w:rFonts w:eastAsia="宋体"/>
          <w:sz w:val="22"/>
          <w:lang w:eastAsia="zh-CN"/>
        </w:rPr>
        <w:t>esource allocation for IAB</w:t>
      </w:r>
    </w:p>
    <w:p w14:paraId="70642110" w14:textId="2A0C9DEC" w:rsidR="005B539F" w:rsidRPr="008A3176" w:rsidRDefault="005B539F" w:rsidP="005B539F">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BB7550">
        <w:rPr>
          <w:rFonts w:eastAsia="宋体"/>
          <w:sz w:val="22"/>
          <w:lang w:eastAsia="zh-CN"/>
        </w:rPr>
        <w:t>7.</w:t>
      </w:r>
      <w:r w:rsidR="00257C05">
        <w:rPr>
          <w:rFonts w:eastAsia="宋体"/>
          <w:sz w:val="22"/>
          <w:lang w:eastAsia="zh-CN"/>
        </w:rPr>
        <w:t>1</w:t>
      </w:r>
    </w:p>
    <w:p w14:paraId="4C555920" w14:textId="77777777" w:rsidR="005B539F" w:rsidRPr="00BE781B" w:rsidRDefault="005B539F" w:rsidP="005B539F">
      <w:pPr>
        <w:pStyle w:val="a4"/>
        <w:tabs>
          <w:tab w:val="left" w:pos="1800"/>
        </w:tabs>
        <w:rPr>
          <w:sz w:val="22"/>
        </w:rPr>
      </w:pPr>
      <w:r w:rsidRPr="00BE781B">
        <w:rPr>
          <w:sz w:val="22"/>
        </w:rPr>
        <w:t>Document for:</w:t>
      </w:r>
      <w:r w:rsidRPr="00BE781B">
        <w:rPr>
          <w:sz w:val="22"/>
        </w:rPr>
        <w:tab/>
        <w:t>Discussion and Decision</w:t>
      </w:r>
    </w:p>
    <w:p w14:paraId="0148F346" w14:textId="77777777" w:rsidR="00FE5799" w:rsidRPr="002100D2" w:rsidRDefault="00FE5799" w:rsidP="00FE5799">
      <w:pPr>
        <w:pBdr>
          <w:bottom w:val="single" w:sz="4" w:space="1" w:color="auto"/>
        </w:pBdr>
        <w:tabs>
          <w:tab w:val="left" w:pos="2552"/>
        </w:tabs>
      </w:pPr>
    </w:p>
    <w:p w14:paraId="3FF1E53D" w14:textId="3D20918A" w:rsidR="00610EC6" w:rsidRDefault="00FE5799" w:rsidP="00BB7550">
      <w:pPr>
        <w:pStyle w:val="1"/>
        <w:spacing w:before="180"/>
        <w:ind w:left="562" w:hanging="562"/>
      </w:pPr>
      <w:r>
        <w:t>Introduction</w:t>
      </w:r>
    </w:p>
    <w:p w14:paraId="257C25FD" w14:textId="1A0A4503" w:rsidR="00BB7550" w:rsidRDefault="00BB7550" w:rsidP="00BB7550">
      <w:pPr>
        <w:pStyle w:val="a0"/>
        <w:rPr>
          <w:rFonts w:eastAsiaTheme="minorEastAsia"/>
          <w:lang w:eastAsia="zh-CN"/>
        </w:rPr>
      </w:pPr>
      <w:r>
        <w:rPr>
          <w:rFonts w:eastAsiaTheme="minorEastAsia" w:hint="eastAsia"/>
          <w:lang w:eastAsia="zh-CN"/>
        </w:rPr>
        <w:t>A new SID on Integrated Access and Backhual for NR was approved in RAN plenary #7</w:t>
      </w:r>
      <w:r w:rsidR="00C549CE">
        <w:rPr>
          <w:rFonts w:eastAsiaTheme="minorEastAsia"/>
          <w:lang w:eastAsia="zh-CN"/>
        </w:rPr>
        <w:t>8</w:t>
      </w:r>
      <w:r>
        <w:rPr>
          <w:rFonts w:eastAsiaTheme="minorEastAsia"/>
          <w:lang w:eastAsia="zh-CN"/>
        </w:rPr>
        <w:t xml:space="preserve">. Detailed objectives of the study item which are led by RAN1 working group are </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 </w:t>
      </w:r>
    </w:p>
    <w:p w14:paraId="3CEE38BC" w14:textId="77777777" w:rsidR="00BB7550" w:rsidRPr="00A86BF4" w:rsidRDefault="00BB7550" w:rsidP="00BB7550">
      <w:pPr>
        <w:rPr>
          <w:bCs/>
        </w:rPr>
      </w:pPr>
      <w:r w:rsidRPr="00BB060C">
        <w:rPr>
          <w:rFonts w:hint="eastAsia"/>
          <w:bCs/>
        </w:rPr>
        <w:t xml:space="preserve">Detailed objectives </w:t>
      </w:r>
      <w:r>
        <w:rPr>
          <w:bCs/>
        </w:rPr>
        <w:t xml:space="preserve">of the study item </w:t>
      </w:r>
      <w:r w:rsidRPr="00BB060C">
        <w:rPr>
          <w:rFonts w:hint="eastAsia"/>
          <w:bCs/>
        </w:rPr>
        <w:t>are:</w:t>
      </w:r>
    </w:p>
    <w:p w14:paraId="4D3DC534" w14:textId="24FC297F" w:rsidR="00BB7550" w:rsidRPr="00BB7550" w:rsidRDefault="00BB7550" w:rsidP="00BB7550">
      <w:pPr>
        <w:numPr>
          <w:ilvl w:val="0"/>
          <w:numId w:val="34"/>
        </w:numPr>
        <w:overflowPunct w:val="0"/>
        <w:autoSpaceDE w:val="0"/>
        <w:autoSpaceDN w:val="0"/>
        <w:adjustRightInd w:val="0"/>
        <w:textAlignment w:val="baseline"/>
        <w:rPr>
          <w:rFonts w:eastAsiaTheme="minorEastAsia"/>
          <w:lang w:eastAsia="zh-CN"/>
        </w:rPr>
      </w:pPr>
      <w:r>
        <w:rPr>
          <w:bCs/>
        </w:rPr>
        <w:t>……</w:t>
      </w:r>
    </w:p>
    <w:p w14:paraId="691EB571" w14:textId="77777777" w:rsidR="00C549CE" w:rsidRPr="00C549CE" w:rsidRDefault="00C549CE" w:rsidP="00C549CE">
      <w:pPr>
        <w:numPr>
          <w:ilvl w:val="0"/>
          <w:numId w:val="34"/>
        </w:numPr>
        <w:overflowPunct w:val="0"/>
        <w:autoSpaceDE w:val="0"/>
        <w:autoSpaceDN w:val="0"/>
        <w:adjustRightInd w:val="0"/>
        <w:textAlignment w:val="baseline"/>
        <w:rPr>
          <w:bCs/>
          <w:i/>
        </w:rPr>
      </w:pPr>
      <w:r w:rsidRPr="00C549CE">
        <w:rPr>
          <w:i/>
        </w:rPr>
        <w:t xml:space="preserve">Dynamic resource allocation between the backhaul and access links </w:t>
      </w:r>
      <w:r w:rsidRPr="00C549CE">
        <w:rPr>
          <w:bCs/>
          <w:i/>
        </w:rPr>
        <w:t xml:space="preserve">[RAN1, RAN2], e.g., </w:t>
      </w:r>
    </w:p>
    <w:p w14:paraId="5A238E62" w14:textId="77777777" w:rsidR="00C549CE" w:rsidRPr="00C549CE" w:rsidRDefault="00C549CE" w:rsidP="00C549CE">
      <w:pPr>
        <w:pStyle w:val="maintext"/>
        <w:numPr>
          <w:ilvl w:val="1"/>
          <w:numId w:val="34"/>
        </w:numPr>
        <w:spacing w:after="0" w:line="240" w:lineRule="auto"/>
        <w:ind w:firstLineChars="0"/>
        <w:rPr>
          <w:rFonts w:eastAsia="MS Mincho"/>
          <w:i/>
          <w:lang w:eastAsia="ja-JP"/>
        </w:rPr>
      </w:pPr>
      <w:r w:rsidRPr="00C549CE">
        <w:rPr>
          <w:rFonts w:eastAsia="Times New Roman" w:cs="Times New Roman"/>
          <w:i/>
          <w:lang w:eastAsia="en-US"/>
        </w:rPr>
        <w:t xml:space="preserve">Mechanisms </w:t>
      </w:r>
      <w:r w:rsidRPr="00C549CE">
        <w:rPr>
          <w:rFonts w:eastAsia="MS Mincho"/>
          <w:i/>
          <w:lang w:eastAsia="ja-JP"/>
        </w:rPr>
        <w:t xml:space="preserve">to efficiently </w:t>
      </w:r>
      <w:r w:rsidRPr="00C549CE">
        <w:rPr>
          <w:i/>
        </w:rPr>
        <w:t xml:space="preserve">multiplex access and backhaul links (for both DL and UL directions) in time, frequency, or space </w:t>
      </w:r>
      <w:r w:rsidRPr="00C549CE">
        <w:rPr>
          <w:rFonts w:eastAsia="MS Mincho"/>
          <w:i/>
          <w:lang w:eastAsia="ja-JP"/>
        </w:rPr>
        <w:t xml:space="preserve">under a per-link </w:t>
      </w:r>
      <w:r w:rsidRPr="00C549CE">
        <w:rPr>
          <w:bCs/>
          <w:i/>
          <w:lang w:val="en-US"/>
        </w:rPr>
        <w:t xml:space="preserve">half-duplex constraint </w:t>
      </w:r>
      <w:r w:rsidRPr="00C549CE">
        <w:rPr>
          <w:rFonts w:eastAsia="MS Mincho"/>
          <w:i/>
          <w:lang w:eastAsia="ja-JP"/>
        </w:rPr>
        <w:t xml:space="preserve">across one or multiple backhaul link hops for both TDD and FDD operation </w:t>
      </w:r>
    </w:p>
    <w:p w14:paraId="211A39BE" w14:textId="77777777" w:rsidR="00C549CE" w:rsidRPr="00C549CE" w:rsidRDefault="00C549CE" w:rsidP="00C549CE">
      <w:pPr>
        <w:pStyle w:val="maintext"/>
        <w:numPr>
          <w:ilvl w:val="1"/>
          <w:numId w:val="34"/>
        </w:numPr>
        <w:spacing w:after="0" w:line="240" w:lineRule="auto"/>
        <w:ind w:firstLineChars="0"/>
        <w:rPr>
          <w:rFonts w:eastAsia="MS Mincho"/>
          <w:i/>
          <w:lang w:eastAsia="ja-JP"/>
        </w:rPr>
      </w:pPr>
      <w:r w:rsidRPr="00C549CE">
        <w:rPr>
          <w:rFonts w:eastAsia="MS Mincho"/>
          <w:i/>
          <w:lang w:eastAsia="ja-JP"/>
        </w:rPr>
        <w:t>Cross-link interference (CLI) measurement, coordination and mitigation between rTRPs and UEs</w:t>
      </w:r>
    </w:p>
    <w:p w14:paraId="0625F655" w14:textId="77777777" w:rsidR="00C549CE" w:rsidRPr="00C549CE" w:rsidRDefault="00C549CE" w:rsidP="00C549CE">
      <w:pPr>
        <w:numPr>
          <w:ilvl w:val="0"/>
          <w:numId w:val="34"/>
        </w:numPr>
        <w:rPr>
          <w:i/>
          <w:lang w:eastAsia="ja-JP"/>
        </w:rPr>
      </w:pPr>
      <w:r w:rsidRPr="00C549CE">
        <w:rPr>
          <w:i/>
        </w:rPr>
        <w:t>High spectral efficiency while also supporting reliable transmission [RAN1]</w:t>
      </w:r>
    </w:p>
    <w:p w14:paraId="7967D937" w14:textId="77777777" w:rsidR="00C549CE" w:rsidRPr="00C549CE" w:rsidRDefault="00C549CE" w:rsidP="00C549CE">
      <w:pPr>
        <w:numPr>
          <w:ilvl w:val="1"/>
          <w:numId w:val="34"/>
        </w:numPr>
        <w:overflowPunct w:val="0"/>
        <w:autoSpaceDE w:val="0"/>
        <w:autoSpaceDN w:val="0"/>
        <w:adjustRightInd w:val="0"/>
        <w:spacing w:after="180"/>
        <w:textAlignment w:val="baseline"/>
        <w:rPr>
          <w:i/>
          <w:lang w:eastAsia="ja-JP"/>
        </w:rPr>
      </w:pPr>
      <w:r w:rsidRPr="00C549CE">
        <w:rPr>
          <w:i/>
          <w:lang w:eastAsia="ja-JP"/>
        </w:rPr>
        <w:t>Identification of physical layer solutions or enhancements to support wireless backhaul links with high spectral efficiency</w:t>
      </w:r>
    </w:p>
    <w:p w14:paraId="200517FB" w14:textId="77777777" w:rsidR="00C549CE" w:rsidRDefault="00C549CE" w:rsidP="00C549CE">
      <w:pPr>
        <w:numPr>
          <w:ilvl w:val="0"/>
          <w:numId w:val="34"/>
        </w:numPr>
        <w:rPr>
          <w:i/>
          <w:lang w:eastAsia="ja-JP"/>
        </w:rPr>
      </w:pPr>
      <w:r w:rsidRPr="00C549CE">
        <w:rPr>
          <w:i/>
          <w:lang w:eastAsia="ja-JP"/>
        </w:rPr>
        <w:t xml:space="preserve">Note: support of </w:t>
      </w:r>
      <w:r w:rsidRPr="00C549CE">
        <w:rPr>
          <w:i/>
        </w:rPr>
        <w:t>these</w:t>
      </w:r>
      <w:r w:rsidRPr="00C549CE">
        <w:rPr>
          <w:i/>
          <w:lang w:eastAsia="ja-JP"/>
        </w:rPr>
        <w:t xml:space="preserve"> functionalities should consider existing mechanisms for access links as a starting point</w:t>
      </w:r>
    </w:p>
    <w:p w14:paraId="31D5A0AE" w14:textId="77777777" w:rsidR="00C549CE" w:rsidRPr="00C549CE" w:rsidRDefault="00C549CE" w:rsidP="00C549CE">
      <w:pPr>
        <w:rPr>
          <w:i/>
          <w:lang w:eastAsia="ja-JP"/>
        </w:rPr>
      </w:pPr>
    </w:p>
    <w:p w14:paraId="5C9923E9" w14:textId="664F7A41" w:rsidR="00BB7550" w:rsidRDefault="00BB7550" w:rsidP="00BB7550">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is </w:t>
      </w:r>
      <w:r>
        <w:rPr>
          <w:rFonts w:eastAsiaTheme="minorEastAsia"/>
          <w:lang w:eastAsia="zh-CN"/>
        </w:rPr>
        <w:t>topic had been discussed in RAN2 working group firstly in RAN2 AH #1801 and the following agreements were achieved [2]:</w:t>
      </w:r>
    </w:p>
    <w:p w14:paraId="2BAA8230" w14:textId="77777777" w:rsidR="00BB7550" w:rsidRPr="00545AFD" w:rsidRDefault="00BB7550" w:rsidP="00BB7550">
      <w:pPr>
        <w:pStyle w:val="Doc-text2"/>
      </w:pPr>
    </w:p>
    <w:p w14:paraId="475133D1"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Agreements</w:t>
      </w:r>
    </w:p>
    <w:p w14:paraId="113DC49A"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 xml:space="preserve">1: </w:t>
      </w:r>
      <w:r w:rsidRPr="00545AFD">
        <w:tab/>
        <w:t>The Rel.15 study item focuses on IAB with physically fixed relays. Optimization for mobile relays in future releases is not precluded</w:t>
      </w:r>
    </w:p>
    <w:p w14:paraId="09ABFC19"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2</w:t>
      </w:r>
      <w:r w:rsidRPr="00545AFD">
        <w:tab/>
        <w:t xml:space="preserve">Common architecture supports both in-band and out-of-band IAB scenarios. </w:t>
      </w:r>
    </w:p>
    <w:p w14:paraId="25F30EBF"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2i</w:t>
      </w:r>
      <w:r w:rsidRPr="00545AFD">
        <w:tab/>
        <w:t>In-band IAB scenarios including (TDM/FDM/SDM) of access and backhaul links subject to half-duplex constraint at the IAB node are supported (This agreement does not exclude full duplex from being studied by RAN1)</w:t>
      </w:r>
    </w:p>
    <w:p w14:paraId="788969AF"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2ii</w:t>
      </w:r>
      <w:r w:rsidRPr="00545AFD">
        <w:tab/>
        <w:t>Out-of-band IAB scenarios are also supported using the same set of RAN features designed for in-band scenarios.  Study whether additional RAN features are needed for out-of-band scenarios</w:t>
      </w:r>
    </w:p>
    <w:p w14:paraId="4AA85689"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3</w:t>
      </w:r>
      <w:r w:rsidRPr="00545AFD">
        <w:tab/>
        <w:t xml:space="preserve">NR access over NR backhaul is studied with highest priority </w:t>
      </w:r>
    </w:p>
    <w:p w14:paraId="370C9844"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3i</w:t>
      </w:r>
      <w:r w:rsidRPr="00545AFD">
        <w:tab/>
        <w:t>Identify the additional architecture solutions required for LTE access over NR backhaul</w:t>
      </w:r>
    </w:p>
    <w:p w14:paraId="793A4204"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3ii</w:t>
      </w:r>
      <w:r w:rsidRPr="00545AFD">
        <w:tab/>
        <w:t>The IAB design shall at least support the following UEs to connect to a node which is backhauled using IAB:</w:t>
      </w:r>
    </w:p>
    <w:p w14:paraId="4B038113"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ab/>
        <w:t>1/</w:t>
      </w:r>
      <w:r w:rsidRPr="00545AFD">
        <w:tab/>
        <w:t>Rel. 15 NR UE</w:t>
      </w:r>
    </w:p>
    <w:p w14:paraId="607B85D9"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ab/>
        <w:t>2/</w:t>
      </w:r>
      <w:r w:rsidRPr="00545AFD">
        <w:tab/>
        <w:t>Legacy LTE UE if IAB supports backhauling of LTE access</w:t>
      </w:r>
    </w:p>
    <w:p w14:paraId="7DCACEC3"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4i</w:t>
      </w:r>
      <w:r w:rsidRPr="00545AFD">
        <w:tab/>
        <w:t>SA and NSA on the access link will be supported (For NSA on the access the relay is applied to the NR SCG path only)</w:t>
      </w:r>
    </w:p>
    <w:p w14:paraId="686B157C"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4ii</w:t>
      </w:r>
      <w:r w:rsidRPr="00545AFD">
        <w:tab/>
        <w:t xml:space="preserve">Both NSA and SA for the backhaul links will be studied. (For both SA and NSA backhaul, we will not study backhaul traffic over the LTE radio interface). </w:t>
      </w:r>
    </w:p>
    <w:p w14:paraId="6F241F9E"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4iii</w:t>
      </w:r>
      <w:r w:rsidRPr="00545AFD">
        <w:tab/>
        <w:t>For both 4i and 4ii the priority within the NSA options will be to consider the EN-DC case but this does not preclude study for other NSA options.</w:t>
      </w:r>
    </w:p>
    <w:p w14:paraId="57DDEDFA"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4iv Further study of the possible combinations of SA and NSA access and backhaul is needed to fully determine the scope of what will be studied.</w:t>
      </w:r>
    </w:p>
    <w:p w14:paraId="6EFBC1F0" w14:textId="77777777" w:rsidR="00BB7550" w:rsidRPr="00545AFD" w:rsidRDefault="00BB7550" w:rsidP="00BB7550">
      <w:pPr>
        <w:pStyle w:val="Doc-text2"/>
      </w:pPr>
    </w:p>
    <w:p w14:paraId="4B4C02DB"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Agreements</w:t>
      </w:r>
    </w:p>
    <w:p w14:paraId="3E167056"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lastRenderedPageBreak/>
        <w:t>1: IAB design shall support multiple backhaul hops</w:t>
      </w:r>
    </w:p>
    <w:p w14:paraId="7DE078D7"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ab/>
        <w:t>-</w:t>
      </w:r>
      <w:r w:rsidRPr="00545AFD">
        <w:tab/>
        <w:t>The architecture should not impose limits on the number of backhaul hops.</w:t>
      </w:r>
    </w:p>
    <w:p w14:paraId="2788DC00"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ab/>
        <w:t>-</w:t>
      </w:r>
      <w:r w:rsidRPr="00545AFD">
        <w:tab/>
        <w:t>The study should consider scalability to hop-count an important KPI.</w:t>
      </w:r>
    </w:p>
    <w:p w14:paraId="486CA445"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ab/>
        <w:t>-</w:t>
      </w:r>
      <w:r w:rsidRPr="00545AFD">
        <w:tab/>
        <w:t>Single hop is considered a special case of multiple backhaul hops.</w:t>
      </w:r>
    </w:p>
    <w:p w14:paraId="0AE6D4B8"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2: Topology adaptation for physically fixed relays is supported to enable robust operation, e.g., mitigate blockage and load variation on backhaul links</w:t>
      </w:r>
    </w:p>
    <w:p w14:paraId="547B4EAA"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3: L2 and L3 relay architectures will be studied. Definitions of L2- and L3-relaying in the context of IAB is FFS</w:t>
      </w:r>
    </w:p>
    <w:p w14:paraId="1985B5F6"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4: The IAB design should minimize the impact to core network specifications</w:t>
      </w:r>
    </w:p>
    <w:p w14:paraId="39A26EEA"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5: The study should consider the impact to the core network signalling load as an important KPI</w:t>
      </w:r>
    </w:p>
    <w:p w14:paraId="2785EAF7" w14:textId="77777777" w:rsidR="00BB7550" w:rsidRPr="00545AFD" w:rsidRDefault="00BB7550" w:rsidP="00BB7550">
      <w:pPr>
        <w:pStyle w:val="Doc-text2"/>
        <w:pBdr>
          <w:top w:val="single" w:sz="4" w:space="1" w:color="auto"/>
          <w:left w:val="single" w:sz="4" w:space="4" w:color="auto"/>
          <w:bottom w:val="single" w:sz="4" w:space="1" w:color="auto"/>
          <w:right w:val="single" w:sz="4" w:space="4" w:color="auto"/>
        </w:pBdr>
      </w:pPr>
      <w:r w:rsidRPr="00545AFD">
        <w:t>6: Strive to maximize reuse of Rel-15 NR specifications for the design of the backhaul link. Enhancement can also be considered.</w:t>
      </w:r>
    </w:p>
    <w:p w14:paraId="77FF7A24" w14:textId="77777777" w:rsidR="00BB7550" w:rsidRPr="00545AFD" w:rsidRDefault="00BB7550" w:rsidP="00C549CE">
      <w:pPr>
        <w:pStyle w:val="Doc-text2"/>
        <w:ind w:left="0" w:firstLine="0"/>
      </w:pPr>
    </w:p>
    <w:p w14:paraId="256D1D81" w14:textId="30940180" w:rsidR="00301823" w:rsidRDefault="00301823" w:rsidP="00301823">
      <w:pPr>
        <w:pStyle w:val="a0"/>
        <w:rPr>
          <w:rFonts w:eastAsia="宋体"/>
          <w:szCs w:val="20"/>
          <w:lang w:eastAsia="zh-CN"/>
        </w:rPr>
      </w:pPr>
      <w:r>
        <w:rPr>
          <w:rFonts w:eastAsia="宋体" w:hint="eastAsia"/>
          <w:szCs w:val="20"/>
          <w:lang w:eastAsia="zh-CN"/>
        </w:rPr>
        <w:t xml:space="preserve">In this contribution, we discuss the </w:t>
      </w:r>
      <w:r w:rsidR="00AA7711">
        <w:rPr>
          <w:rFonts w:eastAsia="宋体"/>
          <w:szCs w:val="20"/>
          <w:lang w:eastAsia="zh-CN"/>
        </w:rPr>
        <w:t>resource allocation scheme between access link and backhaul link</w:t>
      </w:r>
      <w:r>
        <w:rPr>
          <w:rFonts w:eastAsia="宋体" w:hint="eastAsia"/>
          <w:szCs w:val="20"/>
          <w:lang w:eastAsia="zh-CN"/>
        </w:rPr>
        <w:t xml:space="preserve">. </w:t>
      </w:r>
    </w:p>
    <w:p w14:paraId="5C1B0E10" w14:textId="5C129682" w:rsidR="00335683" w:rsidRDefault="00301823" w:rsidP="001B71FE">
      <w:pPr>
        <w:pStyle w:val="1"/>
        <w:rPr>
          <w:rFonts w:eastAsia="宋体"/>
          <w:lang w:eastAsia="zh-CN"/>
        </w:rPr>
      </w:pPr>
      <w:r>
        <w:rPr>
          <w:rFonts w:eastAsia="宋体"/>
          <w:lang w:eastAsia="zh-CN"/>
        </w:rPr>
        <w:t>Discussion</w:t>
      </w:r>
    </w:p>
    <w:p w14:paraId="1F3326A2" w14:textId="67C6B297" w:rsidR="00C77B8E" w:rsidRPr="00C77B8E" w:rsidRDefault="00C77B8E" w:rsidP="00023467">
      <w:pPr>
        <w:pStyle w:val="2"/>
        <w:rPr>
          <w:rFonts w:eastAsiaTheme="minorEastAsia"/>
          <w:lang w:eastAsia="zh-CN"/>
        </w:rPr>
      </w:pPr>
      <w:r>
        <w:rPr>
          <w:lang w:eastAsia="zh-CN"/>
        </w:rPr>
        <w:t>Relay in LTE system</w:t>
      </w:r>
    </w:p>
    <w:p w14:paraId="390A5767" w14:textId="31F6D860" w:rsidR="00AA7711" w:rsidRDefault="00C77B8E" w:rsidP="00AA7711">
      <w:pPr>
        <w:pStyle w:val="a0"/>
        <w:rPr>
          <w:rFonts w:eastAsiaTheme="minorEastAsia"/>
          <w:lang w:eastAsia="zh-CN"/>
        </w:rPr>
      </w:pPr>
      <w:r>
        <w:rPr>
          <w:rFonts w:eastAsiaTheme="minorEastAsia" w:hint="eastAsia"/>
          <w:lang w:eastAsia="zh-CN"/>
        </w:rPr>
        <w:t xml:space="preserve">The relay technique was studied and specified in Rel-10. </w:t>
      </w:r>
      <w:r>
        <w:rPr>
          <w:rFonts w:eastAsiaTheme="minorEastAsia"/>
          <w:lang w:eastAsia="zh-CN"/>
        </w:rPr>
        <w:t xml:space="preserve">The main motivation of relay is to extend the coverage. A typical relay structure is shown in figure 1. </w:t>
      </w:r>
    </w:p>
    <w:p w14:paraId="5D3C3F5C" w14:textId="29941BAF" w:rsidR="00C77B8E" w:rsidRDefault="00C77B8E" w:rsidP="00C77B8E">
      <w:pPr>
        <w:pStyle w:val="a0"/>
        <w:jc w:val="center"/>
      </w:pPr>
      <w:r>
        <w:object w:dxaOrig="4453" w:dyaOrig="1896" w14:anchorId="2308F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94.6pt" o:ole="">
            <v:imagedata r:id="rId8" o:title=""/>
          </v:shape>
          <o:OLEObject Type="Embed" ProgID="Visio.Drawing.15" ShapeID="_x0000_i1025" DrawAspect="Content" ObjectID="_1584363676" r:id="rId9"/>
        </w:object>
      </w:r>
    </w:p>
    <w:p w14:paraId="56A288A4" w14:textId="0D4A0F7C" w:rsidR="00C77B8E" w:rsidRDefault="00C77B8E" w:rsidP="00C77B8E">
      <w:pPr>
        <w:pStyle w:val="a6"/>
        <w:jc w:val="center"/>
      </w:pPr>
      <w:r>
        <w:t xml:space="preserve">Figure </w:t>
      </w:r>
      <w:r w:rsidR="00AE7E5E">
        <w:fldChar w:fldCharType="begin"/>
      </w:r>
      <w:r w:rsidR="00AE7E5E">
        <w:instrText xml:space="preserve"> SEQ Figure \* ARABIC </w:instrText>
      </w:r>
      <w:r w:rsidR="00AE7E5E">
        <w:fldChar w:fldCharType="separate"/>
      </w:r>
      <w:r w:rsidR="000B3A6A">
        <w:rPr>
          <w:noProof/>
        </w:rPr>
        <w:t>1</w:t>
      </w:r>
      <w:r w:rsidR="00AE7E5E">
        <w:rPr>
          <w:noProof/>
        </w:rPr>
        <w:fldChar w:fldCharType="end"/>
      </w:r>
      <w:r>
        <w:t xml:space="preserve"> illustration of relay structure</w:t>
      </w:r>
    </w:p>
    <w:p w14:paraId="52A6E3BF" w14:textId="687FE536" w:rsidR="00C77B8E" w:rsidRDefault="00C77B8E" w:rsidP="00C77B8E">
      <w:pPr>
        <w:pStyle w:val="a0"/>
        <w:rPr>
          <w:rFonts w:eastAsiaTheme="minorEastAsia"/>
          <w:lang w:eastAsia="zh-CN"/>
        </w:rPr>
      </w:pPr>
      <w:r>
        <w:rPr>
          <w:rFonts w:eastAsiaTheme="minorEastAsia"/>
          <w:lang w:eastAsia="zh-CN"/>
        </w:rPr>
        <w:t>A relay node is wireless connected to an eNB, which is called donor eNB. There are in total three kinds of links in relay system:</w:t>
      </w:r>
    </w:p>
    <w:p w14:paraId="677BE788" w14:textId="77777777" w:rsidR="00C77B8E" w:rsidRDefault="00C77B8E" w:rsidP="00C77B8E">
      <w:pPr>
        <w:pStyle w:val="a0"/>
        <w:numPr>
          <w:ilvl w:val="0"/>
          <w:numId w:val="35"/>
        </w:numPr>
        <w:rPr>
          <w:rFonts w:eastAsiaTheme="minorEastAsia"/>
          <w:lang w:eastAsia="zh-CN"/>
        </w:rPr>
      </w:pPr>
      <w:r>
        <w:rPr>
          <w:rFonts w:eastAsiaTheme="minorEastAsia"/>
          <w:lang w:eastAsia="zh-CN"/>
        </w:rPr>
        <w:t>Backhaul</w:t>
      </w:r>
      <w:r>
        <w:rPr>
          <w:rFonts w:eastAsiaTheme="minorEastAsia" w:hint="eastAsia"/>
          <w:lang w:eastAsia="zh-CN"/>
        </w:rPr>
        <w:t xml:space="preserve"> </w:t>
      </w:r>
      <w:r>
        <w:rPr>
          <w:rFonts w:eastAsiaTheme="minorEastAsia"/>
          <w:lang w:eastAsia="zh-CN"/>
        </w:rPr>
        <w:t>link: the link between donor eNB and relay node;</w:t>
      </w:r>
    </w:p>
    <w:p w14:paraId="176E41BF" w14:textId="77777777" w:rsidR="00C77B8E" w:rsidRDefault="00C77B8E" w:rsidP="00C77B8E">
      <w:pPr>
        <w:pStyle w:val="a0"/>
        <w:numPr>
          <w:ilvl w:val="0"/>
          <w:numId w:val="35"/>
        </w:numPr>
        <w:rPr>
          <w:rFonts w:eastAsiaTheme="minorEastAsia"/>
          <w:lang w:eastAsia="zh-CN"/>
        </w:rPr>
      </w:pPr>
      <w:r>
        <w:rPr>
          <w:rFonts w:eastAsiaTheme="minorEastAsia"/>
          <w:lang w:eastAsia="zh-CN"/>
        </w:rPr>
        <w:t>Access link: the link between relay node and UE</w:t>
      </w:r>
    </w:p>
    <w:p w14:paraId="7BDD0118" w14:textId="77777777" w:rsidR="00C77B8E" w:rsidRDefault="00C77B8E" w:rsidP="00C77B8E">
      <w:pPr>
        <w:pStyle w:val="a0"/>
        <w:numPr>
          <w:ilvl w:val="0"/>
          <w:numId w:val="35"/>
        </w:numPr>
        <w:rPr>
          <w:rFonts w:eastAsiaTheme="minorEastAsia"/>
          <w:lang w:eastAsia="zh-CN"/>
        </w:rPr>
      </w:pPr>
      <w:r>
        <w:rPr>
          <w:rFonts w:eastAsiaTheme="minorEastAsia"/>
          <w:lang w:eastAsia="zh-CN"/>
        </w:rPr>
        <w:t>Direct link: the link between donor eNB and UE</w:t>
      </w:r>
    </w:p>
    <w:p w14:paraId="776C356A" w14:textId="77777777" w:rsidR="00C77B8E" w:rsidRDefault="00C77B8E" w:rsidP="00C77B8E">
      <w:pPr>
        <w:rPr>
          <w:rFonts w:eastAsiaTheme="minorEastAsia"/>
        </w:rPr>
      </w:pPr>
    </w:p>
    <w:p w14:paraId="6D40B1C8" w14:textId="3AD78BFE" w:rsidR="00C77B8E" w:rsidRDefault="00C77B8E" w:rsidP="000B3A6A">
      <w:pPr>
        <w:pStyle w:val="a0"/>
        <w:rPr>
          <w:rFonts w:eastAsiaTheme="minorEastAsia"/>
          <w:lang w:eastAsia="zh-CN"/>
        </w:rPr>
      </w:pPr>
      <w:r>
        <w:rPr>
          <w:rFonts w:eastAsiaTheme="minorEastAsia" w:hint="eastAsia"/>
          <w:lang w:eastAsia="zh-CN"/>
        </w:rPr>
        <w:t xml:space="preserve">Because of half-duplex limitation of relay node, it cannot transmit and receive at the same time in the same band. </w:t>
      </w:r>
      <w:r>
        <w:rPr>
          <w:rFonts w:eastAsiaTheme="minorEastAsia"/>
          <w:lang w:eastAsia="zh-CN"/>
        </w:rPr>
        <w:t>TDM resource multiplexing between access link and backhaul link is preferred. In LTE system, to backward compatible with legacy LTE terminals, CRS should be transmitted every subframe. Only the subframes which are configured as MBSFN subframe in access link can be used by backhaul link. Furthermore, only the symbols within the MBSFN subframe which does not used for CRS transmission in access link can be used by backhaul link. One illustration of the resource allocation between access link and backhaul link in LTE is shown in figure 2.</w:t>
      </w:r>
    </w:p>
    <w:p w14:paraId="41BB232C" w14:textId="39C27E6F" w:rsidR="00C77B8E" w:rsidRDefault="00C77B8E" w:rsidP="00C77B8E">
      <w:pPr>
        <w:jc w:val="center"/>
        <w:rPr>
          <w:rFonts w:eastAsiaTheme="minorEastAsia"/>
          <w:lang w:eastAsia="zh-CN"/>
        </w:rPr>
      </w:pPr>
      <w:r w:rsidRPr="00F77017">
        <w:rPr>
          <w:noProof/>
          <w:lang w:eastAsia="zh-CN"/>
        </w:rPr>
        <w:drawing>
          <wp:inline distT="0" distB="0" distL="0" distR="0" wp14:anchorId="4EAB3807" wp14:editId="4C1E196E">
            <wp:extent cx="4253865" cy="12642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53865" cy="1264285"/>
                    </a:xfrm>
                    <a:prstGeom prst="rect">
                      <a:avLst/>
                    </a:prstGeom>
                    <a:noFill/>
                    <a:ln>
                      <a:noFill/>
                    </a:ln>
                  </pic:spPr>
                </pic:pic>
              </a:graphicData>
            </a:graphic>
          </wp:inline>
        </w:drawing>
      </w:r>
    </w:p>
    <w:p w14:paraId="480C442B" w14:textId="6D84EADE" w:rsidR="00C77B8E" w:rsidRDefault="00C77B8E" w:rsidP="00C77B8E">
      <w:pPr>
        <w:pStyle w:val="a6"/>
        <w:jc w:val="center"/>
        <w:rPr>
          <w:rFonts w:eastAsiaTheme="minorEastAsia"/>
          <w:lang w:eastAsia="zh-CN"/>
        </w:rPr>
      </w:pPr>
      <w:r>
        <w:t xml:space="preserve">Figure </w:t>
      </w:r>
      <w:r w:rsidR="00AE7E5E">
        <w:fldChar w:fldCharType="begin"/>
      </w:r>
      <w:r w:rsidR="00AE7E5E">
        <w:instrText xml:space="preserve"> SEQ Figure \* ARABIC </w:instrText>
      </w:r>
      <w:r w:rsidR="00AE7E5E">
        <w:fldChar w:fldCharType="separate"/>
      </w:r>
      <w:r w:rsidR="000B3A6A">
        <w:rPr>
          <w:noProof/>
        </w:rPr>
        <w:t>2</w:t>
      </w:r>
      <w:r w:rsidR="00AE7E5E">
        <w:rPr>
          <w:noProof/>
        </w:rPr>
        <w:fldChar w:fldCharType="end"/>
      </w:r>
      <w:r>
        <w:t xml:space="preserve"> TDM resource multiplexing between access link and backhaul link in LTE</w:t>
      </w:r>
    </w:p>
    <w:p w14:paraId="15BFA85B" w14:textId="6669CAF8" w:rsidR="00C77B8E" w:rsidRPr="00C77B8E" w:rsidRDefault="00C77B8E" w:rsidP="00C77B8E">
      <w:pPr>
        <w:pStyle w:val="2"/>
        <w:rPr>
          <w:rFonts w:eastAsiaTheme="minorEastAsia"/>
          <w:lang w:eastAsia="zh-CN"/>
        </w:rPr>
      </w:pPr>
      <w:r>
        <w:rPr>
          <w:lang w:eastAsia="zh-CN"/>
        </w:rPr>
        <w:lastRenderedPageBreak/>
        <w:t>Relay in NR system</w:t>
      </w:r>
    </w:p>
    <w:p w14:paraId="75792A42" w14:textId="06BDFF1C" w:rsidR="00C77B8E" w:rsidRDefault="00023467" w:rsidP="000B3A6A">
      <w:pPr>
        <w:pStyle w:val="a0"/>
        <w:rPr>
          <w:rFonts w:eastAsiaTheme="minorEastAsia"/>
          <w:lang w:eastAsia="zh-CN"/>
        </w:rPr>
      </w:pPr>
      <w:r>
        <w:rPr>
          <w:rFonts w:eastAsiaTheme="minorEastAsia"/>
          <w:lang w:eastAsia="zh-CN"/>
        </w:rPr>
        <w:t xml:space="preserve">According to the RAN2 agreement, NR access over NR backhaul is studied with highest priority. </w:t>
      </w:r>
      <w:r>
        <w:rPr>
          <w:rFonts w:eastAsiaTheme="minorEastAsia" w:hint="eastAsia"/>
          <w:lang w:eastAsia="zh-CN"/>
        </w:rPr>
        <w:t>In NR system, there is no limitation of CRS transmission on ev</w:t>
      </w:r>
      <w:r>
        <w:rPr>
          <w:rFonts w:eastAsiaTheme="minorEastAsia"/>
          <w:lang w:eastAsia="zh-CN"/>
        </w:rPr>
        <w:t>ery subframe. All of the reference signal can be configured for transmission</w:t>
      </w:r>
      <w:r w:rsidR="00C549CE">
        <w:rPr>
          <w:rFonts w:eastAsiaTheme="minorEastAsia"/>
          <w:lang w:eastAsia="zh-CN"/>
        </w:rPr>
        <w:t xml:space="preserve"> combined with its corresponding data packet</w:t>
      </w:r>
      <w:r>
        <w:rPr>
          <w:rFonts w:eastAsiaTheme="minorEastAsia"/>
          <w:lang w:eastAsia="zh-CN"/>
        </w:rPr>
        <w:t xml:space="preserve">. </w:t>
      </w:r>
      <w:r w:rsidR="000B3A6A">
        <w:rPr>
          <w:rFonts w:eastAsiaTheme="minorEastAsia"/>
          <w:lang w:eastAsia="zh-CN"/>
        </w:rPr>
        <w:t>Generally, any slot in the access link can be configured as reserved for backhaul transmission. Furthermore, the slot format of NR system is more flexible. The transmission direction, DL, UL or flexible, per symbol per slot can be explicitly configured, such as by semi-static UL/DL assignment or SFI, or implicitly configured, such as by dynamic DCI or UE-specific RRC signaling. If a symbol is configured as flexible and not override</w:t>
      </w:r>
      <w:r w:rsidR="00C549CE">
        <w:rPr>
          <w:rFonts w:eastAsiaTheme="minorEastAsia"/>
          <w:lang w:eastAsia="zh-CN"/>
        </w:rPr>
        <w:t>n</w:t>
      </w:r>
      <w:r w:rsidR="000B3A6A">
        <w:rPr>
          <w:rFonts w:eastAsiaTheme="minorEastAsia"/>
          <w:lang w:eastAsia="zh-CN"/>
        </w:rPr>
        <w:t xml:space="preserve"> by other signaling, it can be seen as reserved symbol and not used for transmission. Therefore, there are two levels for resource multiplexing between access link and backhaul link, which is shown in figure 3.</w:t>
      </w:r>
    </w:p>
    <w:p w14:paraId="0EF376D5" w14:textId="176DAFE8" w:rsidR="000B3A6A" w:rsidRDefault="00C549CE" w:rsidP="000B3A6A">
      <w:pPr>
        <w:pStyle w:val="a0"/>
        <w:jc w:val="center"/>
      </w:pPr>
      <w:r>
        <w:object w:dxaOrig="7045" w:dyaOrig="3877" w14:anchorId="3C17B280">
          <v:shape id="_x0000_i1026" type="#_x0000_t75" style="width:311.1pt;height:170.75pt" o:ole="">
            <v:imagedata r:id="rId11" o:title=""/>
          </v:shape>
          <o:OLEObject Type="Embed" ProgID="Visio.Drawing.15" ShapeID="_x0000_i1026" DrawAspect="Content" ObjectID="_1584363677" r:id="rId12"/>
        </w:object>
      </w:r>
    </w:p>
    <w:p w14:paraId="211DF5A5" w14:textId="668F7371" w:rsidR="000B3A6A" w:rsidRDefault="000B3A6A" w:rsidP="000B3A6A">
      <w:pPr>
        <w:pStyle w:val="a6"/>
        <w:jc w:val="center"/>
        <w:rPr>
          <w:rFonts w:eastAsiaTheme="minorEastAsia"/>
          <w:lang w:eastAsia="zh-CN"/>
        </w:rPr>
      </w:pPr>
      <w:r>
        <w:t xml:space="preserve">Figure </w:t>
      </w:r>
      <w:r w:rsidR="00AE7E5E">
        <w:fldChar w:fldCharType="begin"/>
      </w:r>
      <w:r w:rsidR="00AE7E5E">
        <w:instrText xml:space="preserve"> SEQ Figure \* ARABIC </w:instrText>
      </w:r>
      <w:r w:rsidR="00AE7E5E">
        <w:fldChar w:fldCharType="separate"/>
      </w:r>
      <w:r>
        <w:rPr>
          <w:noProof/>
        </w:rPr>
        <w:t>3</w:t>
      </w:r>
      <w:r w:rsidR="00AE7E5E">
        <w:rPr>
          <w:noProof/>
        </w:rPr>
        <w:fldChar w:fldCharType="end"/>
      </w:r>
      <w:r>
        <w:t xml:space="preserve"> Resource multiplexing between access link and backhaul link</w:t>
      </w:r>
    </w:p>
    <w:p w14:paraId="7F9198A5" w14:textId="716BB142" w:rsidR="000B3A6A" w:rsidRDefault="000B3A6A" w:rsidP="000B3A6A">
      <w:pPr>
        <w:pStyle w:val="a0"/>
        <w:numPr>
          <w:ilvl w:val="0"/>
          <w:numId w:val="37"/>
        </w:numPr>
        <w:rPr>
          <w:rFonts w:eastAsiaTheme="minorEastAsia"/>
          <w:lang w:eastAsia="zh-CN"/>
        </w:rPr>
      </w:pPr>
      <w:r>
        <w:rPr>
          <w:rFonts w:eastAsiaTheme="minorEastAsia"/>
          <w:lang w:eastAsia="zh-CN"/>
        </w:rPr>
        <w:t>S</w:t>
      </w:r>
      <w:r>
        <w:rPr>
          <w:rFonts w:eastAsiaTheme="minorEastAsia" w:hint="eastAsia"/>
          <w:lang w:eastAsia="zh-CN"/>
        </w:rPr>
        <w:t xml:space="preserve">lot </w:t>
      </w:r>
      <w:r>
        <w:rPr>
          <w:rFonts w:eastAsiaTheme="minorEastAsia"/>
          <w:lang w:eastAsia="zh-CN"/>
        </w:rPr>
        <w:t xml:space="preserve">level: a specific </w:t>
      </w:r>
      <w:r w:rsidR="00C549CE">
        <w:rPr>
          <w:rFonts w:eastAsiaTheme="minorEastAsia"/>
          <w:lang w:eastAsia="zh-CN"/>
        </w:rPr>
        <w:t xml:space="preserve">slot </w:t>
      </w:r>
      <w:r>
        <w:rPr>
          <w:rFonts w:eastAsiaTheme="minorEastAsia"/>
          <w:lang w:eastAsia="zh-CN"/>
        </w:rPr>
        <w:t xml:space="preserve">is configure by RN as reserved slot which will not be used by access link. This </w:t>
      </w:r>
      <w:r w:rsidR="00C549CE">
        <w:rPr>
          <w:rFonts w:eastAsiaTheme="minorEastAsia"/>
          <w:lang w:eastAsia="zh-CN"/>
        </w:rPr>
        <w:t>slot</w:t>
      </w:r>
      <w:r>
        <w:rPr>
          <w:rFonts w:eastAsiaTheme="minorEastAsia"/>
          <w:lang w:eastAsia="zh-CN"/>
        </w:rPr>
        <w:t xml:space="preserve"> can be used by backhaul link. All of the symbols in this subframe is set as flexible by both semi-static UL/DL assignment and SFI, and not overridden </w:t>
      </w:r>
      <w:r w:rsidR="00F62276">
        <w:rPr>
          <w:rFonts w:eastAsiaTheme="minorEastAsia"/>
          <w:lang w:eastAsia="zh-CN"/>
        </w:rPr>
        <w:t>by other signals, such as UE-specific scheduling signaling.</w:t>
      </w:r>
    </w:p>
    <w:p w14:paraId="66554DFD" w14:textId="5A5F6F9B" w:rsidR="000B3A6A" w:rsidRPr="000B3A6A" w:rsidRDefault="000B3A6A" w:rsidP="000B3A6A">
      <w:pPr>
        <w:pStyle w:val="a0"/>
        <w:numPr>
          <w:ilvl w:val="0"/>
          <w:numId w:val="37"/>
        </w:numPr>
        <w:rPr>
          <w:rFonts w:eastAsiaTheme="minorEastAsia"/>
          <w:lang w:eastAsia="zh-CN"/>
        </w:rPr>
      </w:pPr>
      <w:r>
        <w:rPr>
          <w:rFonts w:eastAsiaTheme="minorEastAsia"/>
          <w:lang w:eastAsia="zh-CN"/>
        </w:rPr>
        <w:t xml:space="preserve">Symbol level: Some symbols of a </w:t>
      </w:r>
      <w:r w:rsidR="00C549CE">
        <w:rPr>
          <w:rFonts w:eastAsiaTheme="minorEastAsia"/>
          <w:lang w:eastAsia="zh-CN"/>
        </w:rPr>
        <w:t>slot</w:t>
      </w:r>
      <w:r>
        <w:rPr>
          <w:rFonts w:eastAsiaTheme="minorEastAsia"/>
          <w:lang w:eastAsia="zh-CN"/>
        </w:rPr>
        <w:t xml:space="preserve"> can be set as reserved by RN and not used by access link. These symbols will be used by backhaul link. </w:t>
      </w:r>
    </w:p>
    <w:p w14:paraId="1761EE8A" w14:textId="6649E2D7" w:rsidR="00C77B8E" w:rsidRPr="000B3A6A" w:rsidRDefault="000B3A6A" w:rsidP="00AA7711">
      <w:pPr>
        <w:pStyle w:val="a0"/>
        <w:rPr>
          <w:rFonts w:eastAsiaTheme="minorEastAsia"/>
          <w:b/>
          <w:lang w:eastAsia="zh-CN"/>
        </w:rPr>
      </w:pPr>
      <w:r w:rsidRPr="000B3A6A">
        <w:rPr>
          <w:rFonts w:eastAsiaTheme="minorEastAsia" w:hint="eastAsia"/>
          <w:b/>
          <w:lang w:eastAsia="zh-CN"/>
        </w:rPr>
        <w:t>Proposal 1: Both slot level and symbol level resource multiplexing between access link and backhaul link can be considered in NR relay system.</w:t>
      </w:r>
    </w:p>
    <w:p w14:paraId="4D703FBC" w14:textId="388728FB" w:rsidR="000B3A6A" w:rsidRDefault="00F62276" w:rsidP="00AA7711">
      <w:pPr>
        <w:pStyle w:val="a0"/>
        <w:rPr>
          <w:rFonts w:eastAsiaTheme="minorEastAsia"/>
          <w:lang w:eastAsia="zh-CN"/>
        </w:rPr>
      </w:pPr>
      <w:r>
        <w:rPr>
          <w:rFonts w:eastAsiaTheme="minorEastAsia" w:hint="eastAsia"/>
          <w:lang w:eastAsia="zh-CN"/>
        </w:rPr>
        <w:t xml:space="preserve">In NR system, the </w:t>
      </w:r>
      <w:r>
        <w:rPr>
          <w:rFonts w:eastAsiaTheme="minorEastAsia"/>
          <w:lang w:eastAsia="zh-CN"/>
        </w:rPr>
        <w:t xml:space="preserve">transmission </w:t>
      </w:r>
      <w:r>
        <w:rPr>
          <w:rFonts w:eastAsiaTheme="minorEastAsia" w:hint="eastAsia"/>
          <w:lang w:eastAsia="zh-CN"/>
        </w:rPr>
        <w:t xml:space="preserve">resource for </w:t>
      </w:r>
      <w:r>
        <w:rPr>
          <w:rFonts w:eastAsiaTheme="minorEastAsia"/>
          <w:lang w:eastAsia="zh-CN"/>
        </w:rPr>
        <w:t>all kinds of signaling can be configured, such as the resource for SSB, RMSI, OSI, paging, RACH, CORESET, etc. Considering the resource multiplexing between access link and backhaul link, the resource configured for these kinds of signaling in access link should not conflict with the resource reserved for backhaul link.</w:t>
      </w:r>
    </w:p>
    <w:p w14:paraId="14D7DEB3" w14:textId="1A496E58" w:rsidR="00F62276" w:rsidRPr="00F62276" w:rsidRDefault="00F62276" w:rsidP="00AA7711">
      <w:pPr>
        <w:pStyle w:val="a0"/>
        <w:rPr>
          <w:rFonts w:eastAsiaTheme="minorEastAsia"/>
          <w:b/>
          <w:lang w:eastAsia="zh-CN"/>
        </w:rPr>
      </w:pPr>
      <w:r w:rsidRPr="00F62276">
        <w:rPr>
          <w:rFonts w:eastAsiaTheme="minorEastAsia"/>
          <w:b/>
          <w:lang w:eastAsia="zh-CN"/>
        </w:rPr>
        <w:t>Proposal 2: The resource configured for the signaling</w:t>
      </w:r>
      <w:r w:rsidR="00C549CE">
        <w:rPr>
          <w:rFonts w:eastAsiaTheme="minorEastAsia"/>
          <w:b/>
          <w:lang w:eastAsia="zh-CN"/>
        </w:rPr>
        <w:t xml:space="preserve"> in the access link</w:t>
      </w:r>
      <w:r w:rsidRPr="00F62276">
        <w:rPr>
          <w:rFonts w:eastAsiaTheme="minorEastAsia"/>
          <w:b/>
          <w:lang w:eastAsia="zh-CN"/>
        </w:rPr>
        <w:t>, such as SSB, RMSI, OSI, paging, RACH, CORESET, etc, should not conflict with the resource reserved for backhaul link.</w:t>
      </w:r>
    </w:p>
    <w:p w14:paraId="2601D146" w14:textId="77777777" w:rsidR="00D466BB" w:rsidRDefault="00F62276" w:rsidP="00AA7711">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slot level resource multiplexing between access link and backhaul link, existing slot format defined in [3] can be used to determine the slot format per slot</w:t>
      </w:r>
      <w:r w:rsidRPr="00F62276">
        <w:rPr>
          <w:rFonts w:eastAsiaTheme="minorEastAsia"/>
          <w:lang w:eastAsia="zh-CN"/>
        </w:rPr>
        <w:t xml:space="preserve"> </w:t>
      </w:r>
      <w:r>
        <w:rPr>
          <w:rFonts w:eastAsiaTheme="minorEastAsia"/>
          <w:lang w:eastAsia="zh-CN"/>
        </w:rPr>
        <w:t xml:space="preserve">for both access link and backhaul link. While for symbol level resource multiplexing, the slot format in access link can reuse existing slot format table in [3], among which some symbols of a subframe can be set as flexible to be used by backhaul link. In backhaul link, only part of the symbols of a slot can be used, existing slot format cannot be applied directly. </w:t>
      </w:r>
      <w:r w:rsidR="00D466BB">
        <w:rPr>
          <w:rFonts w:eastAsiaTheme="minorEastAsia"/>
          <w:lang w:eastAsia="zh-CN"/>
        </w:rPr>
        <w:t>New slot format should be defined for backhaul link in case of symbol level resource multiplexing between access link and backhaul link.</w:t>
      </w:r>
    </w:p>
    <w:p w14:paraId="0472BC8E" w14:textId="4E9813CA" w:rsidR="00D466BB" w:rsidRDefault="00D466BB" w:rsidP="00AA7711">
      <w:pPr>
        <w:pStyle w:val="a0"/>
        <w:rPr>
          <w:rFonts w:eastAsiaTheme="minorEastAsia"/>
          <w:lang w:eastAsia="zh-CN"/>
        </w:rPr>
      </w:pPr>
      <w:r w:rsidRPr="009C6314">
        <w:rPr>
          <w:rFonts w:eastAsiaTheme="minorEastAsia"/>
          <w:b/>
          <w:lang w:eastAsia="zh-CN"/>
        </w:rPr>
        <w:t>Proposal</w:t>
      </w:r>
      <w:r>
        <w:rPr>
          <w:rFonts w:eastAsiaTheme="minorEastAsia"/>
          <w:b/>
          <w:lang w:eastAsia="zh-CN"/>
        </w:rPr>
        <w:t xml:space="preserve"> 3: Slot format for backhaul link should be defined in case of symbol level resource multiplexing between access link and backhaul link.</w:t>
      </w:r>
    </w:p>
    <w:p w14:paraId="2E06406D" w14:textId="2EC631D6" w:rsidR="00F62276" w:rsidRDefault="00F62276" w:rsidP="00AA7711">
      <w:pPr>
        <w:pStyle w:val="a0"/>
        <w:rPr>
          <w:rFonts w:eastAsiaTheme="minorEastAsia"/>
          <w:lang w:eastAsia="zh-CN"/>
        </w:rPr>
      </w:pPr>
      <w:r>
        <w:rPr>
          <w:rFonts w:eastAsiaTheme="minorEastAsia"/>
          <w:lang w:eastAsia="zh-CN"/>
        </w:rPr>
        <w:t>There are two options to indicate the slot format for backhaul link:</w:t>
      </w:r>
    </w:p>
    <w:p w14:paraId="0A69FF95" w14:textId="4687D731" w:rsidR="00F62276" w:rsidRDefault="00F62276" w:rsidP="00F62276">
      <w:pPr>
        <w:pStyle w:val="a0"/>
        <w:numPr>
          <w:ilvl w:val="0"/>
          <w:numId w:val="38"/>
        </w:numPr>
        <w:rPr>
          <w:rFonts w:eastAsiaTheme="minorEastAsia"/>
          <w:lang w:eastAsia="zh-CN"/>
        </w:rPr>
      </w:pPr>
      <w:r>
        <w:rPr>
          <w:rFonts w:eastAsiaTheme="minorEastAsia"/>
          <w:lang w:eastAsia="zh-CN"/>
        </w:rPr>
        <w:t xml:space="preserve">Option 1: new slot format table defined for backhaul link. Each entry of the table defines a slot format with N symbols, N&lt;14. </w:t>
      </w:r>
    </w:p>
    <w:p w14:paraId="64574512" w14:textId="0301AE51" w:rsidR="00F62276" w:rsidRDefault="00F62276" w:rsidP="00F62276">
      <w:pPr>
        <w:pStyle w:val="a0"/>
        <w:numPr>
          <w:ilvl w:val="0"/>
          <w:numId w:val="38"/>
        </w:numPr>
        <w:rPr>
          <w:rFonts w:eastAsiaTheme="minorEastAsia"/>
          <w:lang w:eastAsia="zh-CN"/>
        </w:rPr>
      </w:pPr>
      <w:r>
        <w:rPr>
          <w:rFonts w:eastAsiaTheme="minorEastAsia"/>
          <w:lang w:eastAsia="zh-CN"/>
        </w:rPr>
        <w:t xml:space="preserve">Option 2: Reuse existing slot format table and only part of the symbols per entry is used to define the slot format of backhaul link. </w:t>
      </w:r>
    </w:p>
    <w:p w14:paraId="728906AE" w14:textId="0E1AE211" w:rsidR="00F62276" w:rsidRDefault="00F62276" w:rsidP="00F62276">
      <w:pPr>
        <w:pStyle w:val="a0"/>
        <w:rPr>
          <w:rFonts w:eastAsiaTheme="minorEastAsia"/>
          <w:lang w:eastAsia="zh-CN"/>
        </w:rPr>
      </w:pPr>
      <w:r>
        <w:rPr>
          <w:rFonts w:eastAsiaTheme="minorEastAsia"/>
          <w:lang w:eastAsia="zh-CN"/>
        </w:rPr>
        <w:lastRenderedPageBreak/>
        <w:t xml:space="preserve">One </w:t>
      </w:r>
      <w:r w:rsidR="00C549CE">
        <w:rPr>
          <w:rFonts w:eastAsiaTheme="minorEastAsia"/>
          <w:lang w:eastAsia="zh-CN"/>
        </w:rPr>
        <w:t>dis</w:t>
      </w:r>
      <w:r>
        <w:rPr>
          <w:rFonts w:eastAsiaTheme="minorEastAsia"/>
          <w:lang w:eastAsia="zh-CN"/>
        </w:rPr>
        <w:t>advantage of option 1 is that the number of available symbols per slot is flexible and these symbols have different combination of DL/UL/Flexible states. That will make it complicated to define the slot format table. Therefore, we slightly prefer option 2 to reuse existing slot format table.</w:t>
      </w:r>
    </w:p>
    <w:p w14:paraId="6BEC9024" w14:textId="078598DE" w:rsidR="00F62276" w:rsidRPr="009C6314" w:rsidRDefault="00F62276" w:rsidP="00F62276">
      <w:pPr>
        <w:pStyle w:val="a0"/>
        <w:rPr>
          <w:rFonts w:eastAsiaTheme="minorEastAsia"/>
          <w:b/>
          <w:lang w:eastAsia="zh-CN"/>
        </w:rPr>
      </w:pPr>
      <w:r w:rsidRPr="009C6314">
        <w:rPr>
          <w:rFonts w:eastAsiaTheme="minorEastAsia"/>
          <w:b/>
          <w:lang w:eastAsia="zh-CN"/>
        </w:rPr>
        <w:t xml:space="preserve">Proposal </w:t>
      </w:r>
      <w:r w:rsidR="00D466BB">
        <w:rPr>
          <w:rFonts w:eastAsiaTheme="minorEastAsia"/>
          <w:b/>
          <w:lang w:eastAsia="zh-CN"/>
        </w:rPr>
        <w:t>4</w:t>
      </w:r>
      <w:r w:rsidRPr="009C6314">
        <w:rPr>
          <w:rFonts w:eastAsiaTheme="minorEastAsia"/>
          <w:b/>
          <w:lang w:eastAsia="zh-CN"/>
        </w:rPr>
        <w:t>: Reuse existing slot format table to define slot format for backhaul link for symbol level resource multiplexing between access link and backhaul link.</w:t>
      </w:r>
    </w:p>
    <w:p w14:paraId="1BDF1F03" w14:textId="77777777" w:rsidR="00FE5799" w:rsidRPr="00742FE6" w:rsidRDefault="00FE5799" w:rsidP="00894588">
      <w:pPr>
        <w:pStyle w:val="1"/>
        <w:rPr>
          <w:rFonts w:eastAsia="宋体"/>
          <w:lang w:eastAsia="zh-CN"/>
        </w:rPr>
      </w:pPr>
      <w:r>
        <w:t>Conclusion</w:t>
      </w:r>
      <w:r w:rsidR="00BA4154" w:rsidRPr="00742FE6">
        <w:rPr>
          <w:rFonts w:eastAsia="宋体" w:hint="eastAsia"/>
          <w:lang w:eastAsia="zh-CN"/>
        </w:rPr>
        <w:t>s</w:t>
      </w:r>
    </w:p>
    <w:p w14:paraId="1B6D6E21" w14:textId="4354E65B" w:rsidR="00A60622" w:rsidRDefault="00046E5C" w:rsidP="003F4502">
      <w:pPr>
        <w:pStyle w:val="a0"/>
        <w:rPr>
          <w:rFonts w:eastAsia="宋体"/>
          <w:lang w:eastAsia="zh-CN"/>
        </w:rPr>
      </w:pPr>
      <w:r>
        <w:rPr>
          <w:rFonts w:eastAsia="宋体" w:hint="eastAsia"/>
          <w:lang w:eastAsia="zh-CN"/>
        </w:rPr>
        <w:t>I</w:t>
      </w:r>
      <w:r w:rsidR="003F4502" w:rsidRPr="00742FE6">
        <w:rPr>
          <w:rFonts w:eastAsia="宋体" w:hint="eastAsia"/>
          <w:lang w:eastAsia="zh-CN"/>
        </w:rPr>
        <w:t xml:space="preserve">n this </w:t>
      </w:r>
      <w:r w:rsidR="002F724B" w:rsidRPr="00742FE6">
        <w:rPr>
          <w:rFonts w:eastAsia="宋体"/>
          <w:lang w:eastAsia="zh-CN"/>
        </w:rPr>
        <w:t>contribution</w:t>
      </w:r>
      <w:r w:rsidR="00F03D3E">
        <w:rPr>
          <w:rFonts w:eastAsia="宋体" w:hint="eastAsia"/>
          <w:lang w:eastAsia="zh-CN"/>
        </w:rPr>
        <w:t xml:space="preserve">, </w:t>
      </w:r>
      <w:r w:rsidR="009C6314">
        <w:rPr>
          <w:rFonts w:eastAsia="宋体"/>
          <w:lang w:eastAsia="zh-CN"/>
        </w:rPr>
        <w:t xml:space="preserve">the resource multiplexing between access link and backhaul link was discussed. </w:t>
      </w:r>
      <w:r w:rsidR="00FB3FDE">
        <w:rPr>
          <w:rFonts w:eastAsia="宋体" w:hint="eastAsia"/>
          <w:lang w:eastAsia="zh-CN"/>
        </w:rPr>
        <w:t>The</w:t>
      </w:r>
      <w:r w:rsidR="00136172">
        <w:rPr>
          <w:rFonts w:eastAsia="宋体" w:hint="eastAsia"/>
          <w:lang w:eastAsia="zh-CN"/>
        </w:rPr>
        <w:t xml:space="preserve"> following proposals summarize the discussion and our views.</w:t>
      </w:r>
    </w:p>
    <w:p w14:paraId="573D4D06" w14:textId="77777777" w:rsidR="009C6314" w:rsidRPr="000B3A6A" w:rsidRDefault="009C6314" w:rsidP="009C6314">
      <w:pPr>
        <w:pStyle w:val="a0"/>
        <w:rPr>
          <w:rFonts w:eastAsiaTheme="minorEastAsia"/>
          <w:b/>
          <w:lang w:eastAsia="zh-CN"/>
        </w:rPr>
      </w:pPr>
      <w:r w:rsidRPr="000B3A6A">
        <w:rPr>
          <w:rFonts w:eastAsiaTheme="minorEastAsia" w:hint="eastAsia"/>
          <w:b/>
          <w:lang w:eastAsia="zh-CN"/>
        </w:rPr>
        <w:t>Proposal 1: Both slot level and symbol level resource multiplexing between access link and backhaul link can be considered in NR relay system.</w:t>
      </w:r>
    </w:p>
    <w:p w14:paraId="2D1C6B46" w14:textId="77777777" w:rsidR="009C6314" w:rsidRPr="00F62276" w:rsidRDefault="009C6314" w:rsidP="009C6314">
      <w:pPr>
        <w:pStyle w:val="a0"/>
        <w:rPr>
          <w:rFonts w:eastAsiaTheme="minorEastAsia"/>
          <w:b/>
          <w:lang w:eastAsia="zh-CN"/>
        </w:rPr>
      </w:pPr>
      <w:r w:rsidRPr="00F62276">
        <w:rPr>
          <w:rFonts w:eastAsiaTheme="minorEastAsia"/>
          <w:b/>
          <w:lang w:eastAsia="zh-CN"/>
        </w:rPr>
        <w:t>Proposal 2: The resource configured for the signaling, such as SSB, RMSI, OSI, paging, RACH, CORESET, etc, should not conflict with the resource reserved for backhaul link.</w:t>
      </w:r>
    </w:p>
    <w:p w14:paraId="781818E7" w14:textId="77777777" w:rsidR="00D466BB" w:rsidRDefault="00D466BB" w:rsidP="00D466BB">
      <w:pPr>
        <w:pStyle w:val="a0"/>
        <w:rPr>
          <w:rFonts w:eastAsiaTheme="minorEastAsia"/>
          <w:lang w:eastAsia="zh-CN"/>
        </w:rPr>
      </w:pPr>
      <w:r w:rsidRPr="009C6314">
        <w:rPr>
          <w:rFonts w:eastAsiaTheme="minorEastAsia"/>
          <w:b/>
          <w:lang w:eastAsia="zh-CN"/>
        </w:rPr>
        <w:t>Proposal</w:t>
      </w:r>
      <w:r>
        <w:rPr>
          <w:rFonts w:eastAsiaTheme="minorEastAsia"/>
          <w:b/>
          <w:lang w:eastAsia="zh-CN"/>
        </w:rPr>
        <w:t xml:space="preserve"> 3: Slot format for backhaul link should be defined in case of symbol level resource multiplexing between access link and backhaul link.</w:t>
      </w:r>
    </w:p>
    <w:p w14:paraId="24942933" w14:textId="79CCB143" w:rsidR="009C6314" w:rsidRPr="009C6314" w:rsidRDefault="009C6314" w:rsidP="009C6314">
      <w:pPr>
        <w:pStyle w:val="a0"/>
        <w:rPr>
          <w:rFonts w:eastAsiaTheme="minorEastAsia"/>
          <w:b/>
          <w:lang w:eastAsia="zh-CN"/>
        </w:rPr>
      </w:pPr>
      <w:r w:rsidRPr="009C6314">
        <w:rPr>
          <w:rFonts w:eastAsiaTheme="minorEastAsia"/>
          <w:b/>
          <w:lang w:eastAsia="zh-CN"/>
        </w:rPr>
        <w:t xml:space="preserve">Proposal </w:t>
      </w:r>
      <w:r w:rsidR="00D466BB">
        <w:rPr>
          <w:rFonts w:eastAsiaTheme="minorEastAsia"/>
          <w:b/>
          <w:lang w:eastAsia="zh-CN"/>
        </w:rPr>
        <w:t>4</w:t>
      </w:r>
      <w:r w:rsidRPr="009C6314">
        <w:rPr>
          <w:rFonts w:eastAsiaTheme="minorEastAsia"/>
          <w:b/>
          <w:lang w:eastAsia="zh-CN"/>
        </w:rPr>
        <w:t xml:space="preserve">: Reuse existing slot format table to define slot format for backhaul link </w:t>
      </w:r>
      <w:r w:rsidR="00D466BB">
        <w:rPr>
          <w:rFonts w:eastAsiaTheme="minorEastAsia"/>
          <w:b/>
          <w:lang w:eastAsia="zh-CN"/>
        </w:rPr>
        <w:t>in case of</w:t>
      </w:r>
      <w:r w:rsidR="00D466BB" w:rsidRPr="009C6314">
        <w:rPr>
          <w:rFonts w:eastAsiaTheme="minorEastAsia"/>
          <w:b/>
          <w:lang w:eastAsia="zh-CN"/>
        </w:rPr>
        <w:t xml:space="preserve"> </w:t>
      </w:r>
      <w:r w:rsidRPr="009C6314">
        <w:rPr>
          <w:rFonts w:eastAsiaTheme="minorEastAsia"/>
          <w:b/>
          <w:lang w:eastAsia="zh-CN"/>
        </w:rPr>
        <w:t>symbol level resource multiplexing between access link and backhaul link.</w:t>
      </w:r>
    </w:p>
    <w:p w14:paraId="4238BD9D" w14:textId="28355A84" w:rsidR="00571E9D" w:rsidRPr="00C47CB3" w:rsidRDefault="00FE5799" w:rsidP="00871235">
      <w:pPr>
        <w:pStyle w:val="1"/>
      </w:pPr>
      <w:r w:rsidRPr="00510266">
        <w:t>References</w:t>
      </w:r>
      <w:bookmarkStart w:id="0" w:name="_GoBack"/>
      <w:bookmarkEnd w:id="0"/>
    </w:p>
    <w:p w14:paraId="66E724DA" w14:textId="1BA85DE9" w:rsidR="00610EC6" w:rsidRPr="00BB7550" w:rsidRDefault="00BB7550" w:rsidP="00610EC6">
      <w:pPr>
        <w:numPr>
          <w:ilvl w:val="0"/>
          <w:numId w:val="2"/>
        </w:numPr>
        <w:jc w:val="both"/>
        <w:rPr>
          <w:color w:val="000000"/>
          <w:kern w:val="2"/>
          <w:lang w:eastAsia="zh-CN"/>
        </w:rPr>
      </w:pPr>
      <w:r>
        <w:t>RP-17</w:t>
      </w:r>
      <w:r w:rsidR="00EE209F">
        <w:t>2290</w:t>
      </w:r>
      <w:r>
        <w:t xml:space="preserve">, New SID Proposal: Study on Integrated Access and Backhaul for NR, AT&amp;T, Qualcomm, Samsung, </w:t>
      </w:r>
      <w:r w:rsidR="00EE209F">
        <w:t>Dec</w:t>
      </w:r>
      <w:r>
        <w:t>. 2017</w:t>
      </w:r>
      <w:r w:rsidR="00610EC6" w:rsidRPr="00134AD4">
        <w:rPr>
          <w:rFonts w:eastAsia="宋体" w:hint="eastAsia"/>
          <w:lang w:eastAsia="zh-CN"/>
        </w:rPr>
        <w:t>.</w:t>
      </w:r>
      <w:r w:rsidR="00610EC6" w:rsidRPr="00134AD4">
        <w:rPr>
          <w:rFonts w:eastAsia="宋体"/>
          <w:lang w:eastAsia="zh-CN"/>
        </w:rPr>
        <w:t xml:space="preserve"> </w:t>
      </w:r>
    </w:p>
    <w:p w14:paraId="4536A2C7" w14:textId="0D5A2EE3" w:rsidR="00BB7550" w:rsidRDefault="00BB7550" w:rsidP="00610EC6">
      <w:pPr>
        <w:numPr>
          <w:ilvl w:val="0"/>
          <w:numId w:val="2"/>
        </w:numPr>
        <w:jc w:val="both"/>
        <w:rPr>
          <w:color w:val="000000"/>
          <w:kern w:val="2"/>
          <w:lang w:eastAsia="zh-CN"/>
        </w:rPr>
      </w:pPr>
      <w:r>
        <w:t>3GPP RAN2 AH#1801, Chairman’s Notes, Jan</w:t>
      </w:r>
      <w:r w:rsidRPr="00BB7550">
        <w:rPr>
          <w:color w:val="000000"/>
          <w:kern w:val="2"/>
          <w:lang w:eastAsia="zh-CN"/>
        </w:rPr>
        <w:t>.</w:t>
      </w:r>
      <w:r>
        <w:rPr>
          <w:color w:val="000000"/>
          <w:kern w:val="2"/>
          <w:lang w:eastAsia="zh-CN"/>
        </w:rPr>
        <w:t xml:space="preserve"> 2018</w:t>
      </w:r>
    </w:p>
    <w:p w14:paraId="62FD3E20" w14:textId="11F83CBD" w:rsidR="009C6314" w:rsidRPr="00A2553D" w:rsidRDefault="009C6314" w:rsidP="00610EC6">
      <w:pPr>
        <w:numPr>
          <w:ilvl w:val="0"/>
          <w:numId w:val="2"/>
        </w:numPr>
        <w:jc w:val="both"/>
        <w:rPr>
          <w:color w:val="000000"/>
          <w:kern w:val="2"/>
          <w:lang w:eastAsia="zh-CN"/>
        </w:rPr>
      </w:pPr>
      <w:r>
        <w:rPr>
          <w:rFonts w:eastAsiaTheme="minorEastAsia" w:hint="eastAsia"/>
          <w:color w:val="000000"/>
          <w:kern w:val="2"/>
          <w:lang w:eastAsia="zh-CN"/>
        </w:rPr>
        <w:t xml:space="preserve">3GPP TS 38.211, </w:t>
      </w:r>
      <w:r>
        <w:rPr>
          <w:rFonts w:eastAsiaTheme="minorEastAsia"/>
          <w:color w:val="000000"/>
          <w:kern w:val="2"/>
          <w:lang w:eastAsia="zh-CN"/>
        </w:rPr>
        <w:t xml:space="preserve">Physical channels and modulation, V15.0.0. </w:t>
      </w:r>
    </w:p>
    <w:p w14:paraId="53E7C83C" w14:textId="77777777" w:rsidR="00DB4360" w:rsidRPr="00134AD4" w:rsidRDefault="00DB4360" w:rsidP="00DB4360">
      <w:pPr>
        <w:ind w:left="567"/>
        <w:jc w:val="both"/>
        <w:rPr>
          <w:color w:val="000000"/>
          <w:kern w:val="2"/>
          <w:lang w:eastAsia="zh-CN"/>
        </w:rPr>
      </w:pPr>
    </w:p>
    <w:p w14:paraId="71D6F4AD" w14:textId="77777777" w:rsidR="00733130" w:rsidRPr="00BD5261" w:rsidRDefault="00733130" w:rsidP="00304B67">
      <w:pPr>
        <w:pStyle w:val="a7"/>
        <w:ind w:left="0"/>
        <w:rPr>
          <w:szCs w:val="20"/>
        </w:rPr>
      </w:pPr>
    </w:p>
    <w:sectPr w:rsidR="00733130" w:rsidRPr="00BD526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D6A43" w14:textId="77777777" w:rsidR="00AE7E5E" w:rsidRDefault="00AE7E5E" w:rsidP="001B3EB1">
      <w:r>
        <w:separator/>
      </w:r>
    </w:p>
  </w:endnote>
  <w:endnote w:type="continuationSeparator" w:id="0">
    <w:p w14:paraId="4AB7C9BE" w14:textId="77777777" w:rsidR="00AE7E5E" w:rsidRDefault="00AE7E5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E306A" w14:textId="77777777" w:rsidR="00AE7E5E" w:rsidRDefault="00AE7E5E" w:rsidP="001B3EB1">
      <w:r>
        <w:separator/>
      </w:r>
    </w:p>
  </w:footnote>
  <w:footnote w:type="continuationSeparator" w:id="0">
    <w:p w14:paraId="78E8472D" w14:textId="77777777" w:rsidR="00AE7E5E" w:rsidRDefault="00AE7E5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8A9E8" w14:textId="77777777" w:rsidR="00023467" w:rsidRDefault="00023467"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042E8"/>
    <w:multiLevelType w:val="hybridMultilevel"/>
    <w:tmpl w:val="4C2ED20E"/>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A7591"/>
    <w:multiLevelType w:val="hybridMultilevel"/>
    <w:tmpl w:val="1234C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940EE"/>
    <w:multiLevelType w:val="hybridMultilevel"/>
    <w:tmpl w:val="44DE512A"/>
    <w:lvl w:ilvl="0" w:tplc="1BE81D60">
      <w:start w:val="5"/>
      <w:numFmt w:val="bullet"/>
      <w:lvlText w:val="-"/>
      <w:lvlJc w:val="left"/>
      <w:pPr>
        <w:ind w:left="473" w:hanging="420"/>
      </w:pPr>
      <w:rPr>
        <w:rFonts w:ascii="Times" w:eastAsia="Yu Mincho" w:hAnsi="Times" w:cs="Time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nsid w:val="0A115A19"/>
    <w:multiLevelType w:val="hybridMultilevel"/>
    <w:tmpl w:val="A604522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5">
    <w:nsid w:val="143A2A2F"/>
    <w:multiLevelType w:val="hybridMultilevel"/>
    <w:tmpl w:val="36187E8C"/>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5592428"/>
    <w:multiLevelType w:val="hybridMultilevel"/>
    <w:tmpl w:val="85103AE6"/>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8">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C53375"/>
    <w:multiLevelType w:val="hybridMultilevel"/>
    <w:tmpl w:val="B412C4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C87152"/>
    <w:multiLevelType w:val="hybridMultilevel"/>
    <w:tmpl w:val="F7D67584"/>
    <w:lvl w:ilvl="0" w:tplc="EFFE719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A24582E"/>
    <w:multiLevelType w:val="hybridMultilevel"/>
    <w:tmpl w:val="4894A7F0"/>
    <w:lvl w:ilvl="0" w:tplc="1BE81D60">
      <w:start w:val="5"/>
      <w:numFmt w:val="bullet"/>
      <w:lvlText w:val="-"/>
      <w:lvlJc w:val="left"/>
      <w:pPr>
        <w:ind w:left="420" w:hanging="420"/>
      </w:pPr>
      <w:rPr>
        <w:rFonts w:ascii="Times" w:eastAsia="Yu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704DE0"/>
    <w:multiLevelType w:val="hybridMultilevel"/>
    <w:tmpl w:val="D62CCD1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17">
    <w:nsid w:val="42951AFC"/>
    <w:multiLevelType w:val="hybridMultilevel"/>
    <w:tmpl w:val="DF4881E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9">
    <w:nsid w:val="437469C1"/>
    <w:multiLevelType w:val="hybridMultilevel"/>
    <w:tmpl w:val="6C1CD32A"/>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71D6F38"/>
    <w:multiLevelType w:val="hybridMultilevel"/>
    <w:tmpl w:val="20DE455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AE46BC"/>
    <w:multiLevelType w:val="hybridMultilevel"/>
    <w:tmpl w:val="CA1ADA84"/>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41449A8"/>
    <w:multiLevelType w:val="hybridMultilevel"/>
    <w:tmpl w:val="FC2CDD14"/>
    <w:lvl w:ilvl="0" w:tplc="15ACE9C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A231F9"/>
    <w:multiLevelType w:val="hybridMultilevel"/>
    <w:tmpl w:val="905ED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0">
    <w:nsid w:val="6E3956D6"/>
    <w:multiLevelType w:val="hybridMultilevel"/>
    <w:tmpl w:val="AD1222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9C7B37"/>
    <w:multiLevelType w:val="hybridMultilevel"/>
    <w:tmpl w:val="9E349CF8"/>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2">
    <w:nsid w:val="70651212"/>
    <w:multiLevelType w:val="hybridMultilevel"/>
    <w:tmpl w:val="D5164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D80FD6"/>
    <w:multiLevelType w:val="hybridMultilevel"/>
    <w:tmpl w:val="9202FD64"/>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D933707"/>
    <w:multiLevelType w:val="hybridMultilevel"/>
    <w:tmpl w:val="BBB21F2A"/>
    <w:lvl w:ilvl="0" w:tplc="15ACE9C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1"/>
  </w:num>
  <w:num w:numId="3">
    <w:abstractNumId w:val="36"/>
  </w:num>
  <w:num w:numId="4">
    <w:abstractNumId w:val="37"/>
  </w:num>
  <w:num w:numId="5">
    <w:abstractNumId w:val="14"/>
  </w:num>
  <w:num w:numId="6">
    <w:abstractNumId w:val="26"/>
  </w:num>
  <w:num w:numId="7">
    <w:abstractNumId w:val="8"/>
  </w:num>
  <w:num w:numId="8">
    <w:abstractNumId w:val="10"/>
  </w:num>
  <w:num w:numId="9">
    <w:abstractNumId w:val="3"/>
  </w:num>
  <w:num w:numId="10">
    <w:abstractNumId w:val="23"/>
  </w:num>
  <w:num w:numId="11">
    <w:abstractNumId w:val="20"/>
  </w:num>
  <w:num w:numId="12">
    <w:abstractNumId w:val="17"/>
  </w:num>
  <w:num w:numId="13">
    <w:abstractNumId w:val="6"/>
  </w:num>
  <w:num w:numId="14">
    <w:abstractNumId w:val="18"/>
  </w:num>
  <w:num w:numId="15">
    <w:abstractNumId w:val="25"/>
  </w:num>
  <w:num w:numId="16">
    <w:abstractNumId w:val="5"/>
  </w:num>
  <w:num w:numId="17">
    <w:abstractNumId w:val="32"/>
  </w:num>
  <w:num w:numId="18">
    <w:abstractNumId w:val="22"/>
  </w:num>
  <w:num w:numId="19">
    <w:abstractNumId w:val="29"/>
  </w:num>
  <w:num w:numId="20">
    <w:abstractNumId w:val="33"/>
  </w:num>
  <w:num w:numId="21">
    <w:abstractNumId w:val="31"/>
  </w:num>
  <w:num w:numId="22">
    <w:abstractNumId w:val="12"/>
  </w:num>
  <w:num w:numId="23">
    <w:abstractNumId w:val="2"/>
  </w:num>
  <w:num w:numId="24">
    <w:abstractNumId w:val="15"/>
  </w:num>
  <w:num w:numId="25">
    <w:abstractNumId w:val="28"/>
  </w:num>
  <w:num w:numId="26">
    <w:abstractNumId w:val="16"/>
  </w:num>
  <w:num w:numId="27">
    <w:abstractNumId w:val="7"/>
  </w:num>
  <w:num w:numId="28">
    <w:abstractNumId w:val="4"/>
  </w:num>
  <w:num w:numId="29">
    <w:abstractNumId w:val="34"/>
  </w:num>
  <w:num w:numId="30">
    <w:abstractNumId w:val="13"/>
  </w:num>
  <w:num w:numId="31">
    <w:abstractNumId w:val="0"/>
  </w:num>
  <w:num w:numId="32">
    <w:abstractNumId w:val="19"/>
  </w:num>
  <w:num w:numId="33">
    <w:abstractNumId w:val="21"/>
  </w:num>
  <w:num w:numId="34">
    <w:abstractNumId w:val="27"/>
  </w:num>
  <w:num w:numId="35">
    <w:abstractNumId w:val="1"/>
  </w:num>
  <w:num w:numId="36">
    <w:abstractNumId w:val="9"/>
  </w:num>
  <w:num w:numId="37">
    <w:abstractNumId w:val="30"/>
  </w:num>
  <w:num w:numId="3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1B"/>
    <w:rsid w:val="000020A5"/>
    <w:rsid w:val="000021F7"/>
    <w:rsid w:val="00002F49"/>
    <w:rsid w:val="00003473"/>
    <w:rsid w:val="00003CCB"/>
    <w:rsid w:val="00003F79"/>
    <w:rsid w:val="00004688"/>
    <w:rsid w:val="00004C30"/>
    <w:rsid w:val="00007DA3"/>
    <w:rsid w:val="00013C45"/>
    <w:rsid w:val="00016EB9"/>
    <w:rsid w:val="000206D0"/>
    <w:rsid w:val="00020D85"/>
    <w:rsid w:val="00021A44"/>
    <w:rsid w:val="00021CAF"/>
    <w:rsid w:val="00022CBE"/>
    <w:rsid w:val="00022F80"/>
    <w:rsid w:val="00022F92"/>
    <w:rsid w:val="00023467"/>
    <w:rsid w:val="0002595C"/>
    <w:rsid w:val="00027564"/>
    <w:rsid w:val="000306D4"/>
    <w:rsid w:val="0003320F"/>
    <w:rsid w:val="00035630"/>
    <w:rsid w:val="00037726"/>
    <w:rsid w:val="00037985"/>
    <w:rsid w:val="00046E5C"/>
    <w:rsid w:val="00053FE1"/>
    <w:rsid w:val="00055111"/>
    <w:rsid w:val="000552E1"/>
    <w:rsid w:val="00055DC0"/>
    <w:rsid w:val="00055F80"/>
    <w:rsid w:val="000563A3"/>
    <w:rsid w:val="00056887"/>
    <w:rsid w:val="000578DB"/>
    <w:rsid w:val="000604CB"/>
    <w:rsid w:val="00061096"/>
    <w:rsid w:val="000629E1"/>
    <w:rsid w:val="000630A7"/>
    <w:rsid w:val="0006473F"/>
    <w:rsid w:val="00064AF0"/>
    <w:rsid w:val="00064CD3"/>
    <w:rsid w:val="00064FC2"/>
    <w:rsid w:val="00065AF2"/>
    <w:rsid w:val="00067B8F"/>
    <w:rsid w:val="00071126"/>
    <w:rsid w:val="00072594"/>
    <w:rsid w:val="00072DDF"/>
    <w:rsid w:val="000739AF"/>
    <w:rsid w:val="00080309"/>
    <w:rsid w:val="000842F4"/>
    <w:rsid w:val="00084B35"/>
    <w:rsid w:val="00084DFE"/>
    <w:rsid w:val="00085492"/>
    <w:rsid w:val="00085EC6"/>
    <w:rsid w:val="0008615F"/>
    <w:rsid w:val="00091F25"/>
    <w:rsid w:val="00092306"/>
    <w:rsid w:val="00094A8B"/>
    <w:rsid w:val="000957F3"/>
    <w:rsid w:val="000966BA"/>
    <w:rsid w:val="00096FF1"/>
    <w:rsid w:val="000A1BA1"/>
    <w:rsid w:val="000A1CFC"/>
    <w:rsid w:val="000A2194"/>
    <w:rsid w:val="000A2AA5"/>
    <w:rsid w:val="000A2ECE"/>
    <w:rsid w:val="000A48B3"/>
    <w:rsid w:val="000A4B5F"/>
    <w:rsid w:val="000A5A27"/>
    <w:rsid w:val="000B3A6A"/>
    <w:rsid w:val="000B4006"/>
    <w:rsid w:val="000C1222"/>
    <w:rsid w:val="000C1FBD"/>
    <w:rsid w:val="000C711F"/>
    <w:rsid w:val="000D6647"/>
    <w:rsid w:val="000E1A84"/>
    <w:rsid w:val="000E37AE"/>
    <w:rsid w:val="000E4162"/>
    <w:rsid w:val="000E428D"/>
    <w:rsid w:val="000E4DBB"/>
    <w:rsid w:val="000E6A06"/>
    <w:rsid w:val="000F00F5"/>
    <w:rsid w:val="000F03E3"/>
    <w:rsid w:val="000F1E3A"/>
    <w:rsid w:val="000F447B"/>
    <w:rsid w:val="000F7295"/>
    <w:rsid w:val="00101DA0"/>
    <w:rsid w:val="00103049"/>
    <w:rsid w:val="00104515"/>
    <w:rsid w:val="00106361"/>
    <w:rsid w:val="00106BB6"/>
    <w:rsid w:val="00110AE8"/>
    <w:rsid w:val="0011227E"/>
    <w:rsid w:val="00124544"/>
    <w:rsid w:val="001257E0"/>
    <w:rsid w:val="00127EFD"/>
    <w:rsid w:val="0013135B"/>
    <w:rsid w:val="00134AD4"/>
    <w:rsid w:val="00136172"/>
    <w:rsid w:val="00136DD4"/>
    <w:rsid w:val="00140E68"/>
    <w:rsid w:val="0014405F"/>
    <w:rsid w:val="00151E42"/>
    <w:rsid w:val="00152606"/>
    <w:rsid w:val="001529A3"/>
    <w:rsid w:val="00153694"/>
    <w:rsid w:val="001540A9"/>
    <w:rsid w:val="00157468"/>
    <w:rsid w:val="001574E2"/>
    <w:rsid w:val="00161E70"/>
    <w:rsid w:val="001626DB"/>
    <w:rsid w:val="00165AD7"/>
    <w:rsid w:val="00167FEA"/>
    <w:rsid w:val="00171176"/>
    <w:rsid w:val="00171375"/>
    <w:rsid w:val="00174AC0"/>
    <w:rsid w:val="00174BD7"/>
    <w:rsid w:val="00175F7E"/>
    <w:rsid w:val="0017788A"/>
    <w:rsid w:val="00181C37"/>
    <w:rsid w:val="0018254F"/>
    <w:rsid w:val="00182617"/>
    <w:rsid w:val="0018493D"/>
    <w:rsid w:val="00190CFD"/>
    <w:rsid w:val="00190F52"/>
    <w:rsid w:val="0019284B"/>
    <w:rsid w:val="0019296B"/>
    <w:rsid w:val="001943F2"/>
    <w:rsid w:val="00195B29"/>
    <w:rsid w:val="00196457"/>
    <w:rsid w:val="001A3511"/>
    <w:rsid w:val="001A3D80"/>
    <w:rsid w:val="001A439B"/>
    <w:rsid w:val="001A5263"/>
    <w:rsid w:val="001A6563"/>
    <w:rsid w:val="001B21F8"/>
    <w:rsid w:val="001B3298"/>
    <w:rsid w:val="001B3EB1"/>
    <w:rsid w:val="001B5FB5"/>
    <w:rsid w:val="001B71FE"/>
    <w:rsid w:val="001C1306"/>
    <w:rsid w:val="001C5994"/>
    <w:rsid w:val="001C6223"/>
    <w:rsid w:val="001C661B"/>
    <w:rsid w:val="001C6BA8"/>
    <w:rsid w:val="001C707B"/>
    <w:rsid w:val="001D2D40"/>
    <w:rsid w:val="001E08D0"/>
    <w:rsid w:val="001E4068"/>
    <w:rsid w:val="001E52FF"/>
    <w:rsid w:val="001E70ED"/>
    <w:rsid w:val="001F0BA8"/>
    <w:rsid w:val="001F18FE"/>
    <w:rsid w:val="001F3977"/>
    <w:rsid w:val="001F45E6"/>
    <w:rsid w:val="0020033A"/>
    <w:rsid w:val="00201762"/>
    <w:rsid w:val="0020208B"/>
    <w:rsid w:val="00203C83"/>
    <w:rsid w:val="002052C4"/>
    <w:rsid w:val="00211E01"/>
    <w:rsid w:val="00212C39"/>
    <w:rsid w:val="00214162"/>
    <w:rsid w:val="0021547B"/>
    <w:rsid w:val="00220E6F"/>
    <w:rsid w:val="00222E64"/>
    <w:rsid w:val="00223FEC"/>
    <w:rsid w:val="0022475B"/>
    <w:rsid w:val="002270BA"/>
    <w:rsid w:val="00227F9B"/>
    <w:rsid w:val="00236FB7"/>
    <w:rsid w:val="00240997"/>
    <w:rsid w:val="0024342E"/>
    <w:rsid w:val="00243740"/>
    <w:rsid w:val="00245B3C"/>
    <w:rsid w:val="00246ADD"/>
    <w:rsid w:val="00246FE1"/>
    <w:rsid w:val="002506CF"/>
    <w:rsid w:val="00253A3C"/>
    <w:rsid w:val="00254462"/>
    <w:rsid w:val="00256440"/>
    <w:rsid w:val="00257152"/>
    <w:rsid w:val="00257C05"/>
    <w:rsid w:val="00257DA8"/>
    <w:rsid w:val="002605B9"/>
    <w:rsid w:val="00260DC4"/>
    <w:rsid w:val="00260F0F"/>
    <w:rsid w:val="0026147F"/>
    <w:rsid w:val="00263C82"/>
    <w:rsid w:val="0026408C"/>
    <w:rsid w:val="00264E0E"/>
    <w:rsid w:val="00271A4B"/>
    <w:rsid w:val="00275F17"/>
    <w:rsid w:val="00280DD7"/>
    <w:rsid w:val="00281238"/>
    <w:rsid w:val="00281FE6"/>
    <w:rsid w:val="002827ED"/>
    <w:rsid w:val="00284D4C"/>
    <w:rsid w:val="00284E6B"/>
    <w:rsid w:val="00286EA4"/>
    <w:rsid w:val="002907CA"/>
    <w:rsid w:val="00291491"/>
    <w:rsid w:val="00292102"/>
    <w:rsid w:val="00294071"/>
    <w:rsid w:val="002948E1"/>
    <w:rsid w:val="0029610C"/>
    <w:rsid w:val="002967D0"/>
    <w:rsid w:val="002A29C3"/>
    <w:rsid w:val="002A30F1"/>
    <w:rsid w:val="002A366D"/>
    <w:rsid w:val="002A57D9"/>
    <w:rsid w:val="002A7FCF"/>
    <w:rsid w:val="002B1E5A"/>
    <w:rsid w:val="002B2B25"/>
    <w:rsid w:val="002B47A0"/>
    <w:rsid w:val="002B4F2A"/>
    <w:rsid w:val="002B5D57"/>
    <w:rsid w:val="002B6F64"/>
    <w:rsid w:val="002C1072"/>
    <w:rsid w:val="002C27FC"/>
    <w:rsid w:val="002C3823"/>
    <w:rsid w:val="002C3F00"/>
    <w:rsid w:val="002C57FA"/>
    <w:rsid w:val="002C6F70"/>
    <w:rsid w:val="002D12CA"/>
    <w:rsid w:val="002D13BF"/>
    <w:rsid w:val="002D1561"/>
    <w:rsid w:val="002D29BC"/>
    <w:rsid w:val="002D2A7C"/>
    <w:rsid w:val="002D2F5A"/>
    <w:rsid w:val="002D31F1"/>
    <w:rsid w:val="002D337A"/>
    <w:rsid w:val="002D3473"/>
    <w:rsid w:val="002D3578"/>
    <w:rsid w:val="002D543B"/>
    <w:rsid w:val="002D7D26"/>
    <w:rsid w:val="002E1247"/>
    <w:rsid w:val="002E2F6B"/>
    <w:rsid w:val="002E584F"/>
    <w:rsid w:val="002E5A9B"/>
    <w:rsid w:val="002E62C7"/>
    <w:rsid w:val="002E7C56"/>
    <w:rsid w:val="002E7D51"/>
    <w:rsid w:val="002F0020"/>
    <w:rsid w:val="002F09BF"/>
    <w:rsid w:val="002F6120"/>
    <w:rsid w:val="002F724B"/>
    <w:rsid w:val="002F7946"/>
    <w:rsid w:val="002F7E7B"/>
    <w:rsid w:val="00301823"/>
    <w:rsid w:val="00302229"/>
    <w:rsid w:val="003042C3"/>
    <w:rsid w:val="00304B67"/>
    <w:rsid w:val="00305484"/>
    <w:rsid w:val="00307536"/>
    <w:rsid w:val="00307A98"/>
    <w:rsid w:val="00312DA6"/>
    <w:rsid w:val="00313704"/>
    <w:rsid w:val="00313F99"/>
    <w:rsid w:val="003149CA"/>
    <w:rsid w:val="00314C86"/>
    <w:rsid w:val="0032076D"/>
    <w:rsid w:val="003220A1"/>
    <w:rsid w:val="0032550D"/>
    <w:rsid w:val="00326450"/>
    <w:rsid w:val="00326BE5"/>
    <w:rsid w:val="0033089A"/>
    <w:rsid w:val="00330B7B"/>
    <w:rsid w:val="00332535"/>
    <w:rsid w:val="00334282"/>
    <w:rsid w:val="00335683"/>
    <w:rsid w:val="00336254"/>
    <w:rsid w:val="0034092E"/>
    <w:rsid w:val="0034135F"/>
    <w:rsid w:val="0034485F"/>
    <w:rsid w:val="00344ECF"/>
    <w:rsid w:val="00353B65"/>
    <w:rsid w:val="00355D0C"/>
    <w:rsid w:val="00360671"/>
    <w:rsid w:val="00363FD9"/>
    <w:rsid w:val="00364268"/>
    <w:rsid w:val="003667BF"/>
    <w:rsid w:val="003670CF"/>
    <w:rsid w:val="00370C3F"/>
    <w:rsid w:val="00370D37"/>
    <w:rsid w:val="00371108"/>
    <w:rsid w:val="003711A0"/>
    <w:rsid w:val="00372343"/>
    <w:rsid w:val="003729C0"/>
    <w:rsid w:val="00373832"/>
    <w:rsid w:val="00374DA1"/>
    <w:rsid w:val="00376F80"/>
    <w:rsid w:val="003776DB"/>
    <w:rsid w:val="003800CD"/>
    <w:rsid w:val="00380386"/>
    <w:rsid w:val="003829CE"/>
    <w:rsid w:val="00387C50"/>
    <w:rsid w:val="00390497"/>
    <w:rsid w:val="00392231"/>
    <w:rsid w:val="00392C75"/>
    <w:rsid w:val="00394A53"/>
    <w:rsid w:val="003972C5"/>
    <w:rsid w:val="003A4443"/>
    <w:rsid w:val="003A4ACB"/>
    <w:rsid w:val="003A5650"/>
    <w:rsid w:val="003A5E51"/>
    <w:rsid w:val="003B0424"/>
    <w:rsid w:val="003B34E7"/>
    <w:rsid w:val="003B3E3E"/>
    <w:rsid w:val="003B5F86"/>
    <w:rsid w:val="003B6436"/>
    <w:rsid w:val="003C0CBE"/>
    <w:rsid w:val="003C4E64"/>
    <w:rsid w:val="003C5A81"/>
    <w:rsid w:val="003C65E8"/>
    <w:rsid w:val="003C6E6C"/>
    <w:rsid w:val="003C7B71"/>
    <w:rsid w:val="003D1068"/>
    <w:rsid w:val="003D34F5"/>
    <w:rsid w:val="003D37A4"/>
    <w:rsid w:val="003D3BE2"/>
    <w:rsid w:val="003D6590"/>
    <w:rsid w:val="003E25D2"/>
    <w:rsid w:val="003E29F1"/>
    <w:rsid w:val="003E3115"/>
    <w:rsid w:val="003E495F"/>
    <w:rsid w:val="003F0166"/>
    <w:rsid w:val="003F0586"/>
    <w:rsid w:val="003F0F74"/>
    <w:rsid w:val="003F221D"/>
    <w:rsid w:val="003F3CA1"/>
    <w:rsid w:val="003F4502"/>
    <w:rsid w:val="003F5003"/>
    <w:rsid w:val="003F78EB"/>
    <w:rsid w:val="003F794B"/>
    <w:rsid w:val="00400559"/>
    <w:rsid w:val="00402EF6"/>
    <w:rsid w:val="004034A5"/>
    <w:rsid w:val="00404E6A"/>
    <w:rsid w:val="00406C9C"/>
    <w:rsid w:val="004138EC"/>
    <w:rsid w:val="004150E9"/>
    <w:rsid w:val="0041786A"/>
    <w:rsid w:val="004178DA"/>
    <w:rsid w:val="00417E3D"/>
    <w:rsid w:val="00420651"/>
    <w:rsid w:val="0042085B"/>
    <w:rsid w:val="00424D6C"/>
    <w:rsid w:val="004278DE"/>
    <w:rsid w:val="004306D5"/>
    <w:rsid w:val="00430DCD"/>
    <w:rsid w:val="00434D7B"/>
    <w:rsid w:val="00434FE2"/>
    <w:rsid w:val="00440A7E"/>
    <w:rsid w:val="00445B39"/>
    <w:rsid w:val="00446BE1"/>
    <w:rsid w:val="004522F5"/>
    <w:rsid w:val="004547BB"/>
    <w:rsid w:val="004561F9"/>
    <w:rsid w:val="00461DD8"/>
    <w:rsid w:val="00462318"/>
    <w:rsid w:val="00465B02"/>
    <w:rsid w:val="00467A2C"/>
    <w:rsid w:val="00470B06"/>
    <w:rsid w:val="00471639"/>
    <w:rsid w:val="0047409A"/>
    <w:rsid w:val="00474D6D"/>
    <w:rsid w:val="0047562A"/>
    <w:rsid w:val="004760B4"/>
    <w:rsid w:val="00485EE3"/>
    <w:rsid w:val="00490FFC"/>
    <w:rsid w:val="00493DA7"/>
    <w:rsid w:val="004963D6"/>
    <w:rsid w:val="00496E94"/>
    <w:rsid w:val="004A3F9F"/>
    <w:rsid w:val="004A4386"/>
    <w:rsid w:val="004A4A07"/>
    <w:rsid w:val="004A4C4B"/>
    <w:rsid w:val="004A5D00"/>
    <w:rsid w:val="004A7141"/>
    <w:rsid w:val="004A799E"/>
    <w:rsid w:val="004B054C"/>
    <w:rsid w:val="004B1CA5"/>
    <w:rsid w:val="004C3E77"/>
    <w:rsid w:val="004C5650"/>
    <w:rsid w:val="004C5927"/>
    <w:rsid w:val="004C5941"/>
    <w:rsid w:val="004C5F3E"/>
    <w:rsid w:val="004C7AF3"/>
    <w:rsid w:val="004D04F5"/>
    <w:rsid w:val="004D18B4"/>
    <w:rsid w:val="004D19B5"/>
    <w:rsid w:val="004D232B"/>
    <w:rsid w:val="004D2394"/>
    <w:rsid w:val="004D31EA"/>
    <w:rsid w:val="004D7010"/>
    <w:rsid w:val="004D7BA9"/>
    <w:rsid w:val="004E05E3"/>
    <w:rsid w:val="004E1082"/>
    <w:rsid w:val="004E15C4"/>
    <w:rsid w:val="004E2969"/>
    <w:rsid w:val="004E2A1A"/>
    <w:rsid w:val="004E2FDF"/>
    <w:rsid w:val="004E33D3"/>
    <w:rsid w:val="004E46BA"/>
    <w:rsid w:val="004E6E4C"/>
    <w:rsid w:val="004E75CC"/>
    <w:rsid w:val="004F0456"/>
    <w:rsid w:val="004F1402"/>
    <w:rsid w:val="004F377F"/>
    <w:rsid w:val="004F4B99"/>
    <w:rsid w:val="004F7F9A"/>
    <w:rsid w:val="005002AA"/>
    <w:rsid w:val="005002ED"/>
    <w:rsid w:val="00502CAA"/>
    <w:rsid w:val="005030DB"/>
    <w:rsid w:val="00503BD7"/>
    <w:rsid w:val="00504467"/>
    <w:rsid w:val="00506910"/>
    <w:rsid w:val="0051169A"/>
    <w:rsid w:val="005119BE"/>
    <w:rsid w:val="005124C2"/>
    <w:rsid w:val="005149D2"/>
    <w:rsid w:val="005179B3"/>
    <w:rsid w:val="005249CC"/>
    <w:rsid w:val="0052571A"/>
    <w:rsid w:val="00525895"/>
    <w:rsid w:val="0052613B"/>
    <w:rsid w:val="005262FA"/>
    <w:rsid w:val="005277AA"/>
    <w:rsid w:val="005301C8"/>
    <w:rsid w:val="00530AED"/>
    <w:rsid w:val="0053299A"/>
    <w:rsid w:val="00532E73"/>
    <w:rsid w:val="005335B3"/>
    <w:rsid w:val="00533FFD"/>
    <w:rsid w:val="00534D9B"/>
    <w:rsid w:val="00541F8D"/>
    <w:rsid w:val="00544ADF"/>
    <w:rsid w:val="00551594"/>
    <w:rsid w:val="0055610D"/>
    <w:rsid w:val="005614EC"/>
    <w:rsid w:val="005629D5"/>
    <w:rsid w:val="00564B31"/>
    <w:rsid w:val="00570C5A"/>
    <w:rsid w:val="00570F31"/>
    <w:rsid w:val="00571E9D"/>
    <w:rsid w:val="0057295A"/>
    <w:rsid w:val="00572C6A"/>
    <w:rsid w:val="00574FC5"/>
    <w:rsid w:val="00577469"/>
    <w:rsid w:val="00577474"/>
    <w:rsid w:val="00577C97"/>
    <w:rsid w:val="00581B81"/>
    <w:rsid w:val="005821EF"/>
    <w:rsid w:val="00583704"/>
    <w:rsid w:val="005844EF"/>
    <w:rsid w:val="00584752"/>
    <w:rsid w:val="0058665E"/>
    <w:rsid w:val="0059072D"/>
    <w:rsid w:val="005909F8"/>
    <w:rsid w:val="00591481"/>
    <w:rsid w:val="00592188"/>
    <w:rsid w:val="005922B9"/>
    <w:rsid w:val="005939E1"/>
    <w:rsid w:val="005960B2"/>
    <w:rsid w:val="00596444"/>
    <w:rsid w:val="005A0430"/>
    <w:rsid w:val="005A3B65"/>
    <w:rsid w:val="005A55E0"/>
    <w:rsid w:val="005B082F"/>
    <w:rsid w:val="005B08C7"/>
    <w:rsid w:val="005B1237"/>
    <w:rsid w:val="005B2D02"/>
    <w:rsid w:val="005B2EDD"/>
    <w:rsid w:val="005B4E8A"/>
    <w:rsid w:val="005B4F41"/>
    <w:rsid w:val="005B539F"/>
    <w:rsid w:val="005B5BD3"/>
    <w:rsid w:val="005B6B6B"/>
    <w:rsid w:val="005B70BB"/>
    <w:rsid w:val="005C0DC3"/>
    <w:rsid w:val="005C1229"/>
    <w:rsid w:val="005C225D"/>
    <w:rsid w:val="005C2CCB"/>
    <w:rsid w:val="005C6B79"/>
    <w:rsid w:val="005C6F85"/>
    <w:rsid w:val="005C79E8"/>
    <w:rsid w:val="005C7BEE"/>
    <w:rsid w:val="005C7C73"/>
    <w:rsid w:val="005C7D7F"/>
    <w:rsid w:val="005D1A2D"/>
    <w:rsid w:val="005D6FE6"/>
    <w:rsid w:val="005D75B6"/>
    <w:rsid w:val="005E38B5"/>
    <w:rsid w:val="005E69D9"/>
    <w:rsid w:val="005F22DD"/>
    <w:rsid w:val="005F4138"/>
    <w:rsid w:val="005F615E"/>
    <w:rsid w:val="00600E1F"/>
    <w:rsid w:val="00601C64"/>
    <w:rsid w:val="006025DF"/>
    <w:rsid w:val="00602708"/>
    <w:rsid w:val="00603F87"/>
    <w:rsid w:val="00604F97"/>
    <w:rsid w:val="0060778C"/>
    <w:rsid w:val="00607C40"/>
    <w:rsid w:val="00610EC6"/>
    <w:rsid w:val="006117CC"/>
    <w:rsid w:val="0061293C"/>
    <w:rsid w:val="006145E1"/>
    <w:rsid w:val="00614D04"/>
    <w:rsid w:val="0061657D"/>
    <w:rsid w:val="006222CE"/>
    <w:rsid w:val="006229EF"/>
    <w:rsid w:val="006248C8"/>
    <w:rsid w:val="00624F6A"/>
    <w:rsid w:val="00625316"/>
    <w:rsid w:val="0062547F"/>
    <w:rsid w:val="00627DF8"/>
    <w:rsid w:val="00631227"/>
    <w:rsid w:val="006337DA"/>
    <w:rsid w:val="00633A55"/>
    <w:rsid w:val="00635CAF"/>
    <w:rsid w:val="006360B1"/>
    <w:rsid w:val="00637588"/>
    <w:rsid w:val="00641F22"/>
    <w:rsid w:val="00650309"/>
    <w:rsid w:val="006508BC"/>
    <w:rsid w:val="00655A75"/>
    <w:rsid w:val="006564F3"/>
    <w:rsid w:val="00656A56"/>
    <w:rsid w:val="00656DAD"/>
    <w:rsid w:val="00661E1A"/>
    <w:rsid w:val="00663A49"/>
    <w:rsid w:val="00664C75"/>
    <w:rsid w:val="00670C55"/>
    <w:rsid w:val="00672D9F"/>
    <w:rsid w:val="00673FEA"/>
    <w:rsid w:val="006754A4"/>
    <w:rsid w:val="00676444"/>
    <w:rsid w:val="00680E67"/>
    <w:rsid w:val="00681AF6"/>
    <w:rsid w:val="006834B9"/>
    <w:rsid w:val="00684719"/>
    <w:rsid w:val="00684919"/>
    <w:rsid w:val="00685C31"/>
    <w:rsid w:val="00685DD4"/>
    <w:rsid w:val="00686EBF"/>
    <w:rsid w:val="00687C4D"/>
    <w:rsid w:val="00693D98"/>
    <w:rsid w:val="006952A0"/>
    <w:rsid w:val="006A286A"/>
    <w:rsid w:val="006A7A23"/>
    <w:rsid w:val="006A7F93"/>
    <w:rsid w:val="006B3504"/>
    <w:rsid w:val="006B5CB3"/>
    <w:rsid w:val="006B62E5"/>
    <w:rsid w:val="006B6320"/>
    <w:rsid w:val="006C00DC"/>
    <w:rsid w:val="006C1146"/>
    <w:rsid w:val="006C115D"/>
    <w:rsid w:val="006C26F1"/>
    <w:rsid w:val="006C49D9"/>
    <w:rsid w:val="006D05EC"/>
    <w:rsid w:val="006D1C25"/>
    <w:rsid w:val="006D3758"/>
    <w:rsid w:val="006D37AF"/>
    <w:rsid w:val="006D3A0B"/>
    <w:rsid w:val="006D3DAB"/>
    <w:rsid w:val="006D55B5"/>
    <w:rsid w:val="006D69FE"/>
    <w:rsid w:val="006E10C6"/>
    <w:rsid w:val="006E11FF"/>
    <w:rsid w:val="006E4C56"/>
    <w:rsid w:val="006E518C"/>
    <w:rsid w:val="006E7112"/>
    <w:rsid w:val="006E7A9E"/>
    <w:rsid w:val="006F25D6"/>
    <w:rsid w:val="006F2771"/>
    <w:rsid w:val="006F5F66"/>
    <w:rsid w:val="00700880"/>
    <w:rsid w:val="00703B2E"/>
    <w:rsid w:val="00704D83"/>
    <w:rsid w:val="0071011E"/>
    <w:rsid w:val="0071049F"/>
    <w:rsid w:val="00710797"/>
    <w:rsid w:val="007121B7"/>
    <w:rsid w:val="0071398C"/>
    <w:rsid w:val="0071446C"/>
    <w:rsid w:val="00722328"/>
    <w:rsid w:val="00723839"/>
    <w:rsid w:val="00727E49"/>
    <w:rsid w:val="00731B1C"/>
    <w:rsid w:val="00733130"/>
    <w:rsid w:val="00735DFE"/>
    <w:rsid w:val="00737145"/>
    <w:rsid w:val="007411E7"/>
    <w:rsid w:val="00742FE6"/>
    <w:rsid w:val="00751B80"/>
    <w:rsid w:val="00752553"/>
    <w:rsid w:val="007539EF"/>
    <w:rsid w:val="00753FD4"/>
    <w:rsid w:val="00755A37"/>
    <w:rsid w:val="00756819"/>
    <w:rsid w:val="007600CB"/>
    <w:rsid w:val="00766A14"/>
    <w:rsid w:val="00767840"/>
    <w:rsid w:val="00773784"/>
    <w:rsid w:val="00773ACE"/>
    <w:rsid w:val="007776DB"/>
    <w:rsid w:val="00781989"/>
    <w:rsid w:val="00783635"/>
    <w:rsid w:val="00784794"/>
    <w:rsid w:val="00784C85"/>
    <w:rsid w:val="00785E3F"/>
    <w:rsid w:val="00790A50"/>
    <w:rsid w:val="00790BDA"/>
    <w:rsid w:val="007917C7"/>
    <w:rsid w:val="00793441"/>
    <w:rsid w:val="007957A1"/>
    <w:rsid w:val="007961F5"/>
    <w:rsid w:val="007A122B"/>
    <w:rsid w:val="007A2407"/>
    <w:rsid w:val="007A361D"/>
    <w:rsid w:val="007A7DA2"/>
    <w:rsid w:val="007B092B"/>
    <w:rsid w:val="007B1462"/>
    <w:rsid w:val="007B606F"/>
    <w:rsid w:val="007C2F1E"/>
    <w:rsid w:val="007C45F5"/>
    <w:rsid w:val="007C5849"/>
    <w:rsid w:val="007C6B54"/>
    <w:rsid w:val="007C6F66"/>
    <w:rsid w:val="007D234A"/>
    <w:rsid w:val="007D2E03"/>
    <w:rsid w:val="007D3D3C"/>
    <w:rsid w:val="007D5112"/>
    <w:rsid w:val="007D56F6"/>
    <w:rsid w:val="007D5735"/>
    <w:rsid w:val="007D6567"/>
    <w:rsid w:val="007E097F"/>
    <w:rsid w:val="007E0AE1"/>
    <w:rsid w:val="007E492B"/>
    <w:rsid w:val="007E4BB4"/>
    <w:rsid w:val="007E5A30"/>
    <w:rsid w:val="007E75F8"/>
    <w:rsid w:val="007F0671"/>
    <w:rsid w:val="007F08FF"/>
    <w:rsid w:val="007F4E19"/>
    <w:rsid w:val="007F681B"/>
    <w:rsid w:val="007F69F8"/>
    <w:rsid w:val="007F6E6C"/>
    <w:rsid w:val="007F748B"/>
    <w:rsid w:val="007F7634"/>
    <w:rsid w:val="00803D35"/>
    <w:rsid w:val="008040C8"/>
    <w:rsid w:val="00804671"/>
    <w:rsid w:val="008047EE"/>
    <w:rsid w:val="00807BA3"/>
    <w:rsid w:val="00811374"/>
    <w:rsid w:val="008120B8"/>
    <w:rsid w:val="008126EE"/>
    <w:rsid w:val="00812A2D"/>
    <w:rsid w:val="00814B34"/>
    <w:rsid w:val="00815556"/>
    <w:rsid w:val="00817E59"/>
    <w:rsid w:val="008205BE"/>
    <w:rsid w:val="008236B2"/>
    <w:rsid w:val="00826096"/>
    <w:rsid w:val="00827294"/>
    <w:rsid w:val="00830206"/>
    <w:rsid w:val="008312B5"/>
    <w:rsid w:val="00832759"/>
    <w:rsid w:val="0083645C"/>
    <w:rsid w:val="00840B23"/>
    <w:rsid w:val="00845611"/>
    <w:rsid w:val="0084700A"/>
    <w:rsid w:val="00847A68"/>
    <w:rsid w:val="00847BF1"/>
    <w:rsid w:val="008516D7"/>
    <w:rsid w:val="0085432E"/>
    <w:rsid w:val="008547AD"/>
    <w:rsid w:val="00855C40"/>
    <w:rsid w:val="00860B7C"/>
    <w:rsid w:val="00861A9C"/>
    <w:rsid w:val="008658F4"/>
    <w:rsid w:val="00866344"/>
    <w:rsid w:val="00866D14"/>
    <w:rsid w:val="00867E00"/>
    <w:rsid w:val="00870231"/>
    <w:rsid w:val="00871235"/>
    <w:rsid w:val="00871526"/>
    <w:rsid w:val="008770E7"/>
    <w:rsid w:val="0087762F"/>
    <w:rsid w:val="00881EA7"/>
    <w:rsid w:val="00882A08"/>
    <w:rsid w:val="008870A4"/>
    <w:rsid w:val="008905B8"/>
    <w:rsid w:val="00891055"/>
    <w:rsid w:val="0089115F"/>
    <w:rsid w:val="008911E1"/>
    <w:rsid w:val="008914CE"/>
    <w:rsid w:val="00892596"/>
    <w:rsid w:val="008928CF"/>
    <w:rsid w:val="00893601"/>
    <w:rsid w:val="00894588"/>
    <w:rsid w:val="00896E8C"/>
    <w:rsid w:val="008970CD"/>
    <w:rsid w:val="008A27E9"/>
    <w:rsid w:val="008A2B7F"/>
    <w:rsid w:val="008A3BEA"/>
    <w:rsid w:val="008A3DC2"/>
    <w:rsid w:val="008B0FF4"/>
    <w:rsid w:val="008B2D79"/>
    <w:rsid w:val="008C09C0"/>
    <w:rsid w:val="008C1281"/>
    <w:rsid w:val="008C1AC1"/>
    <w:rsid w:val="008C42EB"/>
    <w:rsid w:val="008C5A40"/>
    <w:rsid w:val="008C67AD"/>
    <w:rsid w:val="008C7F04"/>
    <w:rsid w:val="008D07A1"/>
    <w:rsid w:val="008D0C44"/>
    <w:rsid w:val="008D107A"/>
    <w:rsid w:val="008D17AB"/>
    <w:rsid w:val="008D2F77"/>
    <w:rsid w:val="008D4D89"/>
    <w:rsid w:val="008D60DD"/>
    <w:rsid w:val="008D7063"/>
    <w:rsid w:val="008E23D0"/>
    <w:rsid w:val="008E2E5B"/>
    <w:rsid w:val="008E359A"/>
    <w:rsid w:val="008E3F8D"/>
    <w:rsid w:val="008E48BB"/>
    <w:rsid w:val="008E4CA6"/>
    <w:rsid w:val="008E508C"/>
    <w:rsid w:val="008F1169"/>
    <w:rsid w:val="008F1476"/>
    <w:rsid w:val="008F2C3B"/>
    <w:rsid w:val="008F5914"/>
    <w:rsid w:val="008F5B2D"/>
    <w:rsid w:val="008F7A8D"/>
    <w:rsid w:val="00901610"/>
    <w:rsid w:val="00904660"/>
    <w:rsid w:val="00906B75"/>
    <w:rsid w:val="009102C1"/>
    <w:rsid w:val="009112AC"/>
    <w:rsid w:val="00913B45"/>
    <w:rsid w:val="00913C2F"/>
    <w:rsid w:val="00913DF0"/>
    <w:rsid w:val="00917157"/>
    <w:rsid w:val="0092064D"/>
    <w:rsid w:val="0092274C"/>
    <w:rsid w:val="009254C1"/>
    <w:rsid w:val="00926C46"/>
    <w:rsid w:val="00927BFF"/>
    <w:rsid w:val="009301FE"/>
    <w:rsid w:val="00932EDD"/>
    <w:rsid w:val="00933F19"/>
    <w:rsid w:val="00934272"/>
    <w:rsid w:val="00934B84"/>
    <w:rsid w:val="0094113B"/>
    <w:rsid w:val="0094202F"/>
    <w:rsid w:val="00947FE9"/>
    <w:rsid w:val="00951CC4"/>
    <w:rsid w:val="009520DA"/>
    <w:rsid w:val="00953343"/>
    <w:rsid w:val="00955348"/>
    <w:rsid w:val="00955952"/>
    <w:rsid w:val="0095713B"/>
    <w:rsid w:val="00957904"/>
    <w:rsid w:val="00957F74"/>
    <w:rsid w:val="00960C3F"/>
    <w:rsid w:val="0096135C"/>
    <w:rsid w:val="0096293B"/>
    <w:rsid w:val="009641D9"/>
    <w:rsid w:val="0096647C"/>
    <w:rsid w:val="009706F4"/>
    <w:rsid w:val="00971B29"/>
    <w:rsid w:val="009730AC"/>
    <w:rsid w:val="009745DE"/>
    <w:rsid w:val="00977F2B"/>
    <w:rsid w:val="00981CBE"/>
    <w:rsid w:val="00983995"/>
    <w:rsid w:val="00985461"/>
    <w:rsid w:val="00985707"/>
    <w:rsid w:val="009901C9"/>
    <w:rsid w:val="00990488"/>
    <w:rsid w:val="009911CB"/>
    <w:rsid w:val="00991FE4"/>
    <w:rsid w:val="0099213F"/>
    <w:rsid w:val="00992E34"/>
    <w:rsid w:val="00992F40"/>
    <w:rsid w:val="009952B4"/>
    <w:rsid w:val="009954A2"/>
    <w:rsid w:val="00995A89"/>
    <w:rsid w:val="00995D91"/>
    <w:rsid w:val="00997B91"/>
    <w:rsid w:val="009A0E2D"/>
    <w:rsid w:val="009A250B"/>
    <w:rsid w:val="009A2701"/>
    <w:rsid w:val="009A276A"/>
    <w:rsid w:val="009A3C98"/>
    <w:rsid w:val="009A4228"/>
    <w:rsid w:val="009A468E"/>
    <w:rsid w:val="009A4D43"/>
    <w:rsid w:val="009A6886"/>
    <w:rsid w:val="009A6A6F"/>
    <w:rsid w:val="009A7BC6"/>
    <w:rsid w:val="009B2E48"/>
    <w:rsid w:val="009B3ABC"/>
    <w:rsid w:val="009B6FC9"/>
    <w:rsid w:val="009B7B83"/>
    <w:rsid w:val="009C3A1C"/>
    <w:rsid w:val="009C41B5"/>
    <w:rsid w:val="009C4C96"/>
    <w:rsid w:val="009C5022"/>
    <w:rsid w:val="009C6314"/>
    <w:rsid w:val="009C7533"/>
    <w:rsid w:val="009D04C8"/>
    <w:rsid w:val="009D0896"/>
    <w:rsid w:val="009D127C"/>
    <w:rsid w:val="009D5E64"/>
    <w:rsid w:val="009E20EB"/>
    <w:rsid w:val="009E21D8"/>
    <w:rsid w:val="009E2B97"/>
    <w:rsid w:val="009E4D34"/>
    <w:rsid w:val="009E577E"/>
    <w:rsid w:val="009E5F37"/>
    <w:rsid w:val="009E7BFA"/>
    <w:rsid w:val="009F1222"/>
    <w:rsid w:val="009F239B"/>
    <w:rsid w:val="009F4608"/>
    <w:rsid w:val="009F4A33"/>
    <w:rsid w:val="009F6DDE"/>
    <w:rsid w:val="009F7CF8"/>
    <w:rsid w:val="00A000E1"/>
    <w:rsid w:val="00A0246F"/>
    <w:rsid w:val="00A02BC4"/>
    <w:rsid w:val="00A02E07"/>
    <w:rsid w:val="00A03EA5"/>
    <w:rsid w:val="00A11457"/>
    <w:rsid w:val="00A13915"/>
    <w:rsid w:val="00A13B0F"/>
    <w:rsid w:val="00A144EE"/>
    <w:rsid w:val="00A14500"/>
    <w:rsid w:val="00A15EBF"/>
    <w:rsid w:val="00A16183"/>
    <w:rsid w:val="00A16DA2"/>
    <w:rsid w:val="00A1752F"/>
    <w:rsid w:val="00A20BEC"/>
    <w:rsid w:val="00A20FA6"/>
    <w:rsid w:val="00A21385"/>
    <w:rsid w:val="00A2535D"/>
    <w:rsid w:val="00A2553D"/>
    <w:rsid w:val="00A25FF0"/>
    <w:rsid w:val="00A26EB0"/>
    <w:rsid w:val="00A3092D"/>
    <w:rsid w:val="00A30EA4"/>
    <w:rsid w:val="00A3160F"/>
    <w:rsid w:val="00A33EEF"/>
    <w:rsid w:val="00A36E60"/>
    <w:rsid w:val="00A40EB5"/>
    <w:rsid w:val="00A44624"/>
    <w:rsid w:val="00A463CF"/>
    <w:rsid w:val="00A47B09"/>
    <w:rsid w:val="00A5133F"/>
    <w:rsid w:val="00A5399F"/>
    <w:rsid w:val="00A54184"/>
    <w:rsid w:val="00A57D52"/>
    <w:rsid w:val="00A60622"/>
    <w:rsid w:val="00A62EF8"/>
    <w:rsid w:val="00A70967"/>
    <w:rsid w:val="00A70EBE"/>
    <w:rsid w:val="00A71327"/>
    <w:rsid w:val="00A72EFA"/>
    <w:rsid w:val="00A74413"/>
    <w:rsid w:val="00A74896"/>
    <w:rsid w:val="00A74B16"/>
    <w:rsid w:val="00A764C9"/>
    <w:rsid w:val="00A77721"/>
    <w:rsid w:val="00A77EA9"/>
    <w:rsid w:val="00A8080B"/>
    <w:rsid w:val="00A8117D"/>
    <w:rsid w:val="00A812CA"/>
    <w:rsid w:val="00A906C9"/>
    <w:rsid w:val="00A91764"/>
    <w:rsid w:val="00A91ACD"/>
    <w:rsid w:val="00A91C01"/>
    <w:rsid w:val="00A94CB6"/>
    <w:rsid w:val="00A95F69"/>
    <w:rsid w:val="00A960A2"/>
    <w:rsid w:val="00A978EF"/>
    <w:rsid w:val="00AA02A4"/>
    <w:rsid w:val="00AA1CBE"/>
    <w:rsid w:val="00AA6BB8"/>
    <w:rsid w:val="00AA7711"/>
    <w:rsid w:val="00AB0846"/>
    <w:rsid w:val="00AB3124"/>
    <w:rsid w:val="00AB484B"/>
    <w:rsid w:val="00AB494F"/>
    <w:rsid w:val="00AB5FF1"/>
    <w:rsid w:val="00AC01FC"/>
    <w:rsid w:val="00AC0271"/>
    <w:rsid w:val="00AC16B8"/>
    <w:rsid w:val="00AC3A4E"/>
    <w:rsid w:val="00AC44F8"/>
    <w:rsid w:val="00AD0A0E"/>
    <w:rsid w:val="00AD19E7"/>
    <w:rsid w:val="00AD3966"/>
    <w:rsid w:val="00AD535E"/>
    <w:rsid w:val="00AD6877"/>
    <w:rsid w:val="00AD7B6C"/>
    <w:rsid w:val="00AE1074"/>
    <w:rsid w:val="00AE13A2"/>
    <w:rsid w:val="00AE21EA"/>
    <w:rsid w:val="00AE347E"/>
    <w:rsid w:val="00AE7E5E"/>
    <w:rsid w:val="00AF1839"/>
    <w:rsid w:val="00AF2CE6"/>
    <w:rsid w:val="00AF47E0"/>
    <w:rsid w:val="00AF654E"/>
    <w:rsid w:val="00AF69C4"/>
    <w:rsid w:val="00B02438"/>
    <w:rsid w:val="00B0301E"/>
    <w:rsid w:val="00B03038"/>
    <w:rsid w:val="00B11B24"/>
    <w:rsid w:val="00B135E4"/>
    <w:rsid w:val="00B14D68"/>
    <w:rsid w:val="00B17431"/>
    <w:rsid w:val="00B228FA"/>
    <w:rsid w:val="00B25984"/>
    <w:rsid w:val="00B30492"/>
    <w:rsid w:val="00B30E43"/>
    <w:rsid w:val="00B33228"/>
    <w:rsid w:val="00B368D9"/>
    <w:rsid w:val="00B36947"/>
    <w:rsid w:val="00B36AF3"/>
    <w:rsid w:val="00B40193"/>
    <w:rsid w:val="00B40D86"/>
    <w:rsid w:val="00B44F16"/>
    <w:rsid w:val="00B47551"/>
    <w:rsid w:val="00B5180F"/>
    <w:rsid w:val="00B52807"/>
    <w:rsid w:val="00B52C6C"/>
    <w:rsid w:val="00B52DAD"/>
    <w:rsid w:val="00B538FC"/>
    <w:rsid w:val="00B54C2F"/>
    <w:rsid w:val="00B5600F"/>
    <w:rsid w:val="00B57192"/>
    <w:rsid w:val="00B60375"/>
    <w:rsid w:val="00B65076"/>
    <w:rsid w:val="00B65AD2"/>
    <w:rsid w:val="00B66E8A"/>
    <w:rsid w:val="00B70CC4"/>
    <w:rsid w:val="00B72311"/>
    <w:rsid w:val="00B7259F"/>
    <w:rsid w:val="00B73072"/>
    <w:rsid w:val="00B74E7B"/>
    <w:rsid w:val="00B761D3"/>
    <w:rsid w:val="00B76C7D"/>
    <w:rsid w:val="00B80BC5"/>
    <w:rsid w:val="00B80CB9"/>
    <w:rsid w:val="00B824C8"/>
    <w:rsid w:val="00B82779"/>
    <w:rsid w:val="00B8457A"/>
    <w:rsid w:val="00B84662"/>
    <w:rsid w:val="00B84D3F"/>
    <w:rsid w:val="00B86C48"/>
    <w:rsid w:val="00B87702"/>
    <w:rsid w:val="00B8786A"/>
    <w:rsid w:val="00B91ED5"/>
    <w:rsid w:val="00B92C6A"/>
    <w:rsid w:val="00B9450F"/>
    <w:rsid w:val="00B9560C"/>
    <w:rsid w:val="00BA0003"/>
    <w:rsid w:val="00BA0015"/>
    <w:rsid w:val="00BA0566"/>
    <w:rsid w:val="00BA4154"/>
    <w:rsid w:val="00BA5688"/>
    <w:rsid w:val="00BA666F"/>
    <w:rsid w:val="00BB0BC4"/>
    <w:rsid w:val="00BB2107"/>
    <w:rsid w:val="00BB3F38"/>
    <w:rsid w:val="00BB499E"/>
    <w:rsid w:val="00BB66DE"/>
    <w:rsid w:val="00BB6EB8"/>
    <w:rsid w:val="00BB7550"/>
    <w:rsid w:val="00BC05F3"/>
    <w:rsid w:val="00BC3BF7"/>
    <w:rsid w:val="00BC406C"/>
    <w:rsid w:val="00BC4F17"/>
    <w:rsid w:val="00BC51E1"/>
    <w:rsid w:val="00BC73D2"/>
    <w:rsid w:val="00BC7E77"/>
    <w:rsid w:val="00BC7F64"/>
    <w:rsid w:val="00BD006F"/>
    <w:rsid w:val="00BD16D1"/>
    <w:rsid w:val="00BD288D"/>
    <w:rsid w:val="00BD5261"/>
    <w:rsid w:val="00BE340D"/>
    <w:rsid w:val="00BE4154"/>
    <w:rsid w:val="00BE508D"/>
    <w:rsid w:val="00BE6530"/>
    <w:rsid w:val="00BE6EFA"/>
    <w:rsid w:val="00BE7289"/>
    <w:rsid w:val="00BE7D7F"/>
    <w:rsid w:val="00BE7EB0"/>
    <w:rsid w:val="00BF1A74"/>
    <w:rsid w:val="00BF713F"/>
    <w:rsid w:val="00C004E6"/>
    <w:rsid w:val="00C01D3A"/>
    <w:rsid w:val="00C02B99"/>
    <w:rsid w:val="00C02ED2"/>
    <w:rsid w:val="00C04B20"/>
    <w:rsid w:val="00C07002"/>
    <w:rsid w:val="00C073ED"/>
    <w:rsid w:val="00C1230D"/>
    <w:rsid w:val="00C126FB"/>
    <w:rsid w:val="00C135A1"/>
    <w:rsid w:val="00C13F8E"/>
    <w:rsid w:val="00C1560A"/>
    <w:rsid w:val="00C163F0"/>
    <w:rsid w:val="00C175CE"/>
    <w:rsid w:val="00C2623F"/>
    <w:rsid w:val="00C2632D"/>
    <w:rsid w:val="00C304FF"/>
    <w:rsid w:val="00C32B8D"/>
    <w:rsid w:val="00C337A2"/>
    <w:rsid w:val="00C33CE4"/>
    <w:rsid w:val="00C33DD8"/>
    <w:rsid w:val="00C33FF7"/>
    <w:rsid w:val="00C341A3"/>
    <w:rsid w:val="00C34254"/>
    <w:rsid w:val="00C35ECD"/>
    <w:rsid w:val="00C3682F"/>
    <w:rsid w:val="00C41023"/>
    <w:rsid w:val="00C41233"/>
    <w:rsid w:val="00C419F2"/>
    <w:rsid w:val="00C41DE0"/>
    <w:rsid w:val="00C441FB"/>
    <w:rsid w:val="00C45336"/>
    <w:rsid w:val="00C460B2"/>
    <w:rsid w:val="00C466FF"/>
    <w:rsid w:val="00C468A5"/>
    <w:rsid w:val="00C47A97"/>
    <w:rsid w:val="00C47CB3"/>
    <w:rsid w:val="00C515FD"/>
    <w:rsid w:val="00C537B0"/>
    <w:rsid w:val="00C54233"/>
    <w:rsid w:val="00C549CE"/>
    <w:rsid w:val="00C57614"/>
    <w:rsid w:val="00C616F4"/>
    <w:rsid w:val="00C627C9"/>
    <w:rsid w:val="00C64A25"/>
    <w:rsid w:val="00C6759B"/>
    <w:rsid w:val="00C679F2"/>
    <w:rsid w:val="00C67D8C"/>
    <w:rsid w:val="00C708C3"/>
    <w:rsid w:val="00C737C5"/>
    <w:rsid w:val="00C76AD6"/>
    <w:rsid w:val="00C77B8E"/>
    <w:rsid w:val="00C835E3"/>
    <w:rsid w:val="00C87531"/>
    <w:rsid w:val="00C90182"/>
    <w:rsid w:val="00C906F7"/>
    <w:rsid w:val="00C910FA"/>
    <w:rsid w:val="00C935D5"/>
    <w:rsid w:val="00C952EE"/>
    <w:rsid w:val="00C96B37"/>
    <w:rsid w:val="00CA0862"/>
    <w:rsid w:val="00CA1224"/>
    <w:rsid w:val="00CA22A3"/>
    <w:rsid w:val="00CA39FE"/>
    <w:rsid w:val="00CA45F4"/>
    <w:rsid w:val="00CB0728"/>
    <w:rsid w:val="00CB0F0E"/>
    <w:rsid w:val="00CB2E61"/>
    <w:rsid w:val="00CB466E"/>
    <w:rsid w:val="00CC2525"/>
    <w:rsid w:val="00CC264D"/>
    <w:rsid w:val="00CC450C"/>
    <w:rsid w:val="00CC48DB"/>
    <w:rsid w:val="00CC50BE"/>
    <w:rsid w:val="00CC50FF"/>
    <w:rsid w:val="00CD25F1"/>
    <w:rsid w:val="00CD44C7"/>
    <w:rsid w:val="00CD44F5"/>
    <w:rsid w:val="00CD6FAC"/>
    <w:rsid w:val="00CD7A70"/>
    <w:rsid w:val="00CD7A79"/>
    <w:rsid w:val="00CE21B1"/>
    <w:rsid w:val="00CE49C1"/>
    <w:rsid w:val="00CF03C6"/>
    <w:rsid w:val="00CF2653"/>
    <w:rsid w:val="00CF4F09"/>
    <w:rsid w:val="00CF52A4"/>
    <w:rsid w:val="00CF67BE"/>
    <w:rsid w:val="00CF6F99"/>
    <w:rsid w:val="00CF76D1"/>
    <w:rsid w:val="00D0264E"/>
    <w:rsid w:val="00D03119"/>
    <w:rsid w:val="00D05860"/>
    <w:rsid w:val="00D05B22"/>
    <w:rsid w:val="00D07EFD"/>
    <w:rsid w:val="00D103EA"/>
    <w:rsid w:val="00D13125"/>
    <w:rsid w:val="00D1544D"/>
    <w:rsid w:val="00D170B6"/>
    <w:rsid w:val="00D2185E"/>
    <w:rsid w:val="00D22BAC"/>
    <w:rsid w:val="00D25EDF"/>
    <w:rsid w:val="00D31E32"/>
    <w:rsid w:val="00D336B5"/>
    <w:rsid w:val="00D35FBB"/>
    <w:rsid w:val="00D36F23"/>
    <w:rsid w:val="00D37042"/>
    <w:rsid w:val="00D40467"/>
    <w:rsid w:val="00D413BA"/>
    <w:rsid w:val="00D44B3D"/>
    <w:rsid w:val="00D45250"/>
    <w:rsid w:val="00D456B6"/>
    <w:rsid w:val="00D466BB"/>
    <w:rsid w:val="00D51321"/>
    <w:rsid w:val="00D51CF1"/>
    <w:rsid w:val="00D51F3B"/>
    <w:rsid w:val="00D53AE6"/>
    <w:rsid w:val="00D541C4"/>
    <w:rsid w:val="00D55463"/>
    <w:rsid w:val="00D602F1"/>
    <w:rsid w:val="00D6219B"/>
    <w:rsid w:val="00D624A0"/>
    <w:rsid w:val="00D62A2E"/>
    <w:rsid w:val="00D62BA5"/>
    <w:rsid w:val="00D63D8A"/>
    <w:rsid w:val="00D65253"/>
    <w:rsid w:val="00D71D90"/>
    <w:rsid w:val="00D7340C"/>
    <w:rsid w:val="00D73C06"/>
    <w:rsid w:val="00D81ADB"/>
    <w:rsid w:val="00D81FDE"/>
    <w:rsid w:val="00D83679"/>
    <w:rsid w:val="00D85C0C"/>
    <w:rsid w:val="00D86DC1"/>
    <w:rsid w:val="00D87110"/>
    <w:rsid w:val="00D937DD"/>
    <w:rsid w:val="00D956F7"/>
    <w:rsid w:val="00D962A0"/>
    <w:rsid w:val="00D96425"/>
    <w:rsid w:val="00D96DD3"/>
    <w:rsid w:val="00DA22C7"/>
    <w:rsid w:val="00DA3DC6"/>
    <w:rsid w:val="00DA4BC5"/>
    <w:rsid w:val="00DA5C00"/>
    <w:rsid w:val="00DB0833"/>
    <w:rsid w:val="00DB088C"/>
    <w:rsid w:val="00DB0930"/>
    <w:rsid w:val="00DB4360"/>
    <w:rsid w:val="00DB6A4D"/>
    <w:rsid w:val="00DC1C83"/>
    <w:rsid w:val="00DC3587"/>
    <w:rsid w:val="00DC3798"/>
    <w:rsid w:val="00DC49A3"/>
    <w:rsid w:val="00DC560C"/>
    <w:rsid w:val="00DC5FE5"/>
    <w:rsid w:val="00DC6CA1"/>
    <w:rsid w:val="00DC72CE"/>
    <w:rsid w:val="00DD0F44"/>
    <w:rsid w:val="00DD4083"/>
    <w:rsid w:val="00DD5CFB"/>
    <w:rsid w:val="00DD7F84"/>
    <w:rsid w:val="00DE247D"/>
    <w:rsid w:val="00DE25F5"/>
    <w:rsid w:val="00DE47CE"/>
    <w:rsid w:val="00DF0A6A"/>
    <w:rsid w:val="00DF39C8"/>
    <w:rsid w:val="00DF403C"/>
    <w:rsid w:val="00DF711D"/>
    <w:rsid w:val="00DF7DD2"/>
    <w:rsid w:val="00E00C00"/>
    <w:rsid w:val="00E0279E"/>
    <w:rsid w:val="00E054B1"/>
    <w:rsid w:val="00E1128C"/>
    <w:rsid w:val="00E1132C"/>
    <w:rsid w:val="00E21329"/>
    <w:rsid w:val="00E23379"/>
    <w:rsid w:val="00E24F1A"/>
    <w:rsid w:val="00E26F38"/>
    <w:rsid w:val="00E26FA4"/>
    <w:rsid w:val="00E3343C"/>
    <w:rsid w:val="00E3527C"/>
    <w:rsid w:val="00E35D57"/>
    <w:rsid w:val="00E4069F"/>
    <w:rsid w:val="00E43D2D"/>
    <w:rsid w:val="00E45384"/>
    <w:rsid w:val="00E51AFD"/>
    <w:rsid w:val="00E51F43"/>
    <w:rsid w:val="00E52912"/>
    <w:rsid w:val="00E5490B"/>
    <w:rsid w:val="00E54A5B"/>
    <w:rsid w:val="00E56BE6"/>
    <w:rsid w:val="00E575BB"/>
    <w:rsid w:val="00E62987"/>
    <w:rsid w:val="00E66587"/>
    <w:rsid w:val="00E7105B"/>
    <w:rsid w:val="00E71176"/>
    <w:rsid w:val="00E779BB"/>
    <w:rsid w:val="00E82558"/>
    <w:rsid w:val="00E83905"/>
    <w:rsid w:val="00E86BA8"/>
    <w:rsid w:val="00E87E24"/>
    <w:rsid w:val="00E91489"/>
    <w:rsid w:val="00E9188B"/>
    <w:rsid w:val="00E924CF"/>
    <w:rsid w:val="00E93D8D"/>
    <w:rsid w:val="00E940D6"/>
    <w:rsid w:val="00E940E3"/>
    <w:rsid w:val="00E95443"/>
    <w:rsid w:val="00E9548A"/>
    <w:rsid w:val="00E96156"/>
    <w:rsid w:val="00EA133E"/>
    <w:rsid w:val="00EA3D46"/>
    <w:rsid w:val="00EB0E8A"/>
    <w:rsid w:val="00EB1258"/>
    <w:rsid w:val="00EB125E"/>
    <w:rsid w:val="00EB2D79"/>
    <w:rsid w:val="00EB33D2"/>
    <w:rsid w:val="00EB66C1"/>
    <w:rsid w:val="00EB724C"/>
    <w:rsid w:val="00EC1079"/>
    <w:rsid w:val="00EC20FD"/>
    <w:rsid w:val="00EC33AF"/>
    <w:rsid w:val="00EC4FF2"/>
    <w:rsid w:val="00EC5BEA"/>
    <w:rsid w:val="00EC6AF7"/>
    <w:rsid w:val="00EC7B8E"/>
    <w:rsid w:val="00ED01A2"/>
    <w:rsid w:val="00ED075F"/>
    <w:rsid w:val="00ED0F45"/>
    <w:rsid w:val="00ED118E"/>
    <w:rsid w:val="00ED1EB3"/>
    <w:rsid w:val="00ED296D"/>
    <w:rsid w:val="00ED3216"/>
    <w:rsid w:val="00ED36D7"/>
    <w:rsid w:val="00ED5EC2"/>
    <w:rsid w:val="00ED60F0"/>
    <w:rsid w:val="00EE13B2"/>
    <w:rsid w:val="00EE13C6"/>
    <w:rsid w:val="00EE209F"/>
    <w:rsid w:val="00EE2280"/>
    <w:rsid w:val="00EE3B1B"/>
    <w:rsid w:val="00EE3C25"/>
    <w:rsid w:val="00EE3CC9"/>
    <w:rsid w:val="00EE40F8"/>
    <w:rsid w:val="00EE5265"/>
    <w:rsid w:val="00EE5C21"/>
    <w:rsid w:val="00EE5EF4"/>
    <w:rsid w:val="00EE611E"/>
    <w:rsid w:val="00EF1E15"/>
    <w:rsid w:val="00EF2424"/>
    <w:rsid w:val="00EF3A17"/>
    <w:rsid w:val="00EF3F35"/>
    <w:rsid w:val="00EF44C6"/>
    <w:rsid w:val="00EF5DD1"/>
    <w:rsid w:val="00EF6905"/>
    <w:rsid w:val="00F00485"/>
    <w:rsid w:val="00F03D3E"/>
    <w:rsid w:val="00F06223"/>
    <w:rsid w:val="00F06886"/>
    <w:rsid w:val="00F10167"/>
    <w:rsid w:val="00F12751"/>
    <w:rsid w:val="00F12F06"/>
    <w:rsid w:val="00F1569D"/>
    <w:rsid w:val="00F161C9"/>
    <w:rsid w:val="00F16B8A"/>
    <w:rsid w:val="00F17FD3"/>
    <w:rsid w:val="00F2005A"/>
    <w:rsid w:val="00F224A9"/>
    <w:rsid w:val="00F224DF"/>
    <w:rsid w:val="00F234C1"/>
    <w:rsid w:val="00F25175"/>
    <w:rsid w:val="00F26CB1"/>
    <w:rsid w:val="00F32809"/>
    <w:rsid w:val="00F3301F"/>
    <w:rsid w:val="00F35685"/>
    <w:rsid w:val="00F37F15"/>
    <w:rsid w:val="00F40CA3"/>
    <w:rsid w:val="00F40D84"/>
    <w:rsid w:val="00F41F28"/>
    <w:rsid w:val="00F4342F"/>
    <w:rsid w:val="00F4442B"/>
    <w:rsid w:val="00F45F45"/>
    <w:rsid w:val="00F4614B"/>
    <w:rsid w:val="00F47790"/>
    <w:rsid w:val="00F50FD5"/>
    <w:rsid w:val="00F52E2E"/>
    <w:rsid w:val="00F53442"/>
    <w:rsid w:val="00F53AD9"/>
    <w:rsid w:val="00F54EAC"/>
    <w:rsid w:val="00F56B3C"/>
    <w:rsid w:val="00F573A9"/>
    <w:rsid w:val="00F60986"/>
    <w:rsid w:val="00F616F2"/>
    <w:rsid w:val="00F62276"/>
    <w:rsid w:val="00F62D6A"/>
    <w:rsid w:val="00F632A8"/>
    <w:rsid w:val="00F65570"/>
    <w:rsid w:val="00F65CCC"/>
    <w:rsid w:val="00F65CF1"/>
    <w:rsid w:val="00F66645"/>
    <w:rsid w:val="00F667A8"/>
    <w:rsid w:val="00F66EF2"/>
    <w:rsid w:val="00F67466"/>
    <w:rsid w:val="00F7005A"/>
    <w:rsid w:val="00F724A9"/>
    <w:rsid w:val="00F727CF"/>
    <w:rsid w:val="00F74952"/>
    <w:rsid w:val="00F766CB"/>
    <w:rsid w:val="00F8022E"/>
    <w:rsid w:val="00F80D31"/>
    <w:rsid w:val="00F810A8"/>
    <w:rsid w:val="00F823BA"/>
    <w:rsid w:val="00F8434A"/>
    <w:rsid w:val="00F85DDC"/>
    <w:rsid w:val="00F86E7B"/>
    <w:rsid w:val="00F92199"/>
    <w:rsid w:val="00F94776"/>
    <w:rsid w:val="00F97459"/>
    <w:rsid w:val="00FA1509"/>
    <w:rsid w:val="00FA1F9A"/>
    <w:rsid w:val="00FA2516"/>
    <w:rsid w:val="00FA3412"/>
    <w:rsid w:val="00FA3978"/>
    <w:rsid w:val="00FA7696"/>
    <w:rsid w:val="00FA7942"/>
    <w:rsid w:val="00FA7FB9"/>
    <w:rsid w:val="00FB0215"/>
    <w:rsid w:val="00FB25C1"/>
    <w:rsid w:val="00FB3170"/>
    <w:rsid w:val="00FB3FDE"/>
    <w:rsid w:val="00FB65B2"/>
    <w:rsid w:val="00FB6EBF"/>
    <w:rsid w:val="00FC0B63"/>
    <w:rsid w:val="00FC0C18"/>
    <w:rsid w:val="00FC0E78"/>
    <w:rsid w:val="00FC0FBE"/>
    <w:rsid w:val="00FC23AA"/>
    <w:rsid w:val="00FD1FDC"/>
    <w:rsid w:val="00FD2C43"/>
    <w:rsid w:val="00FD5AFD"/>
    <w:rsid w:val="00FD6633"/>
    <w:rsid w:val="00FD7757"/>
    <w:rsid w:val="00FE27E4"/>
    <w:rsid w:val="00FE3924"/>
    <w:rsid w:val="00FE51F8"/>
    <w:rsid w:val="00FE5799"/>
    <w:rsid w:val="00FE5978"/>
    <w:rsid w:val="00FE5E29"/>
    <w:rsid w:val="00FF0FB0"/>
    <w:rsid w:val="00FF5EAA"/>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3008F"/>
  <w15:chartTrackingRefBased/>
  <w15:docId w15:val="{70B36948-A304-471E-8038-B36D70A7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nhideWhenUsed/>
    <w:rsid w:val="00334282"/>
    <w:rPr>
      <w:rFonts w:ascii="Tahoma" w:hAnsi="Tahoma" w:cs="Tahoma"/>
      <w:sz w:val="16"/>
      <w:szCs w:val="16"/>
    </w:rPr>
  </w:style>
  <w:style w:type="character" w:customStyle="1" w:styleId="Char1">
    <w:name w:val="批注框文本 Char"/>
    <w:link w:val="a5"/>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
    <w:rsid w:val="004522F5"/>
    <w:pPr>
      <w:spacing w:after="240"/>
      <w:jc w:val="both"/>
    </w:pPr>
    <w:rPr>
      <w:rFonts w:eastAsia="宋体"/>
      <w:sz w:val="24"/>
      <w:szCs w:val="20"/>
    </w:rPr>
  </w:style>
  <w:style w:type="paragraph" w:customStyle="1" w:styleId="bullet">
    <w:name w:val="bullet"/>
    <w:basedOn w:val="a7"/>
    <w:link w:val="bulletChar"/>
    <w:qFormat/>
    <w:rsid w:val="00064CD3"/>
    <w:pPr>
      <w:numPr>
        <w:numId w:val="5"/>
      </w:numPr>
      <w:ind w:left="0"/>
    </w:pPr>
  </w:style>
  <w:style w:type="character" w:customStyle="1" w:styleId="bulletChar">
    <w:name w:val="bullet Char"/>
    <w:link w:val="bullet"/>
    <w:rsid w:val="00064CD3"/>
    <w:rPr>
      <w:rFonts w:ascii="Times New Roman" w:eastAsia="Times New Roman" w:hAnsi="Times New Roman"/>
      <w:szCs w:val="24"/>
      <w:lang w:eastAsia="en-US"/>
    </w:rPr>
  </w:style>
  <w:style w:type="character" w:customStyle="1" w:styleId="bullet0">
    <w:name w:val="bullet (文字)"/>
    <w:rsid w:val="00286EA4"/>
    <w:rPr>
      <w:rFonts w:eastAsia="MS Gothic"/>
      <w:sz w:val="24"/>
      <w:lang w:eastAsia="en-US"/>
    </w:rPr>
  </w:style>
  <w:style w:type="paragraph" w:customStyle="1" w:styleId="maintext">
    <w:name w:val="main text"/>
    <w:basedOn w:val="a"/>
    <w:link w:val="maintextChar"/>
    <w:qFormat/>
    <w:rsid w:val="00BB755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BB7550"/>
    <w:rPr>
      <w:rFonts w:ascii="Times New Roman" w:eastAsia="Malgun Gothic" w:hAnsi="Times New Roman" w:cs="Batang"/>
      <w:lang w:val="en-GB" w:eastAsia="ko-KR"/>
    </w:rPr>
  </w:style>
  <w:style w:type="paragraph" w:customStyle="1" w:styleId="Doc-text2">
    <w:name w:val="Doc-text2"/>
    <w:basedOn w:val="a"/>
    <w:link w:val="Doc-text2Char"/>
    <w:qFormat/>
    <w:rsid w:val="00BB7550"/>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rsid w:val="00BB7550"/>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72748282">
      <w:bodyDiv w:val="1"/>
      <w:marLeft w:val="0"/>
      <w:marRight w:val="0"/>
      <w:marTop w:val="0"/>
      <w:marBottom w:val="0"/>
      <w:divBdr>
        <w:top w:val="none" w:sz="0" w:space="0" w:color="auto"/>
        <w:left w:val="none" w:sz="0" w:space="0" w:color="auto"/>
        <w:bottom w:val="none" w:sz="0" w:space="0" w:color="auto"/>
        <w:right w:val="none" w:sz="0" w:space="0" w:color="auto"/>
      </w:divBdr>
    </w:div>
    <w:div w:id="623006125">
      <w:bodyDiv w:val="1"/>
      <w:marLeft w:val="0"/>
      <w:marRight w:val="0"/>
      <w:marTop w:val="0"/>
      <w:marBottom w:val="0"/>
      <w:divBdr>
        <w:top w:val="none" w:sz="0" w:space="0" w:color="auto"/>
        <w:left w:val="none" w:sz="0" w:space="0" w:color="auto"/>
        <w:bottom w:val="none" w:sz="0" w:space="0" w:color="auto"/>
        <w:right w:val="none" w:sz="0" w:space="0" w:color="auto"/>
      </w:divBdr>
    </w:div>
    <w:div w:id="79043737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86919">
      <w:bodyDiv w:val="1"/>
      <w:marLeft w:val="0"/>
      <w:marRight w:val="0"/>
      <w:marTop w:val="0"/>
      <w:marBottom w:val="0"/>
      <w:divBdr>
        <w:top w:val="none" w:sz="0" w:space="0" w:color="auto"/>
        <w:left w:val="none" w:sz="0" w:space="0" w:color="auto"/>
        <w:bottom w:val="none" w:sz="0" w:space="0" w:color="auto"/>
        <w:right w:val="none" w:sz="0" w:space="0" w:color="auto"/>
      </w:divBdr>
    </w:div>
    <w:div w:id="21159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78483-20F4-4A89-9E9B-E57B514F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4058</TotalTime>
  <Pages>4</Pages>
  <Words>1493</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zhaozhenshan</cp:lastModifiedBy>
  <cp:revision>15</cp:revision>
  <dcterms:created xsi:type="dcterms:W3CDTF">2018-03-30T03:24:00Z</dcterms:created>
  <dcterms:modified xsi:type="dcterms:W3CDTF">2018-04-04T08:15:00Z</dcterms:modified>
</cp:coreProperties>
</file>