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D19" w:rsidRPr="0033027D" w:rsidRDefault="00C41D19" w:rsidP="00C41D19">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92</w:t>
      </w:r>
      <w:r w:rsidRPr="0033027D">
        <w:rPr>
          <w:b/>
          <w:noProof/>
          <w:sz w:val="24"/>
        </w:rPr>
        <w:tab/>
      </w:r>
      <w:r>
        <w:rPr>
          <w:b/>
          <w:noProof/>
          <w:sz w:val="24"/>
        </w:rPr>
        <w:t>R1</w:t>
      </w:r>
      <w:r w:rsidRPr="0033027D">
        <w:rPr>
          <w:b/>
          <w:noProof/>
          <w:sz w:val="24"/>
        </w:rPr>
        <w:t>-1</w:t>
      </w:r>
      <w:r w:rsidR="00D55A63">
        <w:rPr>
          <w:b/>
          <w:noProof/>
          <w:sz w:val="24"/>
        </w:rPr>
        <w:t>803507</w:t>
      </w:r>
    </w:p>
    <w:p w:rsidR="00C41D19" w:rsidRDefault="00C41D19" w:rsidP="00C41D19">
      <w:pPr>
        <w:pStyle w:val="CRCoverPage"/>
        <w:tabs>
          <w:tab w:val="right" w:pos="9639"/>
        </w:tabs>
        <w:spacing w:after="0"/>
        <w:rPr>
          <w:b/>
          <w:noProof/>
          <w:sz w:val="24"/>
        </w:rPr>
      </w:pPr>
      <w:r>
        <w:rPr>
          <w:b/>
          <w:noProof/>
          <w:sz w:val="24"/>
        </w:rPr>
        <w:t>Athens</w:t>
      </w:r>
      <w:r w:rsidRPr="0095435E">
        <w:rPr>
          <w:b/>
          <w:noProof/>
          <w:sz w:val="24"/>
        </w:rPr>
        <w:t xml:space="preserve">, </w:t>
      </w:r>
      <w:r>
        <w:rPr>
          <w:b/>
          <w:noProof/>
          <w:sz w:val="24"/>
        </w:rPr>
        <w:t>Greece</w:t>
      </w:r>
      <w:r w:rsidRPr="0095435E">
        <w:rPr>
          <w:b/>
          <w:noProof/>
          <w:sz w:val="24"/>
        </w:rPr>
        <w:t xml:space="preserve">, </w:t>
      </w:r>
      <w:r>
        <w:rPr>
          <w:b/>
          <w:noProof/>
          <w:sz w:val="24"/>
        </w:rPr>
        <w:t>26</w:t>
      </w:r>
      <w:r w:rsidRPr="0095435E">
        <w:rPr>
          <w:b/>
          <w:noProof/>
          <w:sz w:val="24"/>
        </w:rPr>
        <w:t xml:space="preserve">th – </w:t>
      </w:r>
      <w:r>
        <w:rPr>
          <w:b/>
          <w:noProof/>
          <w:sz w:val="24"/>
        </w:rPr>
        <w:t>2nd March</w:t>
      </w:r>
      <w:r w:rsidRPr="0095435E">
        <w:rPr>
          <w:b/>
          <w:noProof/>
          <w:sz w:val="24"/>
        </w:rPr>
        <w:t xml:space="preserve"> </w:t>
      </w:r>
      <w:r>
        <w:rPr>
          <w:b/>
          <w:noProof/>
          <w:sz w:val="24"/>
        </w:rPr>
        <w:t>2018</w:t>
      </w:r>
    </w:p>
    <w:p w:rsidR="00675FE6" w:rsidRDefault="00675FE6" w:rsidP="00675FE6">
      <w:pPr>
        <w:pStyle w:val="CRCoverPage"/>
        <w:tabs>
          <w:tab w:val="right" w:pos="9639"/>
        </w:tabs>
        <w:spacing w:after="0"/>
        <w:rPr>
          <w:b/>
          <w:noProof/>
          <w:sz w:val="24"/>
        </w:rPr>
      </w:pPr>
    </w:p>
    <w:p w:rsidR="00675FE6" w:rsidRDefault="00675FE6" w:rsidP="00675FE6">
      <w:pPr>
        <w:pStyle w:val="TdocHeader2"/>
        <w:rPr>
          <w:sz w:val="20"/>
          <w:lang w:val="en-US"/>
        </w:rPr>
      </w:pPr>
    </w:p>
    <w:p w:rsidR="00675FE6" w:rsidRPr="008979AC" w:rsidRDefault="00675FE6" w:rsidP="00675FE6">
      <w:pPr>
        <w:pStyle w:val="TdocHeader2"/>
        <w:rPr>
          <w:sz w:val="20"/>
          <w:lang w:val="en-US"/>
        </w:rPr>
      </w:pPr>
      <w:r w:rsidRPr="008979AC">
        <w:rPr>
          <w:sz w:val="20"/>
          <w:lang w:val="en-US"/>
        </w:rPr>
        <w:t xml:space="preserve">Source: </w:t>
      </w:r>
      <w:r w:rsidRPr="008979AC">
        <w:rPr>
          <w:sz w:val="20"/>
          <w:lang w:val="en-US"/>
        </w:rPr>
        <w:tab/>
      </w:r>
      <w:r w:rsidR="00253DCC">
        <w:rPr>
          <w:sz w:val="20"/>
          <w:lang w:val="en-US"/>
        </w:rPr>
        <w:t>Hughes</w:t>
      </w:r>
    </w:p>
    <w:p w:rsidR="00675FE6" w:rsidRPr="0027658D" w:rsidRDefault="00675FE6" w:rsidP="00675FE6">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00253DCC">
        <w:rPr>
          <w:sz w:val="20"/>
          <w:lang w:val="en-US"/>
        </w:rPr>
        <w:t>Paging in NGSO Satellite Systems</w:t>
      </w:r>
    </w:p>
    <w:p w:rsidR="00675FE6" w:rsidRPr="00D5075D" w:rsidRDefault="00253DCC" w:rsidP="00675FE6">
      <w:pPr>
        <w:pStyle w:val="TdocHeader2"/>
        <w:rPr>
          <w:sz w:val="20"/>
          <w:lang w:val="en-US"/>
        </w:rPr>
      </w:pPr>
      <w:r>
        <w:rPr>
          <w:sz w:val="20"/>
          <w:lang w:val="en-US"/>
        </w:rPr>
        <w:t>TDOC Type:</w:t>
      </w:r>
      <w:r>
        <w:rPr>
          <w:sz w:val="20"/>
          <w:lang w:val="en-US"/>
        </w:rPr>
        <w:tab/>
      </w:r>
    </w:p>
    <w:p w:rsidR="00675FE6" w:rsidRPr="00860267" w:rsidRDefault="00675FE6" w:rsidP="00675FE6">
      <w:pPr>
        <w:pStyle w:val="TdocHeader2"/>
        <w:rPr>
          <w:sz w:val="20"/>
          <w:lang w:val="en-US"/>
        </w:rPr>
      </w:pPr>
      <w:r w:rsidRPr="00860267">
        <w:rPr>
          <w:sz w:val="20"/>
          <w:lang w:val="en-US"/>
        </w:rPr>
        <w:t>Agenda Item:</w:t>
      </w:r>
      <w:r w:rsidRPr="00860267">
        <w:rPr>
          <w:sz w:val="20"/>
          <w:lang w:val="en-US"/>
        </w:rPr>
        <w:tab/>
        <w:t>7.</w:t>
      </w:r>
      <w:r w:rsidR="00D55A63">
        <w:rPr>
          <w:sz w:val="20"/>
          <w:lang w:val="en-US"/>
        </w:rPr>
        <w:t>3,2</w:t>
      </w:r>
    </w:p>
    <w:p w:rsidR="00675FE6" w:rsidRDefault="00675FE6" w:rsidP="00675FE6">
      <w:pPr>
        <w:pStyle w:val="TdocHeader2"/>
        <w:rPr>
          <w:sz w:val="20"/>
          <w:lang w:val="en-US"/>
        </w:rPr>
      </w:pPr>
      <w:r>
        <w:rPr>
          <w:sz w:val="20"/>
          <w:lang w:val="en-US"/>
        </w:rPr>
        <w:t>Document for:</w:t>
      </w:r>
      <w:r>
        <w:rPr>
          <w:sz w:val="20"/>
          <w:lang w:val="en-US"/>
        </w:rPr>
        <w:tab/>
      </w:r>
      <w:r w:rsidR="008518F5">
        <w:rPr>
          <w:sz w:val="20"/>
          <w:lang w:val="en-US"/>
        </w:rPr>
        <w:t>Discussion</w:t>
      </w:r>
    </w:p>
    <w:p w:rsidR="00675FE6" w:rsidRDefault="00675FE6" w:rsidP="00675FE6">
      <w:pPr>
        <w:pStyle w:val="TdocHeader2"/>
        <w:rPr>
          <w:sz w:val="20"/>
          <w:lang w:val="en-US"/>
        </w:rPr>
      </w:pPr>
      <w:r>
        <w:rPr>
          <w:sz w:val="20"/>
          <w:lang w:val="en-US"/>
        </w:rPr>
        <w:t>Release:</w:t>
      </w:r>
      <w:r>
        <w:rPr>
          <w:sz w:val="20"/>
          <w:lang w:val="en-US"/>
        </w:rPr>
        <w:tab/>
        <w:t>Rel-15</w:t>
      </w:r>
    </w:p>
    <w:p w:rsidR="00C41D19" w:rsidRDefault="00675FE6" w:rsidP="00C41D19">
      <w:pPr>
        <w:pStyle w:val="TdocHeader2"/>
        <w:rPr>
          <w:sz w:val="20"/>
          <w:lang w:val="en-US"/>
        </w:rPr>
      </w:pPr>
      <w:r>
        <w:rPr>
          <w:sz w:val="20"/>
          <w:lang w:val="en-US"/>
        </w:rPr>
        <w:t xml:space="preserve">Specification: </w:t>
      </w:r>
      <w:r>
        <w:rPr>
          <w:sz w:val="20"/>
          <w:lang w:val="en-US"/>
        </w:rPr>
        <w:tab/>
        <w:t>38.811</w:t>
      </w:r>
      <w:r w:rsidR="00C41D19">
        <w:rPr>
          <w:sz w:val="20"/>
          <w:lang w:val="en-US"/>
        </w:rPr>
        <w:t xml:space="preserve"> </w:t>
      </w:r>
      <w:r w:rsidR="00C41D19">
        <w:t>(SID = sFS_NR_nonterr_nw)</w:t>
      </w:r>
    </w:p>
    <w:p w:rsidR="006A1A84" w:rsidRDefault="006A1A84" w:rsidP="006A1A84">
      <w:pPr>
        <w:pStyle w:val="TdocHeader2"/>
        <w:rPr>
          <w:sz w:val="20"/>
          <w:lang w:val="en-US"/>
        </w:rPr>
      </w:pPr>
      <w:bookmarkStart w:id="2" w:name="_GoBack"/>
      <w:bookmarkEnd w:id="2"/>
    </w:p>
    <w:bookmarkEnd w:id="0"/>
    <w:bookmarkEnd w:id="1"/>
    <w:p w:rsidR="006A1A84" w:rsidRDefault="009972F4" w:rsidP="006A1A84">
      <w:pPr>
        <w:pStyle w:val="Heading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253DCC">
        <w:rPr>
          <w:sz w:val="24"/>
          <w:szCs w:val="24"/>
        </w:rPr>
        <w:t>describe</w:t>
      </w:r>
      <w:r w:rsidR="00D713DA">
        <w:rPr>
          <w:sz w:val="24"/>
          <w:szCs w:val="24"/>
        </w:rPr>
        <w:t xml:space="preserve"> </w:t>
      </w:r>
      <w:r w:rsidR="00253DCC">
        <w:rPr>
          <w:sz w:val="24"/>
          <w:szCs w:val="24"/>
        </w:rPr>
        <w:t>methods for paging in a geographical area when satellite beams move in NGSO satellite systems</w:t>
      </w:r>
      <w:r w:rsidR="00B929EA">
        <w:rPr>
          <w:sz w:val="24"/>
          <w:szCs w:val="24"/>
        </w:rPr>
        <w:t>.</w:t>
      </w:r>
    </w:p>
    <w:p w:rsidR="0084424F" w:rsidRDefault="0084424F" w:rsidP="00636998">
      <w:pPr>
        <w:jc w:val="both"/>
        <w:rPr>
          <w:sz w:val="24"/>
        </w:rPr>
      </w:pPr>
    </w:p>
    <w:p w:rsidR="00DA5C3C" w:rsidRDefault="00DA5C3C" w:rsidP="00DA5C3C">
      <w:pPr>
        <w:pStyle w:val="Heading1"/>
        <w:rPr>
          <w:color w:val="000000"/>
        </w:rPr>
      </w:pPr>
      <w:r>
        <w:rPr>
          <w:color w:val="000000"/>
        </w:rPr>
        <w:t>Proposed text for approval</w:t>
      </w:r>
    </w:p>
    <w:p w:rsidR="00DA5C3C" w:rsidRDefault="00DA5C3C" w:rsidP="00DA5C3C">
      <w:pPr>
        <w:ind w:left="426" w:hanging="426"/>
      </w:pPr>
    </w:p>
    <w:p w:rsidR="0038419E" w:rsidRPr="002C06BA" w:rsidRDefault="0038419E" w:rsidP="0038419E">
      <w:pPr>
        <w:rPr>
          <w:b/>
        </w:rPr>
      </w:pPr>
      <w:r w:rsidRPr="002C06BA">
        <w:rPr>
          <w:b/>
        </w:rPr>
        <w:t xml:space="preserve">Background </w:t>
      </w:r>
      <w:r>
        <w:rPr>
          <w:b/>
        </w:rPr>
        <w:t>on Terrestrial 5G Paging</w:t>
      </w:r>
    </w:p>
    <w:p w:rsidR="0038419E" w:rsidRDefault="0038419E" w:rsidP="0038419E">
      <w:r>
        <w:t xml:space="preserve">In terrestrial wireless systems, including 5G System (5GS), a user terminal (UT) camps on a cell. The cell is uniquely identified by the RAN from which the UT is receiving the radio signals from. A collection of cells is called a Tracking Area. A collection of Tracking Areas is called as a Registration Area. Therefore a cell belongs to a tracking area and a Registration Area. </w:t>
      </w:r>
    </w:p>
    <w:p w:rsidR="0038419E" w:rsidRDefault="0038419E" w:rsidP="0038419E">
      <w:r>
        <w:t>When a UT first registers with the network, it transmits a Registration Request message to RAN</w:t>
      </w:r>
      <w:r w:rsidR="00D53AB6">
        <w:t xml:space="preserve"> [1]</w:t>
      </w:r>
      <w:r>
        <w:t>. RAN forwards the Registration Request to AMF along with information regarding the tracking area and cell identifier information to AMF. AMF responds to UT with a list of tracking areas (also referred to as Registration Area) that the UT is allowed to move without needing the UT to inform the network when UT is in CM-Idle state (this helps reduce the signaling load when UT moves from cell to cell within the Registration Area in CM-IDLE state</w:t>
      </w:r>
      <w:r w:rsidR="00D53AB6">
        <w:t xml:space="preserve"> – see [2] for definition of CM-IDLE state)</w:t>
      </w:r>
      <w:r>
        <w:t>. Therefore, in CM-IDLE state the AMF will only be aware of the UT location to the granularity of Registration Area. Therefore, if a packet arrives from internet for this UT in CM-IDLE state, the AMF attempts to page the UT on all cells belonging to the Registration Area in order to notify the arrival of packets to it. This entails AMF sending a Page to all RANs that have jurisdiction of the cells belonging to the Registration Area. All RANs that receive the page transmits a page in the corresponding cells to reach UT that may be anywhere in the Registration Area. Figure 1 provides a simplified call flow illustrating Paging in CM-IDLE state.</w:t>
      </w:r>
    </w:p>
    <w:p w:rsidR="0038419E" w:rsidRDefault="0038419E" w:rsidP="0038419E">
      <w:r>
        <w:t>In CM-IDLE state, when a UT moves out of the Registration Area, UT is required to notify the AMF via a Registration procedure. In 5GS, a UT discovers that it has moved out of the current Registration Area by listening to the System Information Broadcast</w:t>
      </w:r>
      <w:r w:rsidR="00D53AB6">
        <w:t xml:space="preserve"> (SIB) in the current radio cell</w:t>
      </w:r>
      <w:r>
        <w:t xml:space="preserve">. SIB transmitted by RAN contains Tracking Area information. If the Tracking area information received on SIB does not belong to </w:t>
      </w:r>
      <w:r>
        <w:lastRenderedPageBreak/>
        <w:t>the Tracking Area list provided by AMF, then UT executes a Registration procedure providing the current tracking area details to AMF. The AMF then sends a new Tracking Area list (Registration Area) to UT. This allows the AMF to page in the most recently known Registration Area. This is also illustrated in Figure 1.</w:t>
      </w:r>
    </w:p>
    <w:p w:rsidR="0038419E" w:rsidRDefault="0038419E" w:rsidP="0038419E">
      <w:r>
        <w:rPr>
          <w:noProof/>
        </w:rPr>
        <w:drawing>
          <wp:inline distT="0" distB="0" distL="0" distR="0" wp14:anchorId="2CCA6516" wp14:editId="6B94CC0A">
            <wp:extent cx="6157595" cy="2912997"/>
            <wp:effectExtent l="0" t="0" r="0" b="190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4408" cy="2920951"/>
                    </a:xfrm>
                    <a:prstGeom prst="rect">
                      <a:avLst/>
                    </a:prstGeom>
                    <a:noFill/>
                  </pic:spPr>
                </pic:pic>
              </a:graphicData>
            </a:graphic>
          </wp:inline>
        </w:drawing>
      </w:r>
    </w:p>
    <w:p w:rsidR="0038419E" w:rsidRPr="003A3D9E" w:rsidRDefault="0038419E" w:rsidP="0038419E">
      <w:pPr>
        <w:jc w:val="center"/>
        <w:rPr>
          <w:b/>
          <w:i/>
        </w:rPr>
      </w:pPr>
      <w:r w:rsidRPr="003A3D9E">
        <w:rPr>
          <w:b/>
          <w:i/>
        </w:rPr>
        <w:t>Figure 1. Simplifie</w:t>
      </w:r>
      <w:r>
        <w:rPr>
          <w:b/>
          <w:i/>
        </w:rPr>
        <w:t>d call flow illustrating Paging</w:t>
      </w:r>
      <w:r w:rsidRPr="003A3D9E">
        <w:rPr>
          <w:b/>
          <w:i/>
        </w:rPr>
        <w:t xml:space="preserve"> and Registration procedures in 5GS</w:t>
      </w:r>
    </w:p>
    <w:p w:rsidR="0038419E" w:rsidRDefault="0038419E" w:rsidP="0038419E">
      <w:pPr>
        <w:rPr>
          <w:b/>
        </w:rPr>
      </w:pPr>
    </w:p>
    <w:p w:rsidR="0038419E" w:rsidRPr="002C06BA" w:rsidRDefault="0038419E" w:rsidP="0038419E">
      <w:pPr>
        <w:rPr>
          <w:b/>
        </w:rPr>
      </w:pPr>
      <w:r w:rsidRPr="002C06BA">
        <w:rPr>
          <w:b/>
        </w:rPr>
        <w:t>Paging in NGSO Satellite based 5G systems</w:t>
      </w:r>
    </w:p>
    <w:p w:rsidR="0038419E" w:rsidRDefault="0038419E" w:rsidP="0038419E">
      <w:r>
        <w:t xml:space="preserve">LEO/MEO satellite based 5G systems will start to get deployed as terrestrial 5G standards mature. The air interface protocols at NAS layer is expected to be identical to that of the terrestrial 5GS so that COTS core network can be used and the user terminals can take full advantage of a terrestrially tested NAS protocol stack between itself and Core Network and reuse the authentication, authorization, mobility management, billing and provisioning framework of terrestrial 5G network. The lower layers of the protocol stack, namely, PHY and MAC layers that are implemented in Access Stratum in Satellite RAN (SRAN) are expected to be optimized for satellite environment. Figure 2 is an illustration of satellite system using 5G Core (5GC) elements. </w:t>
      </w:r>
      <w:r w:rsidR="00910545">
        <w:t>In Figure 2, Access and Mobility Management Function (AMF) an</w:t>
      </w:r>
      <w:r w:rsidR="008A539F">
        <w:t>d User Plane Function (UPF) and their interfaces with SRAN are same as that used in terrestrial 5G networks [2].</w:t>
      </w:r>
    </w:p>
    <w:p w:rsidR="0038419E" w:rsidRDefault="0038419E" w:rsidP="0038419E">
      <w:r>
        <w:object w:dxaOrig="13830" w:dyaOrig="7860">
          <v:shape id="_x0000_i1025" type="#_x0000_t75" style="width:445.15pt;height:252.95pt" o:ole="">
            <v:imagedata r:id="rId9" o:title=""/>
          </v:shape>
          <o:OLEObject Type="Embed" ProgID="Visio.Drawing.15" ShapeID="_x0000_i1025" DrawAspect="Content" ObjectID="_1581466413" r:id="rId10"/>
        </w:object>
      </w:r>
      <w:r w:rsidRPr="003A3D9E">
        <w:t xml:space="preserve"> </w:t>
      </w:r>
    </w:p>
    <w:p w:rsidR="0038419E" w:rsidRPr="003A3D9E" w:rsidRDefault="0038419E" w:rsidP="0038419E">
      <w:pPr>
        <w:jc w:val="center"/>
        <w:rPr>
          <w:b/>
          <w:i/>
          <w:sz w:val="20"/>
          <w:szCs w:val="20"/>
        </w:rPr>
      </w:pPr>
      <w:r w:rsidRPr="003A3D9E">
        <w:rPr>
          <w:b/>
          <w:i/>
          <w:sz w:val="20"/>
          <w:szCs w:val="20"/>
        </w:rPr>
        <w:t>Figure 2. LEO/MEO satellite system using standard N2 and N3 interfaces between SRAN and 5GC</w:t>
      </w:r>
    </w:p>
    <w:p w:rsidR="0038419E" w:rsidRDefault="0038419E" w:rsidP="0038419E"/>
    <w:p w:rsidR="0038419E" w:rsidRDefault="0038419E" w:rsidP="0038419E">
      <w:r>
        <w:t>In LEO/MEO satellite system, a UT camps on a beam of a satellite</w:t>
      </w:r>
      <w:r w:rsidR="008A539F">
        <w:t>, but as beams move, it ends up camping on different beams and different satellites over time even though UT may not have moved</w:t>
      </w:r>
      <w:r>
        <w:t>. Unlike terrestrial framework where a cell on the ground is tied to radio communication with a RAN, in LEO/MEO satellite systems, the satellite beams are moving. There is no correspondence between cells on the ground and satellite beams. The same cell on the ground is covered by different satellites and different beams over time. Furthermore, satellite beams can be large such that a single beam can encompass more than one cell or Tracking Area on the ground. This is illustrated in Figure 3. It should be noted that it is desirable to define tracking areas on the ground even for such LEO/MEO satellite systems since tracking areas are also used for other decisions such as authorization, legal interception routing etc.</w:t>
      </w:r>
    </w:p>
    <w:p w:rsidR="0038419E" w:rsidRDefault="0038419E" w:rsidP="0038419E"/>
    <w:p w:rsidR="0038419E" w:rsidRDefault="0038419E" w:rsidP="0038419E">
      <w:pPr>
        <w:jc w:val="center"/>
      </w:pPr>
      <w:r>
        <w:rPr>
          <w:noProof/>
        </w:rPr>
        <w:lastRenderedPageBreak/>
        <w:drawing>
          <wp:inline distT="0" distB="0" distL="0" distR="0" wp14:anchorId="46648DAC" wp14:editId="1A9BEB02">
            <wp:extent cx="4876800" cy="2160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7664" cy="2174672"/>
                    </a:xfrm>
                    <a:prstGeom prst="rect">
                      <a:avLst/>
                    </a:prstGeom>
                    <a:noFill/>
                  </pic:spPr>
                </pic:pic>
              </a:graphicData>
            </a:graphic>
          </wp:inline>
        </w:drawing>
      </w:r>
    </w:p>
    <w:p w:rsidR="0038419E" w:rsidRPr="003A3D9E" w:rsidRDefault="007F50D9" w:rsidP="0038419E">
      <w:pPr>
        <w:rPr>
          <w:b/>
          <w:i/>
          <w:sz w:val="20"/>
          <w:szCs w:val="20"/>
        </w:rPr>
      </w:pPr>
      <w:r>
        <w:rPr>
          <w:b/>
          <w:i/>
          <w:sz w:val="20"/>
          <w:szCs w:val="20"/>
        </w:rPr>
        <w:t>Figure 3</w:t>
      </w:r>
      <w:r w:rsidR="0038419E" w:rsidRPr="003A3D9E">
        <w:rPr>
          <w:b/>
          <w:i/>
          <w:sz w:val="20"/>
          <w:szCs w:val="20"/>
        </w:rPr>
        <w:t xml:space="preserve">. </w:t>
      </w:r>
      <w:r w:rsidR="0038419E">
        <w:rPr>
          <w:b/>
          <w:i/>
          <w:sz w:val="20"/>
          <w:szCs w:val="20"/>
        </w:rPr>
        <w:t>Lack of</w:t>
      </w:r>
      <w:r w:rsidR="0038419E" w:rsidRPr="003A3D9E">
        <w:rPr>
          <w:b/>
          <w:i/>
          <w:sz w:val="20"/>
          <w:szCs w:val="20"/>
        </w:rPr>
        <w:t xml:space="preserve"> one-to-one or static relationship between satellite beams and tracking areas on ground</w:t>
      </w:r>
    </w:p>
    <w:p w:rsidR="0038419E" w:rsidRDefault="0038419E" w:rsidP="0038419E"/>
    <w:p w:rsidR="000A4E66" w:rsidRDefault="0038419E" w:rsidP="000A4E66">
      <w:r>
        <w:t xml:space="preserve">Therefore, for the initial Registration, the Satellite RAN (SRAN) will not be able to provide the Tracking Area information to AMF based on which beam and which satellite the Registration Request was received. It is therefore proposed that UT provide its </w:t>
      </w:r>
      <w:r w:rsidR="007F50D9">
        <w:t>geo-</w:t>
      </w:r>
      <w:r>
        <w:t>location</w:t>
      </w:r>
      <w:r>
        <w:rPr>
          <w:rStyle w:val="FootnoteReference"/>
        </w:rPr>
        <w:footnoteReference w:id="1"/>
      </w:r>
      <w:r>
        <w:t xml:space="preserve"> to SRAN in order to determine the Tracking Area information. SRAN then determines the Tracking Area information and provides it to AMF similar to that provided by RAN in 5GS. Similar to 5GS, AMF responds to UT with a list of tracking areas (also referred to as Registration Area) that the UT is allowed to move without needing the UT to inform the network when UT is in CM-Idle state. Given that tracking areas are defined on the ground and LEO/MEO beams are moving, there is no one-to-one correspondence between moving beams and fixed tracking areas or registration areas on the ground. However this information is needed by UT to determine if it needs to perform a registration area update with AMF in 5GC. </w:t>
      </w:r>
    </w:p>
    <w:p w:rsidR="0038419E" w:rsidRDefault="000A4E66" w:rsidP="0038419E">
      <w:r>
        <w:t>One way to inform UT about its TAC is to broadcast (and frequently update) the TACs and their vertices that the beam is touching and UT compares its own location with broadcasted vertices to determine its TAC. Another way is for SRAN to supply TAC information to UT. Regardless, as described below, a TAC may be covered by multiple beams and multiple satellites and page with TAC granularity might prove expensive in a satellite system. To solve this problem, the UT in LEO/MEO satellite systems upd</w:t>
      </w:r>
      <w:r w:rsidR="002033A0">
        <w:t>ates SRAN about its current geo-</w:t>
      </w:r>
      <w:r>
        <w:t xml:space="preserve">location after it has moved a threshold (TH kms) location. SRAN provides a response to UT that will allow UT to determine if it needs to perform a registration area update using Registration procedures defined in </w:t>
      </w:r>
      <w:r w:rsidR="008A539F">
        <w:t>[1]</w:t>
      </w:r>
      <w:r>
        <w:t xml:space="preserve">. It is noted that this threshold information can be based on UT mobility type and also based on how far the UT is to the border of the Registration Area. To this end, the UT can provide information about Registration Area (that it had received from AMF as part of initial registration procedure) to SRAN. </w:t>
      </w:r>
    </w:p>
    <w:p w:rsidR="0038419E" w:rsidRDefault="0038419E" w:rsidP="0038419E">
      <w:r>
        <w:t xml:space="preserve">When there is an incoming packet to a UT in CM-IDLE state, the AMF (very similar to terrestrial 5GS) will send a page to SRAN along with Registration Area information.  The SRAN is aware of all the beams and satellites that cover the Registration Area and can therefore transmit a page in all beams and satellites covering the Registration Area. This is illustrated in Figure 4 where a Registration Area is a single Tracking </w:t>
      </w:r>
      <w:r>
        <w:lastRenderedPageBreak/>
        <w:t xml:space="preserve">Area. As illustrated in Figure 4, this may be lead to a considerable wastage of satellite resources, especially since the SRAN is aware of the last reported position and the UT could not have moved more [TH] km. </w:t>
      </w:r>
    </w:p>
    <w:p w:rsidR="0038419E" w:rsidRDefault="0038419E" w:rsidP="0038419E">
      <w:r>
        <w:rPr>
          <w:noProof/>
        </w:rPr>
        <w:drawing>
          <wp:inline distT="0" distB="0" distL="0" distR="0" wp14:anchorId="6A93784D" wp14:editId="367B143D">
            <wp:extent cx="5595620" cy="2479517"/>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5473" cy="2483883"/>
                    </a:xfrm>
                    <a:prstGeom prst="rect">
                      <a:avLst/>
                    </a:prstGeom>
                    <a:noFill/>
                  </pic:spPr>
                </pic:pic>
              </a:graphicData>
            </a:graphic>
          </wp:inline>
        </w:drawing>
      </w:r>
    </w:p>
    <w:p w:rsidR="0038419E" w:rsidRPr="003A3D9E" w:rsidRDefault="0038419E" w:rsidP="0038419E">
      <w:pPr>
        <w:jc w:val="center"/>
        <w:rPr>
          <w:b/>
          <w:i/>
          <w:sz w:val="20"/>
          <w:szCs w:val="20"/>
        </w:rPr>
      </w:pPr>
      <w:r w:rsidRPr="003A3D9E">
        <w:rPr>
          <w:b/>
          <w:i/>
          <w:sz w:val="20"/>
          <w:szCs w:val="20"/>
        </w:rPr>
        <w:t>Figure 4. Satellite beams in which Paging will occur when UT is known to a Tracking Area granularity</w:t>
      </w:r>
    </w:p>
    <w:p w:rsidR="0038419E" w:rsidRDefault="0038419E" w:rsidP="0038419E"/>
    <w:p w:rsidR="0038419E" w:rsidRDefault="0038419E" w:rsidP="0038419E">
      <w:r>
        <w:t>Therefore it is proposed that whenever SRAN receives location information from UT, it caches its position in a location database. This location is maintained in the database even when the UT goes to CM-IDLE state. When Page arrives from AMF in CM-IDLE state, SRAN queries the location database, determines the beam that covers the l</w:t>
      </w:r>
      <w:r w:rsidR="00F76E32">
        <w:t xml:space="preserve">ast reported position of the UT and pages on only on that beam </w:t>
      </w:r>
      <w:r>
        <w:t xml:space="preserve">and not the entire Registration Area. This provides huge saving of satellite resources. This is illustrated in Figure 5. The corresponding simplified call flow is illustrated in Figure 6. Items in red font in Figure 6 are the key changes to terrestrial protocol. It is important to note however that the changes are all in the Access Stratum between UT and SRAN. No modifications are required to 5GC elements. If there is no page response, SRAN dilates the paging area to include the TH km of ambiguity in its location since last reporting. Paging from AMF identifies a UT by its S-TMSI. This allocation is only known to AMF and UT. In order for SRAN to look up the database, it needs knowledge of S-TMSI. This information is provided to SRAN by UT along with location reporting. </w:t>
      </w:r>
    </w:p>
    <w:p w:rsidR="0038419E" w:rsidRDefault="0038419E" w:rsidP="0038419E">
      <w:r>
        <w:rPr>
          <w:noProof/>
        </w:rPr>
        <w:lastRenderedPageBreak/>
        <w:drawing>
          <wp:inline distT="0" distB="0" distL="0" distR="0" wp14:anchorId="2AC44213" wp14:editId="4627AB8B">
            <wp:extent cx="5557520" cy="246263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5299" cy="2470513"/>
                    </a:xfrm>
                    <a:prstGeom prst="rect">
                      <a:avLst/>
                    </a:prstGeom>
                    <a:noFill/>
                  </pic:spPr>
                </pic:pic>
              </a:graphicData>
            </a:graphic>
          </wp:inline>
        </w:drawing>
      </w:r>
    </w:p>
    <w:p w:rsidR="0038419E" w:rsidRPr="003A3D9E" w:rsidRDefault="0038419E" w:rsidP="0038419E">
      <w:pPr>
        <w:jc w:val="center"/>
        <w:rPr>
          <w:b/>
          <w:i/>
          <w:sz w:val="20"/>
          <w:szCs w:val="20"/>
        </w:rPr>
      </w:pPr>
      <w:r>
        <w:rPr>
          <w:b/>
          <w:i/>
          <w:sz w:val="20"/>
          <w:szCs w:val="20"/>
        </w:rPr>
        <w:t>Figure 5</w:t>
      </w:r>
      <w:r w:rsidRPr="003A3D9E">
        <w:rPr>
          <w:b/>
          <w:i/>
          <w:sz w:val="20"/>
          <w:szCs w:val="20"/>
        </w:rPr>
        <w:t>. Satellite beam in which Paging will occur based on last reported position</w:t>
      </w:r>
    </w:p>
    <w:p w:rsidR="0038419E" w:rsidRDefault="0038419E" w:rsidP="0038419E"/>
    <w:p w:rsidR="0038419E" w:rsidRDefault="0051124C" w:rsidP="0038419E">
      <w:r>
        <w:rPr>
          <w:noProof/>
        </w:rPr>
        <w:drawing>
          <wp:inline distT="0" distB="0" distL="0" distR="0" wp14:anchorId="0D0A0142">
            <wp:extent cx="6471500" cy="40195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9718" cy="4024654"/>
                    </a:xfrm>
                    <a:prstGeom prst="rect">
                      <a:avLst/>
                    </a:prstGeom>
                    <a:noFill/>
                  </pic:spPr>
                </pic:pic>
              </a:graphicData>
            </a:graphic>
          </wp:inline>
        </w:drawing>
      </w:r>
    </w:p>
    <w:p w:rsidR="0038419E" w:rsidRPr="007B4615" w:rsidRDefault="0038419E" w:rsidP="0038419E">
      <w:pPr>
        <w:jc w:val="center"/>
        <w:rPr>
          <w:b/>
          <w:i/>
          <w:sz w:val="20"/>
          <w:szCs w:val="20"/>
        </w:rPr>
      </w:pPr>
      <w:r>
        <w:rPr>
          <w:b/>
          <w:i/>
          <w:sz w:val="20"/>
          <w:szCs w:val="20"/>
        </w:rPr>
        <w:t>Figure 6</w:t>
      </w:r>
      <w:r w:rsidRPr="003A3D9E">
        <w:rPr>
          <w:b/>
          <w:i/>
          <w:sz w:val="20"/>
          <w:szCs w:val="20"/>
        </w:rPr>
        <w:t xml:space="preserve">. </w:t>
      </w:r>
      <w:r>
        <w:rPr>
          <w:b/>
          <w:i/>
          <w:sz w:val="20"/>
          <w:szCs w:val="20"/>
        </w:rPr>
        <w:t>Simplified Call Flow for Paging and Registration in LEO/MEO Satellite System in CM-IDLE State</w:t>
      </w:r>
    </w:p>
    <w:p w:rsidR="0038419E" w:rsidRPr="00B6630E" w:rsidRDefault="0038419E" w:rsidP="0038419E">
      <w:pPr>
        <w:rPr>
          <w:rFonts w:eastAsia="Arial Unicode MS"/>
        </w:rPr>
      </w:pPr>
      <w:r>
        <w:t xml:space="preserve">In 5G, paging can also occur when UT is in CM-CONNECTED state, but </w:t>
      </w:r>
      <w:r w:rsidRPr="00B6630E">
        <w:rPr>
          <w:rFonts w:eastAsia="Arial Unicode MS"/>
          <w:lang w:eastAsia="zh-CN"/>
        </w:rPr>
        <w:t xml:space="preserve">RRC Inactive </w:t>
      </w:r>
      <w:r>
        <w:t>state</w:t>
      </w:r>
      <w:r w:rsidR="004A4E2D">
        <w:t xml:space="preserve"> [3]</w:t>
      </w:r>
      <w:r>
        <w:t xml:space="preserve">. In this case, the AMF does not page the UT, however SRAN initiates the Page. </w:t>
      </w:r>
      <w:r w:rsidRPr="00B6630E">
        <w:rPr>
          <w:rFonts w:eastAsia="Arial Unicode MS"/>
        </w:rPr>
        <w:t xml:space="preserve">The location of a UE in RRC Inactive state is known by the </w:t>
      </w:r>
      <w:r>
        <w:rPr>
          <w:rFonts w:eastAsia="Arial Unicode MS"/>
        </w:rPr>
        <w:t>S</w:t>
      </w:r>
      <w:r w:rsidRPr="00B6630E">
        <w:rPr>
          <w:rFonts w:eastAsia="Arial Unicode MS"/>
        </w:rPr>
        <w:t xml:space="preserve">RAN on a </w:t>
      </w:r>
      <w:r>
        <w:rPr>
          <w:rFonts w:eastAsia="Arial Unicode MS"/>
        </w:rPr>
        <w:t>S</w:t>
      </w:r>
      <w:r w:rsidRPr="00680C03">
        <w:t xml:space="preserve">RAN </w:t>
      </w:r>
      <w:r>
        <w:rPr>
          <w:rFonts w:hint="eastAsia"/>
          <w:lang w:eastAsia="zh-CN"/>
        </w:rPr>
        <w:t>N</w:t>
      </w:r>
      <w:r w:rsidRPr="00680C03">
        <w:t>otification area</w:t>
      </w:r>
      <w:r>
        <w:t xml:space="preserve"> </w:t>
      </w:r>
      <w:r w:rsidRPr="00B6630E">
        <w:rPr>
          <w:rFonts w:eastAsia="Arial Unicode MS"/>
        </w:rPr>
        <w:t>granularity.</w:t>
      </w:r>
      <w:r w:rsidRPr="00B6630E">
        <w:t xml:space="preserve"> </w:t>
      </w:r>
      <w:r>
        <w:rPr>
          <w:rFonts w:eastAsia="Arial Unicode MS"/>
        </w:rPr>
        <w:t>A UT</w:t>
      </w:r>
      <w:r w:rsidRPr="00B6630E">
        <w:rPr>
          <w:rFonts w:eastAsia="Arial Unicode MS"/>
        </w:rPr>
        <w:t xml:space="preserve"> in RRC Inactive state is paged in </w:t>
      </w:r>
      <w:r w:rsidRPr="00B6630E">
        <w:rPr>
          <w:rFonts w:eastAsia="Arial Unicode MS"/>
        </w:rPr>
        <w:lastRenderedPageBreak/>
        <w:t xml:space="preserve">cells of the </w:t>
      </w:r>
      <w:r>
        <w:rPr>
          <w:rFonts w:eastAsia="Arial Unicode MS"/>
        </w:rPr>
        <w:t>S</w:t>
      </w:r>
      <w:r w:rsidRPr="00680C03">
        <w:t xml:space="preserve">RAN </w:t>
      </w:r>
      <w:r>
        <w:rPr>
          <w:rFonts w:hint="eastAsia"/>
          <w:lang w:eastAsia="zh-CN"/>
        </w:rPr>
        <w:t>N</w:t>
      </w:r>
      <w:r w:rsidRPr="00680C03">
        <w:t>otification area</w:t>
      </w:r>
      <w:r>
        <w:t xml:space="preserve"> </w:t>
      </w:r>
      <w:r>
        <w:rPr>
          <w:rFonts w:eastAsia="Arial Unicode MS"/>
        </w:rPr>
        <w:t>that is assigned to the UEs</w:t>
      </w:r>
      <w:r w:rsidRPr="00B6630E">
        <w:rPr>
          <w:rFonts w:eastAsia="Arial Unicode MS"/>
        </w:rPr>
        <w:t xml:space="preserve">. </w:t>
      </w:r>
      <w:r>
        <w:rPr>
          <w:rFonts w:eastAsia="Arial Unicode MS"/>
        </w:rPr>
        <w:t>The UE location reporting procedure and SRAN paging techniques described for CM-IDLE state also applies to CM-CONNECTED state, RRC Inactive state. This is illustrated in Figure 7.</w:t>
      </w:r>
    </w:p>
    <w:p w:rsidR="0038419E" w:rsidRDefault="0038419E" w:rsidP="0038419E">
      <w:r>
        <w:t>SRAN further optimizes paging performance based on user terminal mobility attributes. As an example, for stationary terminals, SRAN only pages on the beams based on its last reported position. For user terminals with higher mobility, paging dilation is performed in beams that cover TH km of ambiguity. Furthermore, SRAN may page with different levels of penetration to different user terminal types and for different traffic types.</w:t>
      </w:r>
    </w:p>
    <w:p w:rsidR="00FE64D4" w:rsidRDefault="00FE64D4" w:rsidP="00FE64D4"/>
    <w:p w:rsidR="00FE64D4" w:rsidRDefault="0051124C" w:rsidP="00FE64D4">
      <w:r>
        <w:rPr>
          <w:noProof/>
        </w:rPr>
        <w:drawing>
          <wp:inline distT="0" distB="0" distL="0" distR="0" wp14:anchorId="0BF589F0">
            <wp:extent cx="6129020" cy="3747621"/>
            <wp:effectExtent l="0" t="0" r="0" b="571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7967" cy="3753092"/>
                    </a:xfrm>
                    <a:prstGeom prst="rect">
                      <a:avLst/>
                    </a:prstGeom>
                    <a:noFill/>
                  </pic:spPr>
                </pic:pic>
              </a:graphicData>
            </a:graphic>
          </wp:inline>
        </w:drawing>
      </w:r>
    </w:p>
    <w:p w:rsidR="00FE64D4" w:rsidRPr="006976AD" w:rsidRDefault="00FE64D4" w:rsidP="00FE64D4">
      <w:pPr>
        <w:jc w:val="center"/>
        <w:rPr>
          <w:b/>
          <w:i/>
          <w:sz w:val="20"/>
          <w:szCs w:val="20"/>
        </w:rPr>
      </w:pPr>
      <w:r>
        <w:rPr>
          <w:b/>
          <w:i/>
          <w:sz w:val="20"/>
          <w:szCs w:val="20"/>
        </w:rPr>
        <w:t>Figure 7</w:t>
      </w:r>
      <w:r w:rsidRPr="003A3D9E">
        <w:rPr>
          <w:b/>
          <w:i/>
          <w:sz w:val="20"/>
          <w:szCs w:val="20"/>
        </w:rPr>
        <w:t xml:space="preserve">. </w:t>
      </w:r>
      <w:r>
        <w:rPr>
          <w:b/>
          <w:i/>
          <w:sz w:val="20"/>
          <w:szCs w:val="20"/>
        </w:rPr>
        <w:t>Simplified Call Flow for Paging in LEO/MEO Satellite System in CM-CONNECTED RRC-INACTIVE State</w:t>
      </w:r>
    </w:p>
    <w:p w:rsidR="0038419E" w:rsidRDefault="0038419E" w:rsidP="0038419E"/>
    <w:p w:rsidR="0038419E" w:rsidRDefault="0038419E" w:rsidP="00DA5C3C">
      <w:pPr>
        <w:ind w:left="426" w:hanging="426"/>
      </w:pPr>
      <w:r>
        <w:t>In conclusion we propose that :</w:t>
      </w:r>
    </w:p>
    <w:p w:rsidR="0038419E" w:rsidRDefault="000838F4" w:rsidP="000838F4">
      <w:pPr>
        <w:pStyle w:val="ListParagraph"/>
        <w:numPr>
          <w:ilvl w:val="0"/>
          <w:numId w:val="20"/>
        </w:numPr>
      </w:pPr>
      <w:r>
        <w:t>T</w:t>
      </w:r>
      <w:r w:rsidR="0038419E">
        <w:t xml:space="preserve">racking areas be defined as fixed geographical areas on the ground (similar to terrestrial systems) even though LEO/MEO satellite beams move over it since these tracking areas are also used for a number of location based decisions such as authorization, billing, legal interception </w:t>
      </w:r>
      <w:r>
        <w:t>etc</w:t>
      </w:r>
      <w:r w:rsidR="00A67D61">
        <w:t>.</w:t>
      </w:r>
      <w:r>
        <w:t xml:space="preserve"> in addition to paging.</w:t>
      </w:r>
    </w:p>
    <w:p w:rsidR="0038419E" w:rsidRDefault="000838F4" w:rsidP="000838F4">
      <w:pPr>
        <w:pStyle w:val="ListParagraph"/>
        <w:numPr>
          <w:ilvl w:val="0"/>
          <w:numId w:val="20"/>
        </w:numPr>
      </w:pPr>
      <w:r>
        <w:t>UT location is made known (explicitly or implicitly) to Satellite RAN (SRAN) via RRC procedures</w:t>
      </w:r>
    </w:p>
    <w:p w:rsidR="000838F4" w:rsidRDefault="000838F4" w:rsidP="000838F4">
      <w:pPr>
        <w:pStyle w:val="ListParagraph"/>
        <w:numPr>
          <w:ilvl w:val="0"/>
          <w:numId w:val="20"/>
        </w:numPr>
      </w:pPr>
      <w:r>
        <w:t>SRAN determine the tracking area/registration area that the UT is in</w:t>
      </w:r>
      <w:r w:rsidR="0051124C">
        <w:t>.</w:t>
      </w:r>
    </w:p>
    <w:p w:rsidR="000838F4" w:rsidRDefault="000838F4" w:rsidP="000838F4">
      <w:pPr>
        <w:pStyle w:val="ListParagraph"/>
        <w:numPr>
          <w:ilvl w:val="0"/>
          <w:numId w:val="20"/>
        </w:numPr>
      </w:pPr>
      <w:r>
        <w:t>SRAN provide this tracking area</w:t>
      </w:r>
      <w:r w:rsidR="00A67D61">
        <w:t xml:space="preserve"> </w:t>
      </w:r>
      <w:r>
        <w:t>information to 5GC when UT is in CM-IDLE state</w:t>
      </w:r>
    </w:p>
    <w:p w:rsidR="000838F4" w:rsidRDefault="000838F4" w:rsidP="000838F4">
      <w:pPr>
        <w:pStyle w:val="ListParagraph"/>
        <w:numPr>
          <w:ilvl w:val="0"/>
          <w:numId w:val="20"/>
        </w:numPr>
      </w:pPr>
      <w:r>
        <w:lastRenderedPageBreak/>
        <w:t xml:space="preserve">UT update SRAN with its S-TMSI information (extracted from 5G-GUTI </w:t>
      </w:r>
      <w:r w:rsidR="004A4E2D">
        <w:t xml:space="preserve">[2] </w:t>
      </w:r>
      <w:r>
        <w:t>information) when it becomes available to UT</w:t>
      </w:r>
    </w:p>
    <w:p w:rsidR="000838F4" w:rsidRDefault="000838F4" w:rsidP="000838F4">
      <w:pPr>
        <w:pStyle w:val="ListParagraph"/>
        <w:numPr>
          <w:ilvl w:val="0"/>
          <w:numId w:val="20"/>
        </w:numPr>
      </w:pPr>
      <w:r>
        <w:t>SRAN store the last reported or determined position against its S-TMSI</w:t>
      </w:r>
    </w:p>
    <w:p w:rsidR="000838F4" w:rsidRDefault="000838F4" w:rsidP="000838F4">
      <w:pPr>
        <w:pStyle w:val="ListParagraph"/>
        <w:numPr>
          <w:ilvl w:val="0"/>
          <w:numId w:val="20"/>
        </w:numPr>
      </w:pPr>
      <w:r>
        <w:t>SRAN look up the position database when it needs to Page the UT in CM-IDLE or CM-CONNECTED (RRC INACTIVE) states</w:t>
      </w:r>
    </w:p>
    <w:p w:rsidR="000838F4" w:rsidRDefault="000838F4" w:rsidP="000838F4">
      <w:pPr>
        <w:pStyle w:val="ListParagraph"/>
        <w:numPr>
          <w:ilvl w:val="0"/>
          <w:numId w:val="20"/>
        </w:numPr>
      </w:pPr>
      <w:r>
        <w:t>SRAN determine the beams and satellite that covers last reported or determined UT position</w:t>
      </w:r>
    </w:p>
    <w:p w:rsidR="000838F4" w:rsidRDefault="000838F4" w:rsidP="000838F4">
      <w:pPr>
        <w:pStyle w:val="ListParagraph"/>
        <w:numPr>
          <w:ilvl w:val="0"/>
          <w:numId w:val="20"/>
        </w:numPr>
      </w:pPr>
      <w:r>
        <w:t>SRAN dilate paging when no response is received for previous paging</w:t>
      </w:r>
    </w:p>
    <w:p w:rsidR="000838F4" w:rsidRDefault="000838F4" w:rsidP="000838F4"/>
    <w:p w:rsidR="000838F4" w:rsidRPr="00550812" w:rsidRDefault="00550812" w:rsidP="000838F4">
      <w:pPr>
        <w:rPr>
          <w:b/>
        </w:rPr>
      </w:pPr>
      <w:r w:rsidRPr="00550812">
        <w:rPr>
          <w:b/>
        </w:rPr>
        <w:t>References</w:t>
      </w:r>
    </w:p>
    <w:p w:rsidR="00550812" w:rsidRDefault="00550812" w:rsidP="00550812">
      <w:pPr>
        <w:pStyle w:val="ListParagraph"/>
        <w:numPr>
          <w:ilvl w:val="0"/>
          <w:numId w:val="21"/>
        </w:numPr>
      </w:pPr>
      <w:r w:rsidRPr="00550812">
        <w:t>3GPP TS 23.</w:t>
      </w:r>
      <w:r>
        <w:t>502</w:t>
      </w:r>
      <w:r w:rsidRPr="00550812">
        <w:t xml:space="preserve"> </w:t>
      </w:r>
      <w:r w:rsidRPr="004D3578">
        <w:t>V</w:t>
      </w:r>
      <w:r>
        <w:t>15</w:t>
      </w:r>
      <w:r w:rsidRPr="004D3578">
        <w:t>.</w:t>
      </w:r>
      <w:r>
        <w:t>0</w:t>
      </w:r>
      <w:r w:rsidRPr="004D3578">
        <w:t>.</w:t>
      </w:r>
      <w:r>
        <w:t>0  : Procedures for the 5G System</w:t>
      </w:r>
    </w:p>
    <w:p w:rsidR="00550812" w:rsidRDefault="00550812" w:rsidP="00550812">
      <w:pPr>
        <w:pStyle w:val="ListParagraph"/>
        <w:numPr>
          <w:ilvl w:val="0"/>
          <w:numId w:val="21"/>
        </w:numPr>
      </w:pPr>
      <w:r w:rsidRPr="00550812">
        <w:t xml:space="preserve">3GPP TS 23.501 </w:t>
      </w:r>
      <w:r w:rsidRPr="004D3578">
        <w:t>V</w:t>
      </w:r>
      <w:r>
        <w:t>15</w:t>
      </w:r>
      <w:r w:rsidRPr="004D3578">
        <w:t>.</w:t>
      </w:r>
      <w:r>
        <w:t>0</w:t>
      </w:r>
      <w:r w:rsidRPr="004D3578">
        <w:t>.</w:t>
      </w:r>
      <w:r>
        <w:t>0 : System Architecture for the 5G System</w:t>
      </w:r>
    </w:p>
    <w:p w:rsidR="004A4E2D" w:rsidRDefault="004A4E2D" w:rsidP="00550812">
      <w:pPr>
        <w:pStyle w:val="ListParagraph"/>
        <w:numPr>
          <w:ilvl w:val="0"/>
          <w:numId w:val="21"/>
        </w:numPr>
      </w:pPr>
      <w:r w:rsidRPr="00550812">
        <w:t xml:space="preserve">3GPP TS </w:t>
      </w:r>
      <w:r>
        <w:t>38</w:t>
      </w:r>
      <w:r w:rsidRPr="00550812">
        <w:t>.</w:t>
      </w:r>
      <w:r>
        <w:t>300</w:t>
      </w:r>
      <w:r w:rsidRPr="00550812">
        <w:t xml:space="preserve"> </w:t>
      </w:r>
      <w:r w:rsidRPr="004D3578">
        <w:t>V</w:t>
      </w:r>
      <w:r>
        <w:t>15</w:t>
      </w:r>
      <w:r w:rsidRPr="004D3578">
        <w:t>.</w:t>
      </w:r>
      <w:r>
        <w:t>0</w:t>
      </w:r>
      <w:r w:rsidRPr="004D3578">
        <w:t>.</w:t>
      </w:r>
      <w:r>
        <w:t xml:space="preserve">0  : </w:t>
      </w:r>
      <w:r w:rsidRPr="006159B0">
        <w:t>NR and NG-RAN Overall Description</w:t>
      </w:r>
    </w:p>
    <w:p w:rsidR="000838F4" w:rsidRDefault="000838F4" w:rsidP="000838F4"/>
    <w:sectPr w:rsidR="000838F4" w:rsidSect="002E7049">
      <w:footerReference w:type="default" r:id="rId1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1F8" w:rsidRDefault="00CD61F8" w:rsidP="000519FA">
      <w:pPr>
        <w:spacing w:after="0" w:line="240" w:lineRule="auto"/>
      </w:pPr>
      <w:r>
        <w:separator/>
      </w:r>
    </w:p>
  </w:endnote>
  <w:endnote w:type="continuationSeparator" w:id="0">
    <w:p w:rsidR="00CD61F8" w:rsidRDefault="00CD61F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rsidR="00150048" w:rsidRDefault="00150048">
        <w:pPr>
          <w:pStyle w:val="Footer"/>
          <w:jc w:val="center"/>
        </w:pPr>
        <w:r>
          <w:fldChar w:fldCharType="begin"/>
        </w:r>
        <w:r>
          <w:instrText xml:space="preserve"> PAGE   \* MERGEFORMAT </w:instrText>
        </w:r>
        <w:r>
          <w:fldChar w:fldCharType="separate"/>
        </w:r>
        <w:r w:rsidR="00D55A63">
          <w:rPr>
            <w:noProof/>
          </w:rPr>
          <w:t>1</w:t>
        </w:r>
        <w:r>
          <w:rPr>
            <w:noProof/>
          </w:rPr>
          <w:fldChar w:fldCharType="end"/>
        </w:r>
      </w:p>
    </w:sdtContent>
  </w:sdt>
  <w:p w:rsidR="00150048" w:rsidRDefault="00150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1F8" w:rsidRDefault="00CD61F8" w:rsidP="000519FA">
      <w:pPr>
        <w:spacing w:after="0" w:line="240" w:lineRule="auto"/>
      </w:pPr>
      <w:r>
        <w:separator/>
      </w:r>
    </w:p>
  </w:footnote>
  <w:footnote w:type="continuationSeparator" w:id="0">
    <w:p w:rsidR="00CD61F8" w:rsidRDefault="00CD61F8" w:rsidP="000519FA">
      <w:pPr>
        <w:spacing w:after="0" w:line="240" w:lineRule="auto"/>
      </w:pPr>
      <w:r>
        <w:continuationSeparator/>
      </w:r>
    </w:p>
  </w:footnote>
  <w:footnote w:id="1">
    <w:p w:rsidR="0038419E" w:rsidRDefault="0038419E" w:rsidP="0038419E">
      <w:pPr>
        <w:pStyle w:val="FootnoteText"/>
      </w:pPr>
      <w:r>
        <w:rPr>
          <w:rStyle w:val="FootnoteReference"/>
        </w:rPr>
        <w:footnoteRef/>
      </w:r>
      <w:r>
        <w:t xml:space="preserve"> This location reporting </w:t>
      </w:r>
      <w:r w:rsidR="002033A0">
        <w:t xml:space="preserve">can be explicit based on GPS, GLONASS etc., or it </w:t>
      </w:r>
      <w:r>
        <w:t xml:space="preserve">can be implicit in systems that deploy location determination based on triangulation of signals from multiple satellites.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3.85pt;height:33.2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9"/>
  </w:num>
  <w:num w:numId="4">
    <w:abstractNumId w:val="18"/>
  </w:num>
  <w:num w:numId="5">
    <w:abstractNumId w:val="17"/>
  </w:num>
  <w:num w:numId="6">
    <w:abstractNumId w:val="15"/>
  </w:num>
  <w:num w:numId="7">
    <w:abstractNumId w:val="16"/>
  </w:num>
  <w:num w:numId="8">
    <w:abstractNumId w:val="9"/>
  </w:num>
  <w:num w:numId="9">
    <w:abstractNumId w:val="13"/>
  </w:num>
  <w:num w:numId="10">
    <w:abstractNumId w:val="8"/>
  </w:num>
  <w:num w:numId="11">
    <w:abstractNumId w:val="10"/>
  </w:num>
  <w:num w:numId="12">
    <w:abstractNumId w:val="7"/>
  </w:num>
  <w:num w:numId="13">
    <w:abstractNumId w:val="12"/>
  </w:num>
  <w:num w:numId="14">
    <w:abstractNumId w:val="1"/>
  </w:num>
  <w:num w:numId="15">
    <w:abstractNumId w:val="11"/>
  </w:num>
  <w:num w:numId="16">
    <w:abstractNumId w:val="3"/>
  </w:num>
  <w:num w:numId="17">
    <w:abstractNumId w:val="20"/>
  </w:num>
  <w:num w:numId="18">
    <w:abstractNumId w:val="2"/>
  </w:num>
  <w:num w:numId="19">
    <w:abstractNumId w:val="5"/>
  </w:num>
  <w:num w:numId="20">
    <w:abstractNumId w:val="6"/>
  </w:num>
  <w:num w:numId="21">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960"/>
    <w:rsid w:val="00007A13"/>
    <w:rsid w:val="00010F94"/>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46F1"/>
    <w:rsid w:val="00074772"/>
    <w:rsid w:val="00075BA9"/>
    <w:rsid w:val="00080069"/>
    <w:rsid w:val="00080A19"/>
    <w:rsid w:val="00082A2F"/>
    <w:rsid w:val="000835A6"/>
    <w:rsid w:val="000835B5"/>
    <w:rsid w:val="000836E2"/>
    <w:rsid w:val="000838F4"/>
    <w:rsid w:val="000852A4"/>
    <w:rsid w:val="0009000A"/>
    <w:rsid w:val="00094199"/>
    <w:rsid w:val="000971F4"/>
    <w:rsid w:val="000973EC"/>
    <w:rsid w:val="00097647"/>
    <w:rsid w:val="000A08A3"/>
    <w:rsid w:val="000A24C7"/>
    <w:rsid w:val="000A2FE5"/>
    <w:rsid w:val="000A4533"/>
    <w:rsid w:val="000A4E66"/>
    <w:rsid w:val="000A5905"/>
    <w:rsid w:val="000A5A3E"/>
    <w:rsid w:val="000A5CBF"/>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3493"/>
    <w:rsid w:val="00103FE5"/>
    <w:rsid w:val="001043C5"/>
    <w:rsid w:val="0010469C"/>
    <w:rsid w:val="00105C9E"/>
    <w:rsid w:val="0010616A"/>
    <w:rsid w:val="00110759"/>
    <w:rsid w:val="00116F84"/>
    <w:rsid w:val="001175C0"/>
    <w:rsid w:val="00120438"/>
    <w:rsid w:val="00122ADB"/>
    <w:rsid w:val="00125CA0"/>
    <w:rsid w:val="00126CF8"/>
    <w:rsid w:val="0012710E"/>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6A77"/>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3A0"/>
    <w:rsid w:val="00203CF4"/>
    <w:rsid w:val="00206E46"/>
    <w:rsid w:val="002071E5"/>
    <w:rsid w:val="00207228"/>
    <w:rsid w:val="00211821"/>
    <w:rsid w:val="00214F4F"/>
    <w:rsid w:val="0021618C"/>
    <w:rsid w:val="00216449"/>
    <w:rsid w:val="002176CB"/>
    <w:rsid w:val="002206B6"/>
    <w:rsid w:val="00222ECE"/>
    <w:rsid w:val="0022358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DCC"/>
    <w:rsid w:val="00253FFC"/>
    <w:rsid w:val="00254B74"/>
    <w:rsid w:val="002554AD"/>
    <w:rsid w:val="002557DB"/>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9B2"/>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E7FF3"/>
    <w:rsid w:val="002F2BBC"/>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3FE2"/>
    <w:rsid w:val="0038419E"/>
    <w:rsid w:val="00384424"/>
    <w:rsid w:val="00384788"/>
    <w:rsid w:val="0039081F"/>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06B61"/>
    <w:rsid w:val="00410186"/>
    <w:rsid w:val="0041109B"/>
    <w:rsid w:val="0041147C"/>
    <w:rsid w:val="0041341B"/>
    <w:rsid w:val="00413E0F"/>
    <w:rsid w:val="00415612"/>
    <w:rsid w:val="004177DC"/>
    <w:rsid w:val="00420E1D"/>
    <w:rsid w:val="004226D5"/>
    <w:rsid w:val="004246FC"/>
    <w:rsid w:val="004249AE"/>
    <w:rsid w:val="004252B9"/>
    <w:rsid w:val="0042587B"/>
    <w:rsid w:val="00427143"/>
    <w:rsid w:val="004277D7"/>
    <w:rsid w:val="00427F23"/>
    <w:rsid w:val="00430D3F"/>
    <w:rsid w:val="00431057"/>
    <w:rsid w:val="00431FAC"/>
    <w:rsid w:val="004348D2"/>
    <w:rsid w:val="0043557C"/>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A4E2D"/>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BFD"/>
    <w:rsid w:val="00515E12"/>
    <w:rsid w:val="00517B60"/>
    <w:rsid w:val="00522C8F"/>
    <w:rsid w:val="00525F9A"/>
    <w:rsid w:val="00530024"/>
    <w:rsid w:val="005300CD"/>
    <w:rsid w:val="00530DCF"/>
    <w:rsid w:val="00531EE8"/>
    <w:rsid w:val="0053790E"/>
    <w:rsid w:val="005410D8"/>
    <w:rsid w:val="00544162"/>
    <w:rsid w:val="0054444F"/>
    <w:rsid w:val="005457D6"/>
    <w:rsid w:val="00546B77"/>
    <w:rsid w:val="00547BD3"/>
    <w:rsid w:val="00550812"/>
    <w:rsid w:val="00551AE9"/>
    <w:rsid w:val="00552233"/>
    <w:rsid w:val="005537AF"/>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E1237"/>
    <w:rsid w:val="005E1F5E"/>
    <w:rsid w:val="005E2DE2"/>
    <w:rsid w:val="005E41CF"/>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0985"/>
    <w:rsid w:val="006119CC"/>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4BA3"/>
    <w:rsid w:val="00672217"/>
    <w:rsid w:val="0067430B"/>
    <w:rsid w:val="00675FE6"/>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B0179"/>
    <w:rsid w:val="006B0598"/>
    <w:rsid w:val="006B081A"/>
    <w:rsid w:val="006B316C"/>
    <w:rsid w:val="006B395F"/>
    <w:rsid w:val="006B5F83"/>
    <w:rsid w:val="006C0833"/>
    <w:rsid w:val="006C2C35"/>
    <w:rsid w:val="006C3EFA"/>
    <w:rsid w:val="006C4B17"/>
    <w:rsid w:val="006C501B"/>
    <w:rsid w:val="006C557B"/>
    <w:rsid w:val="006D06E3"/>
    <w:rsid w:val="006D32E6"/>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025C"/>
    <w:rsid w:val="00721283"/>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430D"/>
    <w:rsid w:val="00796F4A"/>
    <w:rsid w:val="00797A8C"/>
    <w:rsid w:val="007A0C2D"/>
    <w:rsid w:val="007A1AA8"/>
    <w:rsid w:val="007A4075"/>
    <w:rsid w:val="007A5838"/>
    <w:rsid w:val="007B0187"/>
    <w:rsid w:val="007B02FF"/>
    <w:rsid w:val="007B3ACC"/>
    <w:rsid w:val="007B5680"/>
    <w:rsid w:val="007B6675"/>
    <w:rsid w:val="007B7230"/>
    <w:rsid w:val="007C1F63"/>
    <w:rsid w:val="007C23CF"/>
    <w:rsid w:val="007C3153"/>
    <w:rsid w:val="007C34B4"/>
    <w:rsid w:val="007C3C38"/>
    <w:rsid w:val="007C60C8"/>
    <w:rsid w:val="007C70C7"/>
    <w:rsid w:val="007C715E"/>
    <w:rsid w:val="007D15EE"/>
    <w:rsid w:val="007D26A3"/>
    <w:rsid w:val="007D26FE"/>
    <w:rsid w:val="007D3218"/>
    <w:rsid w:val="007D351A"/>
    <w:rsid w:val="007D60BF"/>
    <w:rsid w:val="007D75FC"/>
    <w:rsid w:val="007D7E09"/>
    <w:rsid w:val="007E1971"/>
    <w:rsid w:val="007E36A9"/>
    <w:rsid w:val="007E3753"/>
    <w:rsid w:val="007E46B1"/>
    <w:rsid w:val="007E4B3C"/>
    <w:rsid w:val="007F06D6"/>
    <w:rsid w:val="007F4055"/>
    <w:rsid w:val="007F443B"/>
    <w:rsid w:val="007F50D9"/>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268FE"/>
    <w:rsid w:val="00831769"/>
    <w:rsid w:val="00831F89"/>
    <w:rsid w:val="008344EF"/>
    <w:rsid w:val="0083523E"/>
    <w:rsid w:val="008369A7"/>
    <w:rsid w:val="00836A46"/>
    <w:rsid w:val="008415D9"/>
    <w:rsid w:val="008419A2"/>
    <w:rsid w:val="0084424F"/>
    <w:rsid w:val="00844EAD"/>
    <w:rsid w:val="00845A04"/>
    <w:rsid w:val="0084609F"/>
    <w:rsid w:val="008475D3"/>
    <w:rsid w:val="008518F5"/>
    <w:rsid w:val="00851A74"/>
    <w:rsid w:val="008556D7"/>
    <w:rsid w:val="0085775F"/>
    <w:rsid w:val="00860267"/>
    <w:rsid w:val="00861F1A"/>
    <w:rsid w:val="008620EC"/>
    <w:rsid w:val="00862CC3"/>
    <w:rsid w:val="00864189"/>
    <w:rsid w:val="0086464C"/>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D19"/>
    <w:rsid w:val="00897B3B"/>
    <w:rsid w:val="008A2170"/>
    <w:rsid w:val="008A495C"/>
    <w:rsid w:val="008A4E94"/>
    <w:rsid w:val="008A539F"/>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3E53"/>
    <w:rsid w:val="009064F7"/>
    <w:rsid w:val="0091016F"/>
    <w:rsid w:val="00910545"/>
    <w:rsid w:val="00911ADB"/>
    <w:rsid w:val="009137CF"/>
    <w:rsid w:val="0091668C"/>
    <w:rsid w:val="009169B8"/>
    <w:rsid w:val="00917303"/>
    <w:rsid w:val="00917582"/>
    <w:rsid w:val="00917F45"/>
    <w:rsid w:val="0092132D"/>
    <w:rsid w:val="00922337"/>
    <w:rsid w:val="00923FE2"/>
    <w:rsid w:val="00924214"/>
    <w:rsid w:val="00924280"/>
    <w:rsid w:val="0092459D"/>
    <w:rsid w:val="0092536C"/>
    <w:rsid w:val="00927A1B"/>
    <w:rsid w:val="009352EF"/>
    <w:rsid w:val="009362AE"/>
    <w:rsid w:val="00940C63"/>
    <w:rsid w:val="00942D58"/>
    <w:rsid w:val="00943341"/>
    <w:rsid w:val="00943363"/>
    <w:rsid w:val="00944949"/>
    <w:rsid w:val="00945AF4"/>
    <w:rsid w:val="009463E0"/>
    <w:rsid w:val="00946973"/>
    <w:rsid w:val="009502F0"/>
    <w:rsid w:val="009506AA"/>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6F7"/>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7896"/>
    <w:rsid w:val="009D2619"/>
    <w:rsid w:val="009D27F4"/>
    <w:rsid w:val="009D2998"/>
    <w:rsid w:val="009D49BC"/>
    <w:rsid w:val="009D6314"/>
    <w:rsid w:val="009D7582"/>
    <w:rsid w:val="009E0146"/>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0E66"/>
    <w:rsid w:val="00A234F8"/>
    <w:rsid w:val="00A23F15"/>
    <w:rsid w:val="00A24B52"/>
    <w:rsid w:val="00A25558"/>
    <w:rsid w:val="00A25AD9"/>
    <w:rsid w:val="00A26016"/>
    <w:rsid w:val="00A26D8E"/>
    <w:rsid w:val="00A26DF2"/>
    <w:rsid w:val="00A415B6"/>
    <w:rsid w:val="00A45C29"/>
    <w:rsid w:val="00A45C80"/>
    <w:rsid w:val="00A4633B"/>
    <w:rsid w:val="00A4783D"/>
    <w:rsid w:val="00A5125D"/>
    <w:rsid w:val="00A52893"/>
    <w:rsid w:val="00A52A13"/>
    <w:rsid w:val="00A54F44"/>
    <w:rsid w:val="00A57AF9"/>
    <w:rsid w:val="00A57C76"/>
    <w:rsid w:val="00A57CE0"/>
    <w:rsid w:val="00A61E44"/>
    <w:rsid w:val="00A62991"/>
    <w:rsid w:val="00A657C7"/>
    <w:rsid w:val="00A67D61"/>
    <w:rsid w:val="00A735DF"/>
    <w:rsid w:val="00A75E73"/>
    <w:rsid w:val="00A76AA4"/>
    <w:rsid w:val="00A80DE2"/>
    <w:rsid w:val="00A82468"/>
    <w:rsid w:val="00A82539"/>
    <w:rsid w:val="00A83E0D"/>
    <w:rsid w:val="00A845DC"/>
    <w:rsid w:val="00A87D79"/>
    <w:rsid w:val="00A900CC"/>
    <w:rsid w:val="00A900D9"/>
    <w:rsid w:val="00A90257"/>
    <w:rsid w:val="00A90653"/>
    <w:rsid w:val="00A918E6"/>
    <w:rsid w:val="00A9206A"/>
    <w:rsid w:val="00A95668"/>
    <w:rsid w:val="00A97255"/>
    <w:rsid w:val="00AA0D5F"/>
    <w:rsid w:val="00AA5AE5"/>
    <w:rsid w:val="00AA6562"/>
    <w:rsid w:val="00AA68EC"/>
    <w:rsid w:val="00AA798E"/>
    <w:rsid w:val="00AB3581"/>
    <w:rsid w:val="00AB7C79"/>
    <w:rsid w:val="00AC215C"/>
    <w:rsid w:val="00AC384B"/>
    <w:rsid w:val="00AC4ADB"/>
    <w:rsid w:val="00AC4F8A"/>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5124"/>
    <w:rsid w:val="00B455E0"/>
    <w:rsid w:val="00B45ED9"/>
    <w:rsid w:val="00B46E53"/>
    <w:rsid w:val="00B47643"/>
    <w:rsid w:val="00B4779E"/>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7EFA"/>
    <w:rsid w:val="00B929EA"/>
    <w:rsid w:val="00B92C4B"/>
    <w:rsid w:val="00B94A25"/>
    <w:rsid w:val="00B95591"/>
    <w:rsid w:val="00B95E05"/>
    <w:rsid w:val="00B960F0"/>
    <w:rsid w:val="00BA02FD"/>
    <w:rsid w:val="00BA250E"/>
    <w:rsid w:val="00BA52D2"/>
    <w:rsid w:val="00BB2868"/>
    <w:rsid w:val="00BB74CF"/>
    <w:rsid w:val="00BB7706"/>
    <w:rsid w:val="00BC01AE"/>
    <w:rsid w:val="00BC109C"/>
    <w:rsid w:val="00BC1CA7"/>
    <w:rsid w:val="00BC30F0"/>
    <w:rsid w:val="00BC48EB"/>
    <w:rsid w:val="00BC70FB"/>
    <w:rsid w:val="00BD29FC"/>
    <w:rsid w:val="00BD3A77"/>
    <w:rsid w:val="00BD3F59"/>
    <w:rsid w:val="00BD4B1B"/>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E36"/>
    <w:rsid w:val="00C114ED"/>
    <w:rsid w:val="00C150D0"/>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61F8"/>
    <w:rsid w:val="00CD78CD"/>
    <w:rsid w:val="00CE0752"/>
    <w:rsid w:val="00CE345A"/>
    <w:rsid w:val="00CE597B"/>
    <w:rsid w:val="00CE70BC"/>
    <w:rsid w:val="00CE7957"/>
    <w:rsid w:val="00CF1533"/>
    <w:rsid w:val="00CF3234"/>
    <w:rsid w:val="00CF3B36"/>
    <w:rsid w:val="00CF3E1A"/>
    <w:rsid w:val="00CF6A0A"/>
    <w:rsid w:val="00D00BA5"/>
    <w:rsid w:val="00D01AEE"/>
    <w:rsid w:val="00D03B4D"/>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3AB6"/>
    <w:rsid w:val="00D55A63"/>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C3C"/>
    <w:rsid w:val="00DA6DC7"/>
    <w:rsid w:val="00DB05E2"/>
    <w:rsid w:val="00DB1C17"/>
    <w:rsid w:val="00DB367C"/>
    <w:rsid w:val="00DB459A"/>
    <w:rsid w:val="00DB56B1"/>
    <w:rsid w:val="00DB5E30"/>
    <w:rsid w:val="00DC053E"/>
    <w:rsid w:val="00DC1AF3"/>
    <w:rsid w:val="00DC1F40"/>
    <w:rsid w:val="00DC239D"/>
    <w:rsid w:val="00DC6235"/>
    <w:rsid w:val="00DC7686"/>
    <w:rsid w:val="00DC7B31"/>
    <w:rsid w:val="00DD3021"/>
    <w:rsid w:val="00DD62DD"/>
    <w:rsid w:val="00DD7407"/>
    <w:rsid w:val="00DE0934"/>
    <w:rsid w:val="00DE16B2"/>
    <w:rsid w:val="00DE2B79"/>
    <w:rsid w:val="00DE3805"/>
    <w:rsid w:val="00DE63A4"/>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367E"/>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7507"/>
    <w:rsid w:val="00F00285"/>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43A4"/>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B2CA0"/>
    <w:rsid w:val="00FB393E"/>
    <w:rsid w:val="00FB416D"/>
    <w:rsid w:val="00FB4E17"/>
    <w:rsid w:val="00FB6B21"/>
    <w:rsid w:val="00FB7B74"/>
    <w:rsid w:val="00FC11A1"/>
    <w:rsid w:val="00FC2112"/>
    <w:rsid w:val="00FC259E"/>
    <w:rsid w:val="00FC69FC"/>
    <w:rsid w:val="00FD1552"/>
    <w:rsid w:val="00FD5EDC"/>
    <w:rsid w:val="00FD781F"/>
    <w:rsid w:val="00FD7D79"/>
    <w:rsid w:val="00FE09DB"/>
    <w:rsid w:val="00FE1EBF"/>
    <w:rsid w:val="00FE2675"/>
    <w:rsid w:val="00FE2DE3"/>
    <w:rsid w:val="00FE3B26"/>
    <w:rsid w:val="00FE462C"/>
    <w:rsid w:val="00FE5597"/>
    <w:rsid w:val="00FE64D4"/>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A0190E1-1E88-4FC7-9734-3A1D618D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uiPriority w:val="99"/>
    <w:semiHidden/>
    <w:rsid w:val="003D2EA5"/>
    <w:rPr>
      <w:b/>
      <w:position w:val="6"/>
      <w:sz w:val="16"/>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CAC3E-96A3-4433-B1CC-B9FC3AD1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1718</Words>
  <Characters>9795</Characters>
  <Application>Microsoft Office Word</Application>
  <DocSecurity>0</DocSecurity>
  <Lines>81</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Lee, Lin-Nan</cp:lastModifiedBy>
  <cp:revision>2</cp:revision>
  <cp:lastPrinted>2017-11-07T14:24:00Z</cp:lastPrinted>
  <dcterms:created xsi:type="dcterms:W3CDTF">2018-03-02T08:27:00Z</dcterms:created>
  <dcterms:modified xsi:type="dcterms:W3CDTF">2018-03-02T08:27:00Z</dcterms:modified>
</cp:coreProperties>
</file>