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6276576E" w:rsidR="00CE5F5F" w:rsidRPr="008E769D" w:rsidRDefault="000C63E6" w:rsidP="00CE5F5F">
      <w:pPr>
        <w:tabs>
          <w:tab w:val="right" w:pos="10000"/>
        </w:tabs>
        <w:spacing w:after="0"/>
        <w:rPr>
          <w:rFonts w:ascii="Arial" w:hAnsi="Arial" w:cs="Arial"/>
          <w:b/>
          <w:sz w:val="22"/>
          <w:szCs w:val="24"/>
        </w:rPr>
      </w:pPr>
      <w:r w:rsidRPr="008E769D">
        <w:rPr>
          <w:rFonts w:ascii="Arial" w:hAnsi="Arial" w:cs="Arial"/>
          <w:b/>
          <w:sz w:val="22"/>
          <w:szCs w:val="24"/>
        </w:rPr>
        <w:t xml:space="preserve">3GPP TSG-RAN WG1 </w:t>
      </w:r>
      <w:r w:rsidR="00FD2EB2">
        <w:rPr>
          <w:rFonts w:ascii="Arial" w:hAnsi="Arial" w:cs="Arial"/>
          <w:b/>
          <w:sz w:val="22"/>
          <w:szCs w:val="24"/>
        </w:rPr>
        <w:t xml:space="preserve">Meeting </w:t>
      </w:r>
      <w:r w:rsidR="001B19F5">
        <w:rPr>
          <w:rFonts w:ascii="Arial" w:hAnsi="Arial" w:cs="Arial"/>
          <w:b/>
          <w:sz w:val="22"/>
          <w:szCs w:val="24"/>
        </w:rPr>
        <w:t>#92</w:t>
      </w:r>
      <w:r w:rsidR="00CE5F5F" w:rsidRPr="008E769D">
        <w:rPr>
          <w:rFonts w:ascii="Arial" w:hAnsi="Arial" w:cs="Arial"/>
          <w:b/>
          <w:sz w:val="22"/>
          <w:szCs w:val="24"/>
        </w:rPr>
        <w:t xml:space="preserve"> </w:t>
      </w:r>
      <w:r w:rsidR="00CE5F5F" w:rsidRPr="008E769D">
        <w:rPr>
          <w:rFonts w:ascii="Arial" w:hAnsi="Arial" w:cs="Arial"/>
          <w:b/>
          <w:sz w:val="22"/>
          <w:szCs w:val="24"/>
        </w:rPr>
        <w:tab/>
      </w:r>
      <w:r w:rsidR="00FB14B4" w:rsidRPr="00990D80">
        <w:rPr>
          <w:rFonts w:ascii="Arial" w:hAnsi="Arial" w:cs="Arial"/>
          <w:b/>
          <w:sz w:val="22"/>
          <w:szCs w:val="24"/>
        </w:rPr>
        <w:t>R1-18</w:t>
      </w:r>
      <w:r w:rsidR="005F1392" w:rsidRPr="00990D80">
        <w:rPr>
          <w:rFonts w:ascii="Arial" w:hAnsi="Arial" w:cs="Arial"/>
          <w:b/>
          <w:sz w:val="22"/>
          <w:szCs w:val="24"/>
        </w:rPr>
        <w:t>0</w:t>
      </w:r>
      <w:r w:rsidR="00990D80" w:rsidRPr="00990D80">
        <w:rPr>
          <w:rFonts w:ascii="Arial" w:hAnsi="Arial" w:cs="Arial"/>
          <w:b/>
          <w:sz w:val="22"/>
          <w:szCs w:val="24"/>
        </w:rPr>
        <w:t>2841</w:t>
      </w:r>
    </w:p>
    <w:p w14:paraId="1DBE0C1E" w14:textId="0D1AAC9B" w:rsidR="00BC335A" w:rsidRPr="00BC335A" w:rsidRDefault="005F1392" w:rsidP="00BC335A">
      <w:pPr>
        <w:pStyle w:val="Footer"/>
        <w:jc w:val="both"/>
        <w:rPr>
          <w:rFonts w:cs="Arial"/>
          <w:i w:val="0"/>
          <w:noProof w:val="0"/>
          <w:sz w:val="22"/>
          <w:szCs w:val="24"/>
        </w:rPr>
      </w:pPr>
      <w:r>
        <w:rPr>
          <w:rFonts w:cs="Arial"/>
          <w:i w:val="0"/>
          <w:noProof w:val="0"/>
          <w:sz w:val="22"/>
          <w:szCs w:val="24"/>
        </w:rPr>
        <w:t>February</w:t>
      </w:r>
      <w:r w:rsidR="0061297E">
        <w:rPr>
          <w:rFonts w:cs="Arial"/>
          <w:i w:val="0"/>
          <w:noProof w:val="0"/>
          <w:sz w:val="22"/>
          <w:szCs w:val="24"/>
        </w:rPr>
        <w:t xml:space="preserve"> 2</w:t>
      </w:r>
      <w:r>
        <w:rPr>
          <w:rFonts w:cs="Arial"/>
          <w:i w:val="0"/>
          <w:noProof w:val="0"/>
          <w:sz w:val="22"/>
          <w:szCs w:val="24"/>
        </w:rPr>
        <w:t>6</w:t>
      </w:r>
      <w:r>
        <w:rPr>
          <w:rFonts w:cs="Arial"/>
          <w:i w:val="0"/>
          <w:noProof w:val="0"/>
          <w:sz w:val="22"/>
          <w:szCs w:val="24"/>
          <w:vertAlign w:val="superscript"/>
        </w:rPr>
        <w:t>th</w:t>
      </w:r>
      <w:r w:rsidR="0061297E">
        <w:rPr>
          <w:rFonts w:cs="Arial"/>
          <w:i w:val="0"/>
          <w:noProof w:val="0"/>
          <w:sz w:val="22"/>
          <w:szCs w:val="24"/>
        </w:rPr>
        <w:t xml:space="preserve"> </w:t>
      </w:r>
      <w:r w:rsidR="00BC335A" w:rsidRPr="00BC335A">
        <w:rPr>
          <w:rFonts w:cs="Arial"/>
          <w:i w:val="0"/>
          <w:noProof w:val="0"/>
          <w:sz w:val="22"/>
          <w:szCs w:val="24"/>
        </w:rPr>
        <w:t xml:space="preserve"> – </w:t>
      </w:r>
      <w:r>
        <w:rPr>
          <w:rFonts w:cs="Arial"/>
          <w:i w:val="0"/>
          <w:noProof w:val="0"/>
          <w:sz w:val="22"/>
          <w:szCs w:val="24"/>
        </w:rPr>
        <w:t>March 2</w:t>
      </w:r>
      <w:r>
        <w:rPr>
          <w:rFonts w:cs="Arial"/>
          <w:i w:val="0"/>
          <w:noProof w:val="0"/>
          <w:sz w:val="22"/>
          <w:szCs w:val="24"/>
          <w:vertAlign w:val="superscript"/>
        </w:rPr>
        <w:t>nd</w:t>
      </w:r>
      <w:r w:rsidR="00BC335A" w:rsidRPr="00BC335A">
        <w:rPr>
          <w:rFonts w:cs="Arial"/>
          <w:i w:val="0"/>
          <w:noProof w:val="0"/>
          <w:sz w:val="22"/>
          <w:szCs w:val="24"/>
        </w:rPr>
        <w:t xml:space="preserve"> 201</w:t>
      </w:r>
      <w:r w:rsidR="006C1AE9">
        <w:rPr>
          <w:rFonts w:cs="Arial"/>
          <w:i w:val="0"/>
          <w:noProof w:val="0"/>
          <w:sz w:val="22"/>
          <w:szCs w:val="24"/>
        </w:rPr>
        <w:t>8</w:t>
      </w:r>
    </w:p>
    <w:p w14:paraId="2F2D8718" w14:textId="0DCE1D08" w:rsidR="00CE5F5F" w:rsidRDefault="005F1392" w:rsidP="00BC335A">
      <w:pPr>
        <w:pStyle w:val="Footer"/>
        <w:jc w:val="both"/>
        <w:rPr>
          <w:rFonts w:cs="Arial"/>
          <w:i w:val="0"/>
          <w:noProof w:val="0"/>
          <w:sz w:val="22"/>
          <w:szCs w:val="24"/>
        </w:rPr>
      </w:pPr>
      <w:r>
        <w:rPr>
          <w:rFonts w:cs="Arial"/>
          <w:i w:val="0"/>
          <w:noProof w:val="0"/>
          <w:sz w:val="22"/>
          <w:szCs w:val="24"/>
        </w:rPr>
        <w:t>Athens</w:t>
      </w:r>
      <w:r w:rsidR="00BC335A" w:rsidRPr="00BC335A">
        <w:rPr>
          <w:rFonts w:cs="Arial"/>
          <w:i w:val="0"/>
          <w:noProof w:val="0"/>
          <w:sz w:val="22"/>
          <w:szCs w:val="24"/>
        </w:rPr>
        <w:t xml:space="preserve">, </w:t>
      </w:r>
      <w:r>
        <w:rPr>
          <w:rFonts w:cs="Arial"/>
          <w:i w:val="0"/>
          <w:noProof w:val="0"/>
          <w:sz w:val="22"/>
          <w:szCs w:val="24"/>
        </w:rPr>
        <w:t>Greece</w:t>
      </w:r>
    </w:p>
    <w:p w14:paraId="3A0CB384" w14:textId="77777777" w:rsidR="00BC335A" w:rsidRPr="008E769D" w:rsidRDefault="00BC335A" w:rsidP="00BC335A">
      <w:pPr>
        <w:pStyle w:val="Footer"/>
        <w:jc w:val="both"/>
        <w:rPr>
          <w:noProof w:val="0"/>
          <w:sz w:val="16"/>
        </w:rPr>
      </w:pPr>
      <w:bookmarkStart w:id="0" w:name="_Hlk495298459"/>
    </w:p>
    <w:p w14:paraId="00A480DC" w14:textId="17D1E198"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302047">
        <w:rPr>
          <w:rFonts w:ascii="Arial" w:hAnsi="Arial"/>
          <w:sz w:val="22"/>
        </w:rPr>
        <w:t>1.</w:t>
      </w:r>
      <w:r w:rsidR="00BC335A" w:rsidRPr="00BC335A">
        <w:rPr>
          <w:rFonts w:ascii="Arial" w:hAnsi="Arial"/>
          <w:sz w:val="22"/>
        </w:rPr>
        <w:t>3.3.</w:t>
      </w:r>
      <w:r w:rsidR="00CB58AE">
        <w:rPr>
          <w:rFonts w:ascii="Arial" w:hAnsi="Arial"/>
          <w:sz w:val="22"/>
        </w:rPr>
        <w:t>1</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61B2BF76"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643736">
        <w:rPr>
          <w:rFonts w:ascii="Arial" w:hAnsi="Arial"/>
          <w:sz w:val="22"/>
        </w:rPr>
        <w:t xml:space="preserve">Remaining Issues on </w:t>
      </w:r>
      <w:r w:rsidR="00252AEF">
        <w:rPr>
          <w:rFonts w:ascii="Arial" w:hAnsi="Arial"/>
          <w:sz w:val="22"/>
        </w:rPr>
        <w:t>D</w:t>
      </w:r>
      <w:r w:rsidR="00CB58AE">
        <w:rPr>
          <w:rFonts w:ascii="Arial" w:hAnsi="Arial"/>
          <w:sz w:val="22"/>
        </w:rPr>
        <w:t>L/</w:t>
      </w:r>
      <w:r w:rsidR="00252AEF">
        <w:rPr>
          <w:rFonts w:ascii="Arial" w:hAnsi="Arial"/>
          <w:sz w:val="22"/>
        </w:rPr>
        <w:t>U</w:t>
      </w:r>
      <w:r w:rsidR="00CB58AE">
        <w:rPr>
          <w:rFonts w:ascii="Arial" w:hAnsi="Arial"/>
          <w:sz w:val="22"/>
        </w:rPr>
        <w:t>L Resource Allocation</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31A1C66" w14:textId="1FB03479" w:rsidR="001F2982" w:rsidRDefault="00B524B6" w:rsidP="0088176C">
      <w:pPr>
        <w:pStyle w:val="Heading1"/>
        <w:rPr>
          <w:lang w:val="en-US"/>
        </w:rPr>
      </w:pPr>
      <w:r w:rsidRPr="008E769D">
        <w:rPr>
          <w:lang w:val="en-US"/>
        </w:rPr>
        <w:t>Introduction</w:t>
      </w:r>
    </w:p>
    <w:p w14:paraId="7CE13C69" w14:textId="77777777" w:rsidR="00D32F40" w:rsidRDefault="00D32F40" w:rsidP="00D32F40">
      <w:pPr>
        <w:rPr>
          <w:lang w:val="en-GB"/>
        </w:rPr>
      </w:pPr>
      <w:r>
        <w:rPr>
          <w:lang w:val="en-GB"/>
        </w:rPr>
        <w:t xml:space="preserve">This contribution discusses some remaining </w:t>
      </w:r>
      <w:bookmarkStart w:id="1" w:name="_GoBack"/>
      <w:bookmarkEnd w:id="1"/>
      <w:r>
        <w:rPr>
          <w:lang w:val="en-GB"/>
        </w:rPr>
        <w:t>issues for specification regarding the DL/UL resource allocation. In particular, these topics are discussed in the following sections.</w:t>
      </w:r>
    </w:p>
    <w:p w14:paraId="3258DAC6" w14:textId="0761CA2A" w:rsidR="0079675E" w:rsidRPr="0079675E" w:rsidRDefault="00D32F40" w:rsidP="0079675E">
      <w:pPr>
        <w:pStyle w:val="ListParagraph"/>
        <w:numPr>
          <w:ilvl w:val="0"/>
          <w:numId w:val="5"/>
        </w:numPr>
        <w:rPr>
          <w:lang w:val="en-GB"/>
        </w:rPr>
      </w:pPr>
      <w:r>
        <w:rPr>
          <w:lang w:val="en-GB"/>
        </w:rPr>
        <w:t xml:space="preserve">Time domain resource allocation </w:t>
      </w:r>
    </w:p>
    <w:p w14:paraId="629AB163" w14:textId="1B5B400C" w:rsidR="00D76B01" w:rsidRDefault="00D32F40" w:rsidP="00D76B01">
      <w:pPr>
        <w:pStyle w:val="ListParagraph"/>
        <w:numPr>
          <w:ilvl w:val="0"/>
          <w:numId w:val="5"/>
        </w:numPr>
        <w:rPr>
          <w:lang w:val="en-GB"/>
        </w:rPr>
      </w:pPr>
      <w:r>
        <w:rPr>
          <w:lang w:val="en-GB"/>
        </w:rPr>
        <w:t>Frequency domain resource allocation</w:t>
      </w:r>
    </w:p>
    <w:p w14:paraId="3A21A3FF" w14:textId="130E11EC" w:rsidR="00D32F40" w:rsidRDefault="00D32F40" w:rsidP="00D32F40">
      <w:pPr>
        <w:pStyle w:val="ListParagraph"/>
        <w:numPr>
          <w:ilvl w:val="0"/>
          <w:numId w:val="5"/>
        </w:numPr>
        <w:rPr>
          <w:lang w:val="en-GB"/>
        </w:rPr>
      </w:pPr>
      <w:r>
        <w:rPr>
          <w:lang w:val="en-GB"/>
        </w:rPr>
        <w:t>VRB-to-PRB mapping for frequency diversity</w:t>
      </w:r>
    </w:p>
    <w:p w14:paraId="1DD24734" w14:textId="77777777" w:rsidR="0079675E" w:rsidRPr="0079675E" w:rsidRDefault="0079675E" w:rsidP="0079675E">
      <w:pPr>
        <w:rPr>
          <w:lang w:val="en-GB"/>
        </w:rPr>
      </w:pPr>
    </w:p>
    <w:p w14:paraId="62CC69E9" w14:textId="547A40E7" w:rsidR="00643736" w:rsidRPr="00D0734F" w:rsidRDefault="00643736" w:rsidP="00D66E08">
      <w:pPr>
        <w:rPr>
          <w:color w:val="000000" w:themeColor="text1"/>
          <w:lang w:val="en-GB"/>
        </w:rPr>
      </w:pPr>
      <w:r w:rsidRPr="00D0734F">
        <w:rPr>
          <w:color w:val="000000" w:themeColor="text1"/>
          <w:lang w:val="en-GB"/>
        </w:rPr>
        <w:t>This is based on R1-1800875</w:t>
      </w:r>
      <w:r w:rsidR="00D0734F" w:rsidRPr="00D0734F">
        <w:rPr>
          <w:color w:val="000000" w:themeColor="text1"/>
          <w:lang w:val="en-GB"/>
        </w:rPr>
        <w:t xml:space="preserve"> which was submitted previously at RAN1 AH 1801. </w:t>
      </w:r>
    </w:p>
    <w:p w14:paraId="75A6040F" w14:textId="66149DB5" w:rsidR="00D32F40" w:rsidRDefault="00D32F40" w:rsidP="00D32F40">
      <w:pPr>
        <w:pStyle w:val="Heading1"/>
      </w:pPr>
      <w:r>
        <w:t>Time domain resource allocation</w:t>
      </w:r>
    </w:p>
    <w:p w14:paraId="3FF31DF1" w14:textId="15986BC3" w:rsidR="00EF37FE" w:rsidRPr="00EF37FE" w:rsidRDefault="00EF37FE" w:rsidP="00EF37FE">
      <w:pPr>
        <w:pStyle w:val="Heading2"/>
      </w:pPr>
      <w:r>
        <w:t>Supported SLIV values</w:t>
      </w:r>
    </w:p>
    <w:p w14:paraId="7CF69A06" w14:textId="77777777" w:rsidR="00D32F40" w:rsidRDefault="00D32F40" w:rsidP="00D32F40">
      <w:pPr>
        <w:rPr>
          <w:lang w:val="en-GB"/>
        </w:rPr>
      </w:pPr>
      <w:r>
        <w:rPr>
          <w:lang w:val="en-GB"/>
        </w:rPr>
        <w:t>In RAN1 #91 [1], the following was agreed below to be captured in specifications.</w:t>
      </w:r>
    </w:p>
    <w:p w14:paraId="1B7FCBA6" w14:textId="77777777" w:rsidR="00D32F40" w:rsidRPr="001D7BF6" w:rsidRDefault="00D32F40" w:rsidP="00D32F40">
      <w:pPr>
        <w:rPr>
          <w:b/>
          <w:u w:val="single"/>
        </w:rPr>
      </w:pPr>
      <w:r w:rsidRPr="001D7BF6">
        <w:rPr>
          <w:b/>
          <w:highlight w:val="green"/>
          <w:u w:val="single"/>
        </w:rPr>
        <w:t>Agreements:</w:t>
      </w:r>
    </w:p>
    <w:p w14:paraId="10B44F56" w14:textId="77777777" w:rsidR="00D32F40" w:rsidRPr="002F7DC3" w:rsidRDefault="00D32F40" w:rsidP="00D32F40">
      <w:pPr>
        <w:numPr>
          <w:ilvl w:val="0"/>
          <w:numId w:val="14"/>
        </w:numPr>
        <w:overflowPunct/>
        <w:autoSpaceDE/>
        <w:autoSpaceDN/>
        <w:adjustRightInd/>
        <w:spacing w:after="0"/>
        <w:textAlignment w:val="auto"/>
      </w:pPr>
      <w:r w:rsidRPr="002F7DC3">
        <w:t>One table for UL, one table for DL configured by RRC in Rel-15</w:t>
      </w:r>
    </w:p>
    <w:p w14:paraId="70545A46" w14:textId="77777777" w:rsidR="00D32F40" w:rsidRPr="002F7DC3" w:rsidRDefault="00D32F40" w:rsidP="00D32F40">
      <w:pPr>
        <w:numPr>
          <w:ilvl w:val="1"/>
          <w:numId w:val="14"/>
        </w:numPr>
        <w:overflowPunct/>
        <w:autoSpaceDE/>
        <w:autoSpaceDN/>
        <w:adjustRightInd/>
        <w:spacing w:after="0"/>
        <w:textAlignment w:val="auto"/>
      </w:pPr>
      <w:r w:rsidRPr="002F7DC3">
        <w:t>Each table is up to 16 rows</w:t>
      </w:r>
    </w:p>
    <w:p w14:paraId="6F182CEF" w14:textId="77777777" w:rsidR="00D32F40" w:rsidRPr="002F7DC3" w:rsidRDefault="00D32F40" w:rsidP="00D32F40">
      <w:pPr>
        <w:numPr>
          <w:ilvl w:val="0"/>
          <w:numId w:val="14"/>
        </w:numPr>
        <w:overflowPunct/>
        <w:autoSpaceDE/>
        <w:autoSpaceDN/>
        <w:adjustRightInd/>
        <w:spacing w:after="0"/>
        <w:textAlignment w:val="auto"/>
      </w:pPr>
      <w:r w:rsidRPr="002F7DC3">
        <w:t xml:space="preserve">In the table, each row is configured by RRC with </w:t>
      </w:r>
    </w:p>
    <w:p w14:paraId="0D80B042" w14:textId="77777777" w:rsidR="00D32F40" w:rsidRPr="002F7DC3" w:rsidRDefault="00D32F40" w:rsidP="00D32F40">
      <w:pPr>
        <w:numPr>
          <w:ilvl w:val="1"/>
          <w:numId w:val="14"/>
        </w:numPr>
        <w:overflowPunct/>
        <w:autoSpaceDE/>
        <w:autoSpaceDN/>
        <w:adjustRightInd/>
        <w:spacing w:after="0"/>
        <w:textAlignment w:val="auto"/>
      </w:pPr>
      <w:r w:rsidRPr="002F7DC3">
        <w:t>K0 using 2 bits (for DL table),  K2 using 3 bits (for UL table)</w:t>
      </w:r>
    </w:p>
    <w:p w14:paraId="1CF688F4" w14:textId="77777777" w:rsidR="00D32F40" w:rsidRPr="002F7DC3" w:rsidRDefault="00D32F40" w:rsidP="00D32F40">
      <w:pPr>
        <w:numPr>
          <w:ilvl w:val="1"/>
          <w:numId w:val="14"/>
        </w:numPr>
        <w:overflowPunct/>
        <w:autoSpaceDE/>
        <w:autoSpaceDN/>
        <w:adjustRightInd/>
        <w:spacing w:after="0"/>
        <w:textAlignment w:val="auto"/>
      </w:pPr>
      <w:r w:rsidRPr="002F7DC3">
        <w:t>an index (6-bit) into a table/equation in RAN1 specs capturing valid combinations of start symbol and length (jointly encoded)</w:t>
      </w:r>
    </w:p>
    <w:p w14:paraId="38F0BC3A" w14:textId="77777777" w:rsidR="00D32F40" w:rsidRPr="002F7DC3" w:rsidRDefault="00D32F40" w:rsidP="00D32F40">
      <w:pPr>
        <w:numPr>
          <w:ilvl w:val="1"/>
          <w:numId w:val="14"/>
        </w:numPr>
        <w:overflowPunct/>
        <w:autoSpaceDE/>
        <w:autoSpaceDN/>
        <w:adjustRightInd/>
        <w:spacing w:after="0"/>
        <w:textAlignment w:val="auto"/>
      </w:pPr>
      <w:r w:rsidRPr="002F7DC3">
        <w:t>PDSCH mapping type A or B</w:t>
      </w:r>
    </w:p>
    <w:p w14:paraId="0671D0C5" w14:textId="77777777" w:rsidR="00D32F40" w:rsidRPr="002F7DC3" w:rsidRDefault="00D32F40" w:rsidP="00D32F40">
      <w:pPr>
        <w:numPr>
          <w:ilvl w:val="0"/>
          <w:numId w:val="14"/>
        </w:numPr>
        <w:overflowPunct/>
        <w:autoSpaceDE/>
        <w:autoSpaceDN/>
        <w:adjustRightInd/>
        <w:spacing w:after="0"/>
        <w:textAlignment w:val="auto"/>
      </w:pPr>
      <w:r w:rsidRPr="002F7DC3">
        <w:t>The reference point for starting OFDM symbol:</w:t>
      </w:r>
    </w:p>
    <w:p w14:paraId="5762C4EC" w14:textId="77777777" w:rsidR="00D32F40" w:rsidRPr="002F7DC3" w:rsidRDefault="00D32F40" w:rsidP="00D32F40">
      <w:pPr>
        <w:numPr>
          <w:ilvl w:val="1"/>
          <w:numId w:val="14"/>
        </w:numPr>
        <w:overflowPunct/>
        <w:autoSpaceDE/>
        <w:autoSpaceDN/>
        <w:adjustRightInd/>
        <w:spacing w:after="0"/>
        <w:textAlignment w:val="auto"/>
      </w:pPr>
      <w:r w:rsidRPr="002F7DC3">
        <w:t>No RRC impact (e.g., slot boundary, start of CORESET where the PDCCH was found, or part of the table/equation in RAN1 specs. FFS details)</w:t>
      </w:r>
    </w:p>
    <w:p w14:paraId="032963C9" w14:textId="77777777" w:rsidR="00D32F40" w:rsidRPr="002F7DC3" w:rsidRDefault="00D32F40" w:rsidP="00D32F40">
      <w:pPr>
        <w:numPr>
          <w:ilvl w:val="0"/>
          <w:numId w:val="14"/>
        </w:numPr>
        <w:overflowPunct/>
        <w:autoSpaceDE/>
        <w:autoSpaceDN/>
        <w:adjustRightInd/>
        <w:spacing w:after="0"/>
        <w:textAlignment w:val="auto"/>
      </w:pPr>
      <w:r w:rsidRPr="002F7DC3">
        <w:t xml:space="preserve">Aggregation factor (1, 2, 4, 8 for DL or UL) is semi-statically configured separately (i.e. not part of table) </w:t>
      </w:r>
    </w:p>
    <w:p w14:paraId="65E5C586" w14:textId="77777777" w:rsidR="00D32F40" w:rsidRPr="002F7DC3" w:rsidRDefault="00D32F40" w:rsidP="00D32F40">
      <w:pPr>
        <w:numPr>
          <w:ilvl w:val="1"/>
          <w:numId w:val="14"/>
        </w:numPr>
        <w:overflowPunct/>
        <w:autoSpaceDE/>
        <w:autoSpaceDN/>
        <w:adjustRightInd/>
        <w:spacing w:after="0"/>
        <w:textAlignment w:val="auto"/>
      </w:pPr>
      <w:r w:rsidRPr="002F7DC3">
        <w:t>No additional RRC impact how to use the aggregation factor along with the tables</w:t>
      </w:r>
    </w:p>
    <w:p w14:paraId="3AD785AA" w14:textId="25C3DCDB" w:rsidR="00D32F40" w:rsidRDefault="00D32F40" w:rsidP="00D32F40">
      <w:pPr>
        <w:overflowPunct/>
        <w:autoSpaceDE/>
        <w:autoSpaceDN/>
        <w:adjustRightInd/>
        <w:spacing w:after="0"/>
        <w:textAlignment w:val="auto"/>
        <w:rPr>
          <w:rFonts w:eastAsia="Times New Roman"/>
        </w:rPr>
      </w:pPr>
    </w:p>
    <w:p w14:paraId="65FC899C" w14:textId="77777777" w:rsidR="00EF37FE" w:rsidRDefault="00EF37FE" w:rsidP="00D32F40">
      <w:pPr>
        <w:overflowPunct/>
        <w:autoSpaceDE/>
        <w:autoSpaceDN/>
        <w:adjustRightInd/>
        <w:spacing w:after="0"/>
        <w:textAlignment w:val="auto"/>
        <w:rPr>
          <w:rFonts w:eastAsia="Times New Roman"/>
        </w:rPr>
      </w:pPr>
    </w:p>
    <w:p w14:paraId="0DA0E221" w14:textId="5EF41A92" w:rsidR="00EF37FE" w:rsidRDefault="00EF37FE" w:rsidP="00D32F40">
      <w:pPr>
        <w:overflowPunct/>
        <w:autoSpaceDE/>
        <w:autoSpaceDN/>
        <w:adjustRightInd/>
        <w:spacing w:after="0"/>
        <w:textAlignment w:val="auto"/>
        <w:rPr>
          <w:rFonts w:eastAsia="Times New Roman"/>
        </w:rPr>
      </w:pPr>
      <w:r>
        <w:rPr>
          <w:rFonts w:eastAsia="Times New Roman"/>
        </w:rPr>
        <w:t>Further progress was made in RAN1 AH 1801, where the supported set of SLIV was reduced based on the following agreements.</w:t>
      </w:r>
    </w:p>
    <w:p w14:paraId="55AC4574" w14:textId="77777777" w:rsidR="00EF37FE" w:rsidRDefault="00EF37FE" w:rsidP="00D32F40">
      <w:pPr>
        <w:overflowPunct/>
        <w:autoSpaceDE/>
        <w:autoSpaceDN/>
        <w:adjustRightInd/>
        <w:spacing w:after="0"/>
        <w:textAlignment w:val="auto"/>
        <w:rPr>
          <w:rFonts w:eastAsia="Times New Roman"/>
        </w:rPr>
      </w:pPr>
    </w:p>
    <w:p w14:paraId="203AC842" w14:textId="77777777" w:rsidR="00EF37FE" w:rsidRPr="00C72286" w:rsidRDefault="00EF37FE" w:rsidP="00EF37FE">
      <w:pPr>
        <w:rPr>
          <w:lang w:eastAsia="x-none"/>
        </w:rPr>
      </w:pPr>
      <w:r w:rsidRPr="00C72286">
        <w:rPr>
          <w:highlight w:val="green"/>
          <w:lang w:eastAsia="x-none"/>
        </w:rPr>
        <w:t>Agreements</w:t>
      </w:r>
      <w:r w:rsidRPr="00C72286">
        <w:rPr>
          <w:lang w:eastAsia="x-none"/>
        </w:rPr>
        <w:t>:</w:t>
      </w:r>
    </w:p>
    <w:p w14:paraId="0A214F57" w14:textId="77777777" w:rsidR="00EF37FE" w:rsidRPr="00C72286" w:rsidRDefault="00EF37FE" w:rsidP="00EF37FE">
      <w:pPr>
        <w:rPr>
          <w:lang w:eastAsia="x-none"/>
        </w:rPr>
      </w:pPr>
      <w:r w:rsidRPr="00C72286">
        <w:rPr>
          <w:lang w:eastAsia="x-none"/>
        </w:rPr>
        <w:t>For PDSCH:</w:t>
      </w:r>
    </w:p>
    <w:p w14:paraId="3AED7B65" w14:textId="77777777" w:rsidR="00EF37FE" w:rsidRPr="00C72286" w:rsidRDefault="00EF37FE" w:rsidP="00EF37FE">
      <w:pPr>
        <w:pStyle w:val="ListParagraph"/>
        <w:numPr>
          <w:ilvl w:val="0"/>
          <w:numId w:val="23"/>
        </w:numPr>
        <w:rPr>
          <w:rFonts w:ascii="Times New Roman" w:eastAsia="SimSun" w:hAnsi="Times New Roman"/>
          <w:szCs w:val="20"/>
        </w:rPr>
      </w:pPr>
      <w:r w:rsidRPr="00C72286">
        <w:rPr>
          <w:rFonts w:ascii="Times New Roman" w:eastAsia="SimSun" w:hAnsi="Times New Roman"/>
          <w:szCs w:val="20"/>
        </w:rPr>
        <w:t>Supported combinations for PDSCH mapping type A:</w:t>
      </w:r>
    </w:p>
    <w:p w14:paraId="43A3B3C6" w14:textId="77777777" w:rsidR="00EF37FE" w:rsidRPr="00C72286" w:rsidRDefault="00EF37FE" w:rsidP="00EF37FE">
      <w:pPr>
        <w:pStyle w:val="ListParagraph"/>
        <w:numPr>
          <w:ilvl w:val="1"/>
          <w:numId w:val="23"/>
        </w:numPr>
        <w:rPr>
          <w:rFonts w:ascii="Times New Roman" w:hAnsi="Times New Roman"/>
          <w:szCs w:val="20"/>
        </w:rPr>
      </w:pPr>
      <w:r w:rsidRPr="00C72286">
        <w:rPr>
          <w:rFonts w:ascii="Times New Roman" w:hAnsi="Times New Roman"/>
          <w:szCs w:val="20"/>
        </w:rPr>
        <w:t>Starting symbol can be symbol index #0, 1, 2, 3 in a slot.</w:t>
      </w:r>
    </w:p>
    <w:p w14:paraId="7A3483D9" w14:textId="77777777" w:rsidR="00EF37FE" w:rsidRPr="00C72286" w:rsidRDefault="00EF37FE" w:rsidP="00EF37FE">
      <w:pPr>
        <w:pStyle w:val="ListParagraph"/>
        <w:numPr>
          <w:ilvl w:val="1"/>
          <w:numId w:val="23"/>
        </w:numPr>
        <w:rPr>
          <w:rFonts w:ascii="Times New Roman" w:hAnsi="Times New Roman"/>
          <w:szCs w:val="20"/>
        </w:rPr>
      </w:pPr>
      <w:r w:rsidRPr="00C72286">
        <w:rPr>
          <w:rFonts w:ascii="Times New Roman" w:hAnsi="Times New Roman"/>
          <w:szCs w:val="20"/>
        </w:rPr>
        <w:lastRenderedPageBreak/>
        <w:t xml:space="preserve">Length of the PDSCH is at least X symbols, up to 14 symbols within a slot, such that slot boundary is not crossed </w:t>
      </w:r>
    </w:p>
    <w:p w14:paraId="4BB322A1" w14:textId="77777777" w:rsidR="00EF37FE" w:rsidRPr="00F879E7" w:rsidRDefault="00EF37FE" w:rsidP="00EF37FE">
      <w:pPr>
        <w:pStyle w:val="ListParagraph"/>
        <w:numPr>
          <w:ilvl w:val="2"/>
          <w:numId w:val="23"/>
        </w:numPr>
        <w:rPr>
          <w:rFonts w:ascii="Times New Roman" w:hAnsi="Times New Roman"/>
          <w:szCs w:val="20"/>
        </w:rPr>
      </w:pPr>
      <w:r w:rsidRPr="00F879E7">
        <w:rPr>
          <w:rFonts w:ascii="Times New Roman" w:hAnsi="Times New Roman"/>
          <w:szCs w:val="20"/>
        </w:rPr>
        <w:t>FFS the value of X</w:t>
      </w:r>
    </w:p>
    <w:p w14:paraId="32444BA3" w14:textId="77777777" w:rsidR="00EF37FE" w:rsidRPr="00C72286" w:rsidRDefault="00EF37FE" w:rsidP="00EF37FE">
      <w:pPr>
        <w:pStyle w:val="ListParagraph"/>
        <w:numPr>
          <w:ilvl w:val="0"/>
          <w:numId w:val="23"/>
        </w:numPr>
        <w:rPr>
          <w:rFonts w:ascii="Times New Roman" w:eastAsia="SimSun" w:hAnsi="Times New Roman"/>
          <w:szCs w:val="20"/>
        </w:rPr>
      </w:pPr>
      <w:r w:rsidRPr="00C72286">
        <w:rPr>
          <w:rFonts w:ascii="Times New Roman" w:eastAsia="SimSun" w:hAnsi="Times New Roman"/>
          <w:szCs w:val="20"/>
        </w:rPr>
        <w:t>Supported combinations for PDSCH mapping type B:</w:t>
      </w:r>
    </w:p>
    <w:p w14:paraId="01167B32" w14:textId="77777777" w:rsidR="00EF37FE" w:rsidRPr="00C72286" w:rsidRDefault="00EF37FE" w:rsidP="00EF37FE">
      <w:pPr>
        <w:pStyle w:val="ListParagraph"/>
        <w:numPr>
          <w:ilvl w:val="1"/>
          <w:numId w:val="23"/>
        </w:numPr>
        <w:rPr>
          <w:rFonts w:ascii="Times New Roman" w:hAnsi="Times New Roman"/>
          <w:szCs w:val="20"/>
        </w:rPr>
      </w:pPr>
      <w:r w:rsidRPr="00C72286">
        <w:rPr>
          <w:rFonts w:ascii="Times New Roman" w:hAnsi="Times New Roman"/>
          <w:szCs w:val="20"/>
        </w:rPr>
        <w:t>Length of the PDSCH can be 2, 4, or 7 symbols.</w:t>
      </w:r>
    </w:p>
    <w:p w14:paraId="5680CB82" w14:textId="77777777" w:rsidR="00EF37FE" w:rsidRPr="00C72286" w:rsidRDefault="00EF37FE" w:rsidP="00EF37FE">
      <w:pPr>
        <w:pStyle w:val="ListParagraph"/>
        <w:numPr>
          <w:ilvl w:val="1"/>
          <w:numId w:val="23"/>
        </w:numPr>
        <w:rPr>
          <w:rFonts w:ascii="Times New Roman" w:hAnsi="Times New Roman"/>
          <w:szCs w:val="20"/>
        </w:rPr>
      </w:pPr>
      <w:r w:rsidRPr="00C72286">
        <w:rPr>
          <w:rFonts w:ascii="Times New Roman" w:hAnsi="Times New Roman"/>
          <w:szCs w:val="20"/>
        </w:rPr>
        <w:t>Starting symbol can be any position within a slot, such that slot boundary is not crossed.</w:t>
      </w:r>
    </w:p>
    <w:p w14:paraId="260C29B9" w14:textId="77777777" w:rsidR="00EF37FE" w:rsidRDefault="00EF37FE" w:rsidP="00EF37FE">
      <w:pPr>
        <w:rPr>
          <w:lang w:eastAsia="x-none"/>
        </w:rPr>
      </w:pPr>
    </w:p>
    <w:p w14:paraId="3BA967F0" w14:textId="77777777" w:rsidR="00EF37FE" w:rsidRPr="00410CB1" w:rsidRDefault="00EF37FE" w:rsidP="00EF37FE">
      <w:pPr>
        <w:rPr>
          <w:lang w:eastAsia="x-none"/>
        </w:rPr>
      </w:pPr>
      <w:r w:rsidRPr="00410CB1">
        <w:rPr>
          <w:highlight w:val="green"/>
          <w:lang w:eastAsia="x-none"/>
        </w:rPr>
        <w:t>Agreements</w:t>
      </w:r>
      <w:r w:rsidRPr="00410CB1">
        <w:rPr>
          <w:lang w:eastAsia="x-none"/>
        </w:rPr>
        <w:t>:</w:t>
      </w:r>
    </w:p>
    <w:p w14:paraId="6D0531D5" w14:textId="77777777" w:rsidR="00EF37FE" w:rsidRPr="00410CB1" w:rsidRDefault="00EF37FE" w:rsidP="00EF37FE">
      <w:pPr>
        <w:rPr>
          <w:lang w:eastAsia="x-none"/>
        </w:rPr>
      </w:pPr>
      <w:r w:rsidRPr="00410CB1">
        <w:rPr>
          <w:lang w:eastAsia="x-none"/>
        </w:rPr>
        <w:t>For PUSCH</w:t>
      </w:r>
    </w:p>
    <w:p w14:paraId="7B55BBCD" w14:textId="77777777" w:rsidR="00EF37FE" w:rsidRPr="00F879E7" w:rsidRDefault="00EF37FE" w:rsidP="00EF37FE">
      <w:pPr>
        <w:pStyle w:val="ListParagraph"/>
        <w:numPr>
          <w:ilvl w:val="0"/>
          <w:numId w:val="24"/>
        </w:numPr>
        <w:rPr>
          <w:rFonts w:ascii="Times New Roman" w:eastAsia="SimSun" w:hAnsi="Times New Roman"/>
          <w:szCs w:val="20"/>
        </w:rPr>
      </w:pPr>
      <w:r w:rsidRPr="00410CB1">
        <w:rPr>
          <w:rFonts w:ascii="Times New Roman" w:eastAsia="SimSun" w:hAnsi="Times New Roman"/>
          <w:szCs w:val="20"/>
        </w:rPr>
        <w:t>PUS</w:t>
      </w:r>
      <w:r w:rsidRPr="00F879E7">
        <w:rPr>
          <w:rFonts w:ascii="Times New Roman" w:eastAsia="SimSun" w:hAnsi="Times New Roman"/>
          <w:szCs w:val="20"/>
        </w:rPr>
        <w:t>CH mapping type A:</w:t>
      </w:r>
    </w:p>
    <w:p w14:paraId="23129864" w14:textId="77777777" w:rsidR="00EF37FE" w:rsidRPr="00F879E7" w:rsidRDefault="00EF37FE" w:rsidP="00EF37FE">
      <w:pPr>
        <w:pStyle w:val="ListParagraph"/>
        <w:numPr>
          <w:ilvl w:val="1"/>
          <w:numId w:val="24"/>
        </w:numPr>
        <w:rPr>
          <w:rFonts w:ascii="Times New Roman" w:eastAsia="SimSun" w:hAnsi="Times New Roman"/>
          <w:szCs w:val="20"/>
        </w:rPr>
      </w:pPr>
      <w:r w:rsidRPr="00F879E7">
        <w:rPr>
          <w:rFonts w:ascii="Times New Roman" w:hAnsi="Times New Roman"/>
          <w:szCs w:val="20"/>
        </w:rPr>
        <w:t xml:space="preserve">Starting symbol is symbol index </w:t>
      </w:r>
      <w:r w:rsidRPr="00F879E7">
        <w:rPr>
          <w:rFonts w:ascii="Times New Roman" w:eastAsia="SimSun" w:hAnsi="Times New Roman"/>
          <w:szCs w:val="20"/>
        </w:rPr>
        <w:t xml:space="preserve">#0 </w:t>
      </w:r>
      <w:r w:rsidRPr="00F879E7">
        <w:rPr>
          <w:rFonts w:ascii="Times New Roman" w:hAnsi="Times New Roman"/>
          <w:szCs w:val="20"/>
        </w:rPr>
        <w:t>in a slot.</w:t>
      </w:r>
    </w:p>
    <w:p w14:paraId="1B6D03FB" w14:textId="77777777" w:rsidR="00EF37FE" w:rsidRPr="00F879E7" w:rsidRDefault="00EF37FE" w:rsidP="00EF37FE">
      <w:pPr>
        <w:pStyle w:val="ListParagraph"/>
        <w:numPr>
          <w:ilvl w:val="1"/>
          <w:numId w:val="24"/>
        </w:numPr>
        <w:rPr>
          <w:rFonts w:ascii="Times New Roman" w:hAnsi="Times New Roman"/>
          <w:szCs w:val="20"/>
        </w:rPr>
      </w:pPr>
      <w:r w:rsidRPr="00F879E7">
        <w:rPr>
          <w:rFonts w:ascii="Times New Roman" w:hAnsi="Times New Roman"/>
          <w:szCs w:val="20"/>
        </w:rPr>
        <w:t>Length of the PUSCH is at least Y symbols, up to 14 symbols</w:t>
      </w:r>
    </w:p>
    <w:p w14:paraId="403E6AE2" w14:textId="77777777" w:rsidR="00EF37FE" w:rsidRPr="00F879E7" w:rsidRDefault="00EF37FE" w:rsidP="00EF37FE">
      <w:pPr>
        <w:pStyle w:val="ListParagraph"/>
        <w:numPr>
          <w:ilvl w:val="2"/>
          <w:numId w:val="24"/>
        </w:numPr>
        <w:rPr>
          <w:rFonts w:ascii="Times New Roman" w:hAnsi="Times New Roman"/>
          <w:szCs w:val="20"/>
        </w:rPr>
      </w:pPr>
      <w:r w:rsidRPr="00F879E7">
        <w:rPr>
          <w:rFonts w:ascii="Times New Roman" w:hAnsi="Times New Roman"/>
          <w:szCs w:val="20"/>
        </w:rPr>
        <w:t>FFS the value of Y</w:t>
      </w:r>
    </w:p>
    <w:p w14:paraId="35972A82" w14:textId="77777777" w:rsidR="00EF37FE" w:rsidRPr="00F879E7" w:rsidRDefault="00EF37FE" w:rsidP="00EF37FE">
      <w:pPr>
        <w:pStyle w:val="ListParagraph"/>
        <w:numPr>
          <w:ilvl w:val="0"/>
          <w:numId w:val="24"/>
        </w:numPr>
        <w:rPr>
          <w:rFonts w:ascii="Times New Roman" w:eastAsia="SimSun" w:hAnsi="Times New Roman"/>
          <w:szCs w:val="20"/>
        </w:rPr>
      </w:pPr>
      <w:r w:rsidRPr="00F879E7">
        <w:rPr>
          <w:rFonts w:ascii="Times New Roman" w:eastAsia="SimSun" w:hAnsi="Times New Roman"/>
          <w:szCs w:val="20"/>
        </w:rPr>
        <w:t>PUSCH mapping type B (All 105 combinations)</w:t>
      </w:r>
    </w:p>
    <w:p w14:paraId="03467EDE" w14:textId="77777777" w:rsidR="00EF37FE" w:rsidRPr="00F879E7" w:rsidRDefault="00EF37FE" w:rsidP="00EF37FE">
      <w:pPr>
        <w:pStyle w:val="ListParagraph"/>
        <w:numPr>
          <w:ilvl w:val="1"/>
          <w:numId w:val="24"/>
        </w:numPr>
        <w:rPr>
          <w:rFonts w:ascii="Times New Roman" w:eastAsia="SimSun" w:hAnsi="Times New Roman"/>
          <w:szCs w:val="20"/>
        </w:rPr>
      </w:pPr>
      <w:r w:rsidRPr="00F879E7">
        <w:rPr>
          <w:rFonts w:ascii="Times New Roman" w:hAnsi="Times New Roman"/>
          <w:szCs w:val="20"/>
        </w:rPr>
        <w:t xml:space="preserve">Length of the PUSCH can be </w:t>
      </w:r>
      <w:r w:rsidRPr="00F879E7">
        <w:rPr>
          <w:rFonts w:ascii="Times New Roman" w:eastAsia="SimSun" w:hAnsi="Times New Roman"/>
          <w:szCs w:val="20"/>
        </w:rPr>
        <w:t>2 through 14 symbols, and with 1 symbol as a working assumption</w:t>
      </w:r>
    </w:p>
    <w:p w14:paraId="427DC29F" w14:textId="77777777" w:rsidR="00EF37FE" w:rsidRPr="00813C95" w:rsidRDefault="00EF37FE" w:rsidP="00EF37FE">
      <w:pPr>
        <w:rPr>
          <w:color w:val="FF0000"/>
        </w:rPr>
      </w:pPr>
      <w:r w:rsidRPr="00F879E7">
        <w:t>Starting symbol can be any position within a slot, such that slot boundary is no</w:t>
      </w:r>
      <w:r w:rsidRPr="00410CB1">
        <w:t>t crossed.</w:t>
      </w:r>
    </w:p>
    <w:p w14:paraId="085216E5" w14:textId="77777777" w:rsidR="00EF37FE" w:rsidRDefault="00EF37FE" w:rsidP="00D32F40">
      <w:pPr>
        <w:overflowPunct/>
        <w:autoSpaceDE/>
        <w:autoSpaceDN/>
        <w:adjustRightInd/>
        <w:spacing w:after="0"/>
        <w:textAlignment w:val="auto"/>
        <w:rPr>
          <w:rFonts w:eastAsia="Times New Roman"/>
        </w:rPr>
      </w:pPr>
    </w:p>
    <w:p w14:paraId="47BF0D59" w14:textId="03BDE19E" w:rsidR="001F7BB8" w:rsidRDefault="00EF37FE" w:rsidP="00D32F40">
      <w:pPr>
        <w:overflowPunct/>
        <w:autoSpaceDE/>
        <w:autoSpaceDN/>
        <w:adjustRightInd/>
        <w:spacing w:after="0"/>
        <w:textAlignment w:val="auto"/>
        <w:rPr>
          <w:rFonts w:eastAsia="Times New Roman"/>
        </w:rPr>
      </w:pPr>
      <w:r>
        <w:rPr>
          <w:rFonts w:eastAsia="Times New Roman"/>
        </w:rPr>
        <w:t xml:space="preserve">In this meeting, we propose to complete the specification with respect to the highlighted values above. </w:t>
      </w:r>
      <w:r w:rsidR="001F7BB8">
        <w:rPr>
          <w:rFonts w:eastAsia="Times New Roman"/>
        </w:rPr>
        <w:t xml:space="preserve">First, it is important to clarify that the length of the allocation for PDSCH type A does not necessarily dictate the ending symbol, since the start location may or may not overlap with the control region (see Figure 1). </w:t>
      </w:r>
    </w:p>
    <w:p w14:paraId="2A5058F3" w14:textId="2A74CA3E" w:rsidR="00EF37FE" w:rsidRDefault="00EF37FE" w:rsidP="00D32F40">
      <w:pPr>
        <w:overflowPunct/>
        <w:autoSpaceDE/>
        <w:autoSpaceDN/>
        <w:adjustRightInd/>
        <w:spacing w:after="0"/>
        <w:textAlignment w:val="auto"/>
        <w:rPr>
          <w:rFonts w:eastAsia="Times New Roman"/>
        </w:rPr>
      </w:pPr>
    </w:p>
    <w:p w14:paraId="15D8118C" w14:textId="76873E7F" w:rsidR="00153334" w:rsidRDefault="001F7BB8" w:rsidP="00C74D13">
      <w:pPr>
        <w:keepNext/>
        <w:overflowPunct/>
        <w:autoSpaceDE/>
        <w:autoSpaceDN/>
        <w:adjustRightInd/>
        <w:spacing w:after="0"/>
        <w:jc w:val="center"/>
        <w:textAlignment w:val="auto"/>
      </w:pPr>
      <w:r>
        <w:rPr>
          <w:rFonts w:eastAsia="Times New Roman"/>
        </w:rPr>
        <w:object w:dxaOrig="11061" w:dyaOrig="3302" w14:anchorId="038F3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2pt;height:150.65pt" o:ole="">
            <v:imagedata r:id="rId12" o:title=""/>
          </v:shape>
          <o:OLEObject Type="Embed" ProgID="Visio.Drawing.11" ShapeID="_x0000_i1025" DrawAspect="Content" ObjectID="_1580320069" r:id="rId13"/>
        </w:object>
      </w:r>
    </w:p>
    <w:p w14:paraId="5D7F805E" w14:textId="23D5933A" w:rsidR="00EF37FE" w:rsidRDefault="00153334" w:rsidP="00C74D13">
      <w:pPr>
        <w:pStyle w:val="Caption"/>
        <w:jc w:val="center"/>
        <w:rPr>
          <w:rFonts w:eastAsia="Times New Roman"/>
        </w:rPr>
      </w:pPr>
      <w:r>
        <w:t xml:space="preserve">Figure </w:t>
      </w:r>
      <w:r w:rsidR="000223D4">
        <w:fldChar w:fldCharType="begin"/>
      </w:r>
      <w:r w:rsidR="000223D4">
        <w:instrText xml:space="preserve"> SEQ Figure \* ARABIC </w:instrText>
      </w:r>
      <w:r w:rsidR="000223D4">
        <w:fldChar w:fldCharType="separate"/>
      </w:r>
      <w:r>
        <w:rPr>
          <w:noProof/>
        </w:rPr>
        <w:t>1</w:t>
      </w:r>
      <w:r w:rsidR="000223D4">
        <w:rPr>
          <w:noProof/>
        </w:rPr>
        <w:fldChar w:fldCharType="end"/>
      </w:r>
      <w:r>
        <w:t>. Illustration of 4-symbol PDSCH allocations without and with control region reuse</w:t>
      </w:r>
    </w:p>
    <w:p w14:paraId="3883B37F" w14:textId="5A657623" w:rsidR="00EF37FE" w:rsidRDefault="00EF37FE" w:rsidP="00D32F40">
      <w:pPr>
        <w:overflowPunct/>
        <w:autoSpaceDE/>
        <w:autoSpaceDN/>
        <w:adjustRightInd/>
        <w:spacing w:after="0"/>
        <w:textAlignment w:val="auto"/>
        <w:rPr>
          <w:rFonts w:eastAsia="Times New Roman"/>
        </w:rPr>
      </w:pPr>
    </w:p>
    <w:p w14:paraId="4B6AFFC1" w14:textId="794B7C8E" w:rsidR="00C74D13" w:rsidRDefault="00C74D13" w:rsidP="00D32F40">
      <w:pPr>
        <w:overflowPunct/>
        <w:autoSpaceDE/>
        <w:autoSpaceDN/>
        <w:adjustRightInd/>
        <w:spacing w:after="0"/>
        <w:textAlignment w:val="auto"/>
        <w:rPr>
          <w:rFonts w:eastAsia="Times New Roman"/>
        </w:rPr>
      </w:pPr>
      <w:r>
        <w:rPr>
          <w:rFonts w:eastAsia="Times New Roman"/>
        </w:rPr>
        <w:t xml:space="preserve">In the last meeting, some companies proposed PDSCH Type A allocations which allow for comparable guard periods to LTE TDD special subframes, which would lead to values of X as low as 4 symbols (in the case of control region re-use). This may be desireable since PDSCH Type A is the baseline UE capability in Release 15. However, it is important that the UE processing times in such cases are relaxed, since the delay </w:t>
      </w:r>
      <w:r w:rsidR="004B01EA">
        <w:rPr>
          <w:rFonts w:eastAsia="Times New Roman"/>
        </w:rPr>
        <w:t>from</w:t>
      </w:r>
      <w:r>
        <w:rPr>
          <w:rFonts w:eastAsia="Times New Roman"/>
        </w:rPr>
        <w:t xml:space="preserve"> starting the processing </w:t>
      </w:r>
      <w:r w:rsidR="004B01EA">
        <w:rPr>
          <w:rFonts w:eastAsia="Times New Roman"/>
        </w:rPr>
        <w:t xml:space="preserve">after control decoding, </w:t>
      </w:r>
      <w:r>
        <w:rPr>
          <w:rFonts w:eastAsia="Times New Roman"/>
        </w:rPr>
        <w:t>relative to the overall processing time</w:t>
      </w:r>
      <w:r w:rsidR="004B01EA">
        <w:rPr>
          <w:rFonts w:eastAsia="Times New Roman"/>
        </w:rPr>
        <w:t>, may be substantial</w:t>
      </w:r>
      <w:r>
        <w:rPr>
          <w:rFonts w:eastAsia="Times New Roman"/>
        </w:rPr>
        <w:t xml:space="preserve"> particular</w:t>
      </w:r>
      <w:r w:rsidR="004B01EA">
        <w:rPr>
          <w:rFonts w:eastAsia="Times New Roman"/>
        </w:rPr>
        <w:t>ly</w:t>
      </w:r>
      <w:r>
        <w:rPr>
          <w:rFonts w:eastAsia="Times New Roman"/>
        </w:rPr>
        <w:t xml:space="preserve"> when the DMRS is front-loaded. </w:t>
      </w:r>
    </w:p>
    <w:p w14:paraId="5FF645B3" w14:textId="0E406ABC" w:rsidR="00B17B8D" w:rsidRDefault="00B17B8D" w:rsidP="00D32F40">
      <w:pPr>
        <w:overflowPunct/>
        <w:autoSpaceDE/>
        <w:autoSpaceDN/>
        <w:adjustRightInd/>
        <w:spacing w:after="0"/>
        <w:textAlignment w:val="auto"/>
        <w:rPr>
          <w:rFonts w:eastAsia="Times New Roman"/>
        </w:rPr>
      </w:pPr>
    </w:p>
    <w:p w14:paraId="584B6E0F" w14:textId="0048B4FC" w:rsidR="00B17B8D" w:rsidRDefault="00B17B8D" w:rsidP="00D32F40">
      <w:pPr>
        <w:overflowPunct/>
        <w:autoSpaceDE/>
        <w:autoSpaceDN/>
        <w:adjustRightInd/>
        <w:spacing w:after="0"/>
        <w:textAlignment w:val="auto"/>
        <w:rPr>
          <w:rFonts w:eastAsia="Times New Roman"/>
        </w:rPr>
      </w:pPr>
      <w:r>
        <w:rPr>
          <w:rFonts w:eastAsia="Times New Roman"/>
        </w:rPr>
        <w:t>We also note that the notion of “duration” for PDSCH in TS38.211 is under the assumption that PDSCH always starts on the 1</w:t>
      </w:r>
      <w:r w:rsidRPr="00B17B8D">
        <w:rPr>
          <w:rFonts w:eastAsia="Times New Roman"/>
          <w:vertAlign w:val="superscript"/>
        </w:rPr>
        <w:t>st</w:t>
      </w:r>
      <w:r>
        <w:rPr>
          <w:rFonts w:eastAsia="Times New Roman"/>
        </w:rPr>
        <w:t xml:space="preserve"> symbol, while the notion of duration for PDSCH in TS38.214 is based on the number of symbols after the start location. Therefore, we recommend that the PDSCH text in TS38.211 be corrected.</w:t>
      </w:r>
    </w:p>
    <w:p w14:paraId="090EC160" w14:textId="77777777" w:rsidR="00C74D13" w:rsidRDefault="00C74D13" w:rsidP="00D32F40">
      <w:pPr>
        <w:overflowPunct/>
        <w:autoSpaceDE/>
        <w:autoSpaceDN/>
        <w:adjustRightInd/>
        <w:spacing w:after="0"/>
        <w:textAlignment w:val="auto"/>
        <w:rPr>
          <w:rFonts w:eastAsia="Times New Roman"/>
        </w:rPr>
      </w:pPr>
    </w:p>
    <w:p w14:paraId="1481817C" w14:textId="77777777" w:rsidR="00B17B8D" w:rsidRDefault="00663A58" w:rsidP="00D32F40">
      <w:pPr>
        <w:overflowPunct/>
        <w:autoSpaceDE/>
        <w:autoSpaceDN/>
        <w:adjustRightInd/>
        <w:spacing w:after="0"/>
        <w:textAlignment w:val="auto"/>
        <w:rPr>
          <w:rFonts w:eastAsia="Times New Roman"/>
          <w:i/>
        </w:rPr>
      </w:pPr>
      <w:r w:rsidRPr="00663A58">
        <w:rPr>
          <w:rFonts w:eastAsia="Times New Roman"/>
          <w:b/>
          <w:u w:val="single"/>
        </w:rPr>
        <w:t>Proposal</w:t>
      </w:r>
      <w:r w:rsidR="004B01EA">
        <w:rPr>
          <w:rFonts w:eastAsia="Times New Roman"/>
          <w:b/>
          <w:u w:val="single"/>
        </w:rPr>
        <w:t xml:space="preserve"> 1</w:t>
      </w:r>
      <w:r w:rsidRPr="00663A58">
        <w:rPr>
          <w:rFonts w:eastAsia="Times New Roman"/>
          <w:b/>
          <w:u w:val="single"/>
        </w:rPr>
        <w:t>:</w:t>
      </w:r>
      <w:r>
        <w:rPr>
          <w:rFonts w:eastAsia="Times New Roman"/>
        </w:rPr>
        <w:t xml:space="preserve"> </w:t>
      </w:r>
      <w:r w:rsidR="00C74D13" w:rsidRPr="00663A58">
        <w:rPr>
          <w:rFonts w:eastAsia="Times New Roman"/>
          <w:i/>
        </w:rPr>
        <w:t xml:space="preserve">The minimum supported length for </w:t>
      </w:r>
      <w:r w:rsidR="00C74D13" w:rsidRPr="00663A58">
        <w:rPr>
          <w:i/>
        </w:rPr>
        <w:t xml:space="preserve">PDSCH mapping type A </w:t>
      </w:r>
      <w:r w:rsidRPr="00663A58">
        <w:rPr>
          <w:i/>
        </w:rPr>
        <w:t>is 4. If the ending symbol for the PDSCH allocation occurs on the m-th symbol where m &lt; 7, then the minimum UE processing time for N1</w:t>
      </w:r>
      <w:r w:rsidRPr="00663A58">
        <w:rPr>
          <w:rFonts w:eastAsia="Times New Roman"/>
          <w:i/>
        </w:rPr>
        <w:t xml:space="preserve"> should be increased by N1+(7-m).</w:t>
      </w:r>
    </w:p>
    <w:p w14:paraId="017206E4" w14:textId="5399E85C" w:rsidR="00EF37FE" w:rsidRPr="00B17B8D" w:rsidRDefault="00B17B8D" w:rsidP="00B17B8D">
      <w:pPr>
        <w:pStyle w:val="ListParagraph"/>
        <w:numPr>
          <w:ilvl w:val="0"/>
          <w:numId w:val="30"/>
        </w:numPr>
        <w:rPr>
          <w:rFonts w:ascii="Times New Roman" w:eastAsia="Times New Roman" w:hAnsi="Times New Roman"/>
          <w:sz w:val="20"/>
          <w:szCs w:val="20"/>
        </w:rPr>
      </w:pPr>
      <w:r w:rsidRPr="00B17B8D">
        <w:rPr>
          <w:rFonts w:ascii="Times New Roman" w:eastAsia="Times New Roman" w:hAnsi="Times New Roman"/>
          <w:i/>
          <w:sz w:val="20"/>
          <w:szCs w:val="20"/>
        </w:rPr>
        <w:t>The notion of PDSCH duration in TS38.211 subclause 7.4.1.1.2 (as well as in Table 7.4.1.1.2-3) should be corrected to be consistent with TS38.214 where the start location is not restricted to be the first OFDM symbol.</w:t>
      </w:r>
      <w:r w:rsidR="00C74D13" w:rsidRPr="00B17B8D">
        <w:rPr>
          <w:rFonts w:ascii="Times New Roman" w:eastAsia="Times New Roman" w:hAnsi="Times New Roman"/>
          <w:i/>
          <w:sz w:val="20"/>
          <w:szCs w:val="20"/>
        </w:rPr>
        <w:br/>
      </w:r>
    </w:p>
    <w:p w14:paraId="3B51AB9B" w14:textId="4F89CD06" w:rsidR="00663A58" w:rsidRDefault="00663A58" w:rsidP="00D32F40">
      <w:pPr>
        <w:overflowPunct/>
        <w:autoSpaceDE/>
        <w:autoSpaceDN/>
        <w:adjustRightInd/>
        <w:spacing w:after="0"/>
        <w:textAlignment w:val="auto"/>
        <w:rPr>
          <w:rFonts w:eastAsia="Times New Roman"/>
        </w:rPr>
      </w:pPr>
      <w:r>
        <w:rPr>
          <w:rFonts w:eastAsia="Times New Roman"/>
        </w:rPr>
        <w:lastRenderedPageBreak/>
        <w:t>For the uplink, there is less of concern with UE processing time. However, since the DMRS location remains fixed it is important that the PUSCH always span a region which includes the DMRS. Therefore, we have a similar proposal for the length of Y. Finally, the benefit of having 1-symbol PUSCH Type B is for resource efficiency in TDD systems where there is a short uplink burst. One may accommodate SRS TDMed with data, or PUCCH TDMed with data. So we confirm the working assumption below.</w:t>
      </w:r>
    </w:p>
    <w:p w14:paraId="3295CA00" w14:textId="77777777" w:rsidR="00663A58" w:rsidRDefault="00663A58" w:rsidP="00D32F40">
      <w:pPr>
        <w:overflowPunct/>
        <w:autoSpaceDE/>
        <w:autoSpaceDN/>
        <w:adjustRightInd/>
        <w:spacing w:after="0"/>
        <w:textAlignment w:val="auto"/>
        <w:rPr>
          <w:rFonts w:eastAsia="Times New Roman"/>
        </w:rPr>
      </w:pPr>
    </w:p>
    <w:p w14:paraId="635233A6" w14:textId="59BB0F98" w:rsidR="00663A58" w:rsidRDefault="00663A58" w:rsidP="00D32F40">
      <w:pPr>
        <w:overflowPunct/>
        <w:autoSpaceDE/>
        <w:autoSpaceDN/>
        <w:adjustRightInd/>
        <w:spacing w:after="0"/>
        <w:textAlignment w:val="auto"/>
        <w:rPr>
          <w:rFonts w:eastAsia="Times New Roman"/>
        </w:rPr>
      </w:pPr>
      <w:r w:rsidRPr="00663A58">
        <w:rPr>
          <w:rFonts w:eastAsia="Times New Roman"/>
          <w:b/>
          <w:u w:val="single"/>
        </w:rPr>
        <w:t>Proposal</w:t>
      </w:r>
      <w:r w:rsidR="004B01EA">
        <w:rPr>
          <w:rFonts w:eastAsia="Times New Roman"/>
          <w:b/>
          <w:u w:val="single"/>
        </w:rPr>
        <w:t xml:space="preserve"> 2</w:t>
      </w:r>
      <w:r w:rsidRPr="00663A58">
        <w:rPr>
          <w:rFonts w:eastAsia="Times New Roman"/>
          <w:b/>
          <w:u w:val="single"/>
        </w:rPr>
        <w:t>:</w:t>
      </w:r>
      <w:r>
        <w:rPr>
          <w:rFonts w:eastAsia="Times New Roman"/>
        </w:rPr>
        <w:t xml:space="preserve"> </w:t>
      </w:r>
      <w:r w:rsidRPr="00663A58">
        <w:rPr>
          <w:rFonts w:eastAsia="Times New Roman"/>
          <w:i/>
        </w:rPr>
        <w:t xml:space="preserve">The minimum supported length for </w:t>
      </w:r>
      <w:r w:rsidRPr="00663A58">
        <w:rPr>
          <w:i/>
        </w:rPr>
        <w:t>P</w:t>
      </w:r>
      <w:r w:rsidR="004B01EA">
        <w:rPr>
          <w:i/>
        </w:rPr>
        <w:t>U</w:t>
      </w:r>
      <w:r w:rsidRPr="00663A58">
        <w:rPr>
          <w:i/>
        </w:rPr>
        <w:t xml:space="preserve">SCH mapping type </w:t>
      </w:r>
      <w:r>
        <w:rPr>
          <w:i/>
        </w:rPr>
        <w:t>B</w:t>
      </w:r>
      <w:r w:rsidRPr="00663A58">
        <w:rPr>
          <w:i/>
        </w:rPr>
        <w:t xml:space="preserve"> is 4.</w:t>
      </w:r>
      <w:r w:rsidRPr="00663A58">
        <w:rPr>
          <w:rFonts w:eastAsia="Times New Roman"/>
          <w:i/>
        </w:rPr>
        <w:t xml:space="preserve"> The minimum supported length for </w:t>
      </w:r>
      <w:r>
        <w:rPr>
          <w:i/>
        </w:rPr>
        <w:t>PU</w:t>
      </w:r>
      <w:r w:rsidRPr="00663A58">
        <w:rPr>
          <w:i/>
        </w:rPr>
        <w:t xml:space="preserve">SCH mapping type </w:t>
      </w:r>
      <w:r>
        <w:rPr>
          <w:i/>
        </w:rPr>
        <w:t>B</w:t>
      </w:r>
      <w:r w:rsidRPr="00663A58">
        <w:rPr>
          <w:i/>
        </w:rPr>
        <w:t xml:space="preserve"> is </w:t>
      </w:r>
      <w:r>
        <w:rPr>
          <w:i/>
        </w:rPr>
        <w:t>1</w:t>
      </w:r>
      <w:r w:rsidRPr="00663A58">
        <w:rPr>
          <w:i/>
        </w:rPr>
        <w:t>.</w:t>
      </w:r>
    </w:p>
    <w:p w14:paraId="50C4BBA0" w14:textId="0B88A705" w:rsidR="00CC266E" w:rsidRDefault="00CC266E" w:rsidP="009770BB"/>
    <w:p w14:paraId="1A35C5C1" w14:textId="1B1E6B33" w:rsidR="00CC266E" w:rsidRDefault="00CC266E" w:rsidP="009770BB">
      <w:r w:rsidRPr="009770BB">
        <w:t>In</w:t>
      </w:r>
      <w:r>
        <w:t xml:space="preserve"> RAN1 #91, there was an additional agreement on UE behavior which should be reflected in this </w:t>
      </w:r>
      <w:r w:rsidR="004951B0">
        <w:t>subclause</w:t>
      </w:r>
      <w:r>
        <w:t xml:space="preserve"> of the specification.</w:t>
      </w:r>
    </w:p>
    <w:p w14:paraId="3F5CD14C" w14:textId="47EDE21B" w:rsidR="004951B0" w:rsidRPr="009770BB" w:rsidRDefault="004951B0" w:rsidP="004951B0">
      <w:pPr>
        <w:rPr>
          <w:b/>
          <w:u w:val="single"/>
          <w:lang w:eastAsia="x-none"/>
        </w:rPr>
      </w:pPr>
      <w:r w:rsidRPr="009770BB">
        <w:rPr>
          <w:b/>
          <w:highlight w:val="green"/>
          <w:u w:val="single"/>
          <w:lang w:eastAsia="x-none"/>
        </w:rPr>
        <w:t>Agreement</w:t>
      </w:r>
      <w:r w:rsidR="009E1CF0">
        <w:rPr>
          <w:b/>
          <w:highlight w:val="green"/>
          <w:u w:val="single"/>
          <w:lang w:eastAsia="x-none"/>
        </w:rPr>
        <w:t>s:</w:t>
      </w:r>
      <w:r w:rsidR="009E1CF0">
        <w:rPr>
          <w:b/>
          <w:u w:val="single"/>
          <w:lang w:eastAsia="x-none"/>
        </w:rPr>
        <w:t xml:space="preserve"> </w:t>
      </w:r>
    </w:p>
    <w:p w14:paraId="66D62115" w14:textId="77777777" w:rsidR="004951B0" w:rsidRPr="00374D2F" w:rsidRDefault="004951B0" w:rsidP="004951B0">
      <w:pPr>
        <w:numPr>
          <w:ilvl w:val="0"/>
          <w:numId w:val="18"/>
        </w:numPr>
        <w:overflowPunct/>
        <w:autoSpaceDE/>
        <w:autoSpaceDN/>
        <w:adjustRightInd/>
        <w:spacing w:after="0"/>
        <w:textAlignment w:val="auto"/>
        <w:rPr>
          <w:lang w:eastAsia="x-none"/>
        </w:rPr>
      </w:pPr>
      <w:bookmarkStart w:id="2" w:name="_Hlk503525615"/>
      <w:r w:rsidRPr="00374D2F">
        <w:rPr>
          <w:lang w:eastAsia="x-none"/>
        </w:rPr>
        <w:t>UE is not expected to receive PDSCH type A in the same slot if the PDCCH monitoring is after the first two or three symbols of a slot</w:t>
      </w:r>
    </w:p>
    <w:bookmarkEnd w:id="2"/>
    <w:p w14:paraId="3FBFFF9E" w14:textId="77777777" w:rsidR="004951B0" w:rsidRPr="00374D2F" w:rsidRDefault="004951B0" w:rsidP="004951B0">
      <w:pPr>
        <w:numPr>
          <w:ilvl w:val="1"/>
          <w:numId w:val="18"/>
        </w:numPr>
        <w:overflowPunct/>
        <w:autoSpaceDE/>
        <w:autoSpaceDN/>
        <w:adjustRightInd/>
        <w:spacing w:after="0"/>
        <w:textAlignment w:val="auto"/>
        <w:rPr>
          <w:lang w:eastAsia="x-none"/>
        </w:rPr>
      </w:pPr>
      <w:r w:rsidRPr="00374D2F">
        <w:rPr>
          <w:lang w:eastAsia="x-none"/>
        </w:rPr>
        <w:t>Note: PUSCH mapping is up to MIMO decision</w:t>
      </w:r>
    </w:p>
    <w:p w14:paraId="77F93900" w14:textId="35EA6660" w:rsidR="00CC266E" w:rsidRDefault="00CC266E" w:rsidP="009770BB">
      <w:pPr>
        <w:rPr>
          <w:rFonts w:eastAsia="Times New Roman"/>
        </w:rPr>
      </w:pPr>
    </w:p>
    <w:p w14:paraId="768B75F6" w14:textId="45D7C430" w:rsidR="00D0734F" w:rsidRDefault="009E1CF0" w:rsidP="009770BB">
      <w:pPr>
        <w:rPr>
          <w:rFonts w:eastAsia="Times New Roman"/>
        </w:rPr>
      </w:pPr>
      <w:r>
        <w:rPr>
          <w:rFonts w:eastAsia="Times New Roman"/>
        </w:rPr>
        <w:t>Therefore, we have the following proposal to capture this text in the specification.</w:t>
      </w:r>
    </w:p>
    <w:p w14:paraId="06B36866" w14:textId="71B4DF90" w:rsidR="00D32F40" w:rsidRPr="00CE528D" w:rsidRDefault="004B01EA" w:rsidP="00CE528D">
      <w:pPr>
        <w:rPr>
          <w:rFonts w:eastAsia="Times New Roman"/>
        </w:rPr>
      </w:pPr>
      <w:r>
        <w:rPr>
          <w:rFonts w:eastAsia="Times New Roman"/>
          <w:b/>
          <w:u w:val="single"/>
        </w:rPr>
        <w:t>Proposal 3</w:t>
      </w:r>
      <w:r w:rsidR="009E1CF0" w:rsidRPr="009770BB">
        <w:rPr>
          <w:rFonts w:eastAsia="Times New Roman"/>
          <w:b/>
          <w:u w:val="single"/>
        </w:rPr>
        <w:t>:</w:t>
      </w:r>
      <w:r w:rsidR="009E1CF0">
        <w:rPr>
          <w:rFonts w:eastAsia="Times New Roman"/>
        </w:rPr>
        <w:t xml:space="preserve"> </w:t>
      </w:r>
      <w:r w:rsidR="009E1CF0" w:rsidRPr="009770BB">
        <w:rPr>
          <w:rFonts w:eastAsia="Times New Roman"/>
          <w:i/>
        </w:rPr>
        <w:t xml:space="preserve">The TS38.214 </w:t>
      </w:r>
      <w:r>
        <w:rPr>
          <w:rFonts w:eastAsia="Times New Roman"/>
          <w:i/>
        </w:rPr>
        <w:t xml:space="preserve">(CR in version R1-1801294) </w:t>
      </w:r>
      <w:r w:rsidR="009E1CF0" w:rsidRPr="009770BB">
        <w:rPr>
          <w:rFonts w:eastAsia="Times New Roman"/>
          <w:i/>
        </w:rPr>
        <w:t>subclause 5.</w:t>
      </w:r>
      <w:r>
        <w:rPr>
          <w:rFonts w:eastAsia="Times New Roman"/>
          <w:i/>
        </w:rPr>
        <w:t>1</w:t>
      </w:r>
      <w:r w:rsidR="009E1CF0" w:rsidRPr="009770BB">
        <w:rPr>
          <w:rFonts w:eastAsia="Times New Roman"/>
          <w:i/>
        </w:rPr>
        <w:t>.</w:t>
      </w:r>
      <w:r>
        <w:rPr>
          <w:rFonts w:eastAsia="Times New Roman"/>
          <w:i/>
        </w:rPr>
        <w:t>2</w:t>
      </w:r>
      <w:r w:rsidR="009E1CF0" w:rsidRPr="009770BB">
        <w:rPr>
          <w:rFonts w:eastAsia="Times New Roman"/>
          <w:i/>
        </w:rPr>
        <w:t>.</w:t>
      </w:r>
      <w:r>
        <w:rPr>
          <w:rFonts w:eastAsia="Times New Roman"/>
          <w:i/>
        </w:rPr>
        <w:t>1</w:t>
      </w:r>
      <w:r w:rsidR="009E1CF0" w:rsidRPr="009770BB">
        <w:rPr>
          <w:rFonts w:eastAsia="Times New Roman"/>
          <w:i/>
        </w:rPr>
        <w:t xml:space="preserve"> should have the additional text related to UE behavior, “UE is not expected to receive PDSCH type A in the same slot if the PDCCH monitoring is after the first </w:t>
      </w:r>
      <m:oMath>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0</m:t>
            </m:r>
          </m:sub>
        </m:sSub>
      </m:oMath>
      <w:r>
        <w:rPr>
          <w:rFonts w:eastAsia="Times New Roman"/>
          <w:i/>
        </w:rPr>
        <w:t xml:space="preserve"> symbols of the slot, where the value of </w:t>
      </w:r>
      <m:oMath>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0</m:t>
            </m:r>
          </m:sub>
        </m:sSub>
      </m:oMath>
      <w:r>
        <w:rPr>
          <w:rFonts w:eastAsia="Times New Roman"/>
          <w:i/>
        </w:rPr>
        <w:t xml:space="preserve"> is set by the high-layer parameter </w:t>
      </w:r>
      <w:r>
        <w:rPr>
          <w:i/>
          <w:iCs/>
        </w:rPr>
        <w:t>DL-DMRS-typeA-pos</w:t>
      </w:r>
      <w:r w:rsidR="009E1CF0" w:rsidRPr="009770BB">
        <w:rPr>
          <w:rFonts w:eastAsia="Times New Roman"/>
          <w:i/>
        </w:rPr>
        <w:t>”</w:t>
      </w:r>
    </w:p>
    <w:p w14:paraId="3AB0BB23" w14:textId="4AAC5647" w:rsidR="00813C95" w:rsidRPr="00EF37FE" w:rsidRDefault="00EF37FE" w:rsidP="00EF37FE">
      <w:pPr>
        <w:pStyle w:val="Heading2"/>
      </w:pPr>
      <w:r w:rsidRPr="00EF37FE">
        <w:t>Default SLIV</w:t>
      </w:r>
      <w:r>
        <w:t xml:space="preserve"> values</w:t>
      </w:r>
    </w:p>
    <w:p w14:paraId="7FA3D493" w14:textId="6B5952DA" w:rsidR="00E12958" w:rsidRPr="00E12958" w:rsidRDefault="00E12958" w:rsidP="00461CFE">
      <w:pPr>
        <w:rPr>
          <w:lang w:eastAsia="x-none"/>
        </w:rPr>
      </w:pPr>
      <w:r w:rsidRPr="00E12958">
        <w:rPr>
          <w:lang w:eastAsia="x-none"/>
        </w:rPr>
        <w:t xml:space="preserve">In </w:t>
      </w:r>
      <w:r>
        <w:rPr>
          <w:lang w:eastAsia="x-none"/>
        </w:rPr>
        <w:t>RAN1 AH 1801</w:t>
      </w:r>
      <w:r w:rsidR="005B0E56">
        <w:rPr>
          <w:lang w:eastAsia="x-none"/>
        </w:rPr>
        <w:t xml:space="preserve">, the following </w:t>
      </w:r>
      <w:r w:rsidR="00BC4267">
        <w:rPr>
          <w:lang w:eastAsia="x-none"/>
        </w:rPr>
        <w:t>aspects were agreed</w:t>
      </w:r>
      <w:r w:rsidR="005B0E56">
        <w:rPr>
          <w:lang w:eastAsia="x-none"/>
        </w:rPr>
        <w:t>.</w:t>
      </w:r>
    </w:p>
    <w:p w14:paraId="6D165F8A" w14:textId="77777777" w:rsidR="00BC4267" w:rsidRDefault="00BC4267" w:rsidP="00BC4267">
      <w:pPr>
        <w:rPr>
          <w:b/>
          <w:lang w:eastAsia="x-none"/>
        </w:rPr>
      </w:pPr>
      <w:r w:rsidRPr="000C6ED8">
        <w:rPr>
          <w:highlight w:val="green"/>
          <w:lang w:eastAsia="x-none"/>
        </w:rPr>
        <w:t>Agreements</w:t>
      </w:r>
      <w:r>
        <w:rPr>
          <w:b/>
          <w:lang w:eastAsia="x-none"/>
        </w:rPr>
        <w:t>:</w:t>
      </w:r>
    </w:p>
    <w:p w14:paraId="0E5C2BA5" w14:textId="77777777" w:rsidR="00BC4267" w:rsidRPr="008A7EA3" w:rsidRDefault="00BC4267" w:rsidP="00BC4267">
      <w:pPr>
        <w:pStyle w:val="BodyText"/>
        <w:numPr>
          <w:ilvl w:val="0"/>
          <w:numId w:val="28"/>
        </w:numPr>
        <w:overflowPunct/>
        <w:autoSpaceDE/>
        <w:autoSpaceDN/>
        <w:adjustRightInd/>
        <w:spacing w:afterLines="50"/>
        <w:textAlignment w:val="auto"/>
        <w:rPr>
          <w:rFonts w:eastAsia="Times New Roman"/>
          <w:sz w:val="22"/>
        </w:rPr>
      </w:pPr>
      <w:r w:rsidRPr="008A7EA3">
        <w:rPr>
          <w:rFonts w:eastAsia="Times New Roman"/>
          <w:sz w:val="22"/>
        </w:rPr>
        <w:t xml:space="preserve">For each search space configuration configured by UE-specific RRC signaling, the </w:t>
      </w:r>
      <w:r w:rsidRPr="008A7EA3">
        <w:rPr>
          <w:rFonts w:eastAsia="Times New Roman" w:hint="eastAsia"/>
          <w:sz w:val="22"/>
        </w:rPr>
        <w:t>U</w:t>
      </w:r>
      <w:r w:rsidRPr="008A7EA3">
        <w:rPr>
          <w:rFonts w:eastAsia="Times New Roman"/>
          <w:sz w:val="22"/>
        </w:rPr>
        <w:t>E is informed whether the search space configuration is CSS or USS, together with the following information, as part of the search space configuration:</w:t>
      </w:r>
    </w:p>
    <w:p w14:paraId="01030BD2" w14:textId="77777777" w:rsidR="00BC4267" w:rsidRPr="008A7EA3" w:rsidRDefault="00BC4267" w:rsidP="00BC4267">
      <w:pPr>
        <w:pStyle w:val="BodyText"/>
        <w:numPr>
          <w:ilvl w:val="1"/>
          <w:numId w:val="28"/>
        </w:numPr>
        <w:overflowPunct/>
        <w:autoSpaceDE/>
        <w:autoSpaceDN/>
        <w:adjustRightInd/>
        <w:spacing w:afterLines="50"/>
        <w:textAlignment w:val="auto"/>
        <w:rPr>
          <w:rFonts w:eastAsia="Times New Roman"/>
          <w:sz w:val="22"/>
        </w:rPr>
      </w:pPr>
      <w:r w:rsidRPr="008A7EA3">
        <w:rPr>
          <w:rFonts w:eastAsia="Times New Roman"/>
          <w:sz w:val="22"/>
        </w:rPr>
        <w:t>Which DCI format(s) to monitor</w:t>
      </w:r>
    </w:p>
    <w:p w14:paraId="6CE93793" w14:textId="77777777" w:rsidR="00BC4267" w:rsidRPr="008A7EA3" w:rsidRDefault="00BC4267" w:rsidP="00BC4267">
      <w:pPr>
        <w:pStyle w:val="BodyText"/>
        <w:numPr>
          <w:ilvl w:val="2"/>
          <w:numId w:val="28"/>
        </w:numPr>
        <w:overflowPunct/>
        <w:autoSpaceDE/>
        <w:autoSpaceDN/>
        <w:adjustRightInd/>
        <w:spacing w:afterLines="50"/>
        <w:textAlignment w:val="auto"/>
        <w:rPr>
          <w:rFonts w:eastAsia="Times New Roman"/>
          <w:sz w:val="22"/>
        </w:rPr>
      </w:pPr>
      <w:r w:rsidRPr="008A7EA3">
        <w:rPr>
          <w:rFonts w:eastAsia="Times New Roman"/>
          <w:sz w:val="22"/>
        </w:rPr>
        <w:t>For a CSS,</w:t>
      </w:r>
    </w:p>
    <w:p w14:paraId="4A05FCC3" w14:textId="77777777" w:rsidR="00BC4267" w:rsidRPr="008A7EA3" w:rsidRDefault="00BC4267" w:rsidP="00BC4267">
      <w:pPr>
        <w:pStyle w:val="BodyText"/>
        <w:numPr>
          <w:ilvl w:val="3"/>
          <w:numId w:val="28"/>
        </w:numPr>
        <w:overflowPunct/>
        <w:autoSpaceDE/>
        <w:autoSpaceDN/>
        <w:adjustRightInd/>
        <w:spacing w:afterLines="50"/>
        <w:textAlignment w:val="auto"/>
        <w:rPr>
          <w:rFonts w:eastAsia="Times New Roman"/>
          <w:sz w:val="22"/>
        </w:rPr>
      </w:pPr>
      <w:r w:rsidRPr="008A7EA3">
        <w:rPr>
          <w:rFonts w:eastAsia="Times New Roman" w:hint="eastAsia"/>
          <w:sz w:val="22"/>
        </w:rPr>
        <w:t>D</w:t>
      </w:r>
      <w:r w:rsidRPr="008A7EA3">
        <w:rPr>
          <w:rFonts w:eastAsia="Times New Roman"/>
          <w:sz w:val="22"/>
        </w:rPr>
        <w:t>CI format 0_0 and DCI format 1_0</w:t>
      </w:r>
    </w:p>
    <w:p w14:paraId="62BE9BAE" w14:textId="77777777" w:rsidR="00BC4267" w:rsidRPr="008A7EA3" w:rsidRDefault="00BC4267" w:rsidP="00BC4267">
      <w:pPr>
        <w:pStyle w:val="BodyText"/>
        <w:numPr>
          <w:ilvl w:val="4"/>
          <w:numId w:val="28"/>
        </w:numPr>
        <w:overflowPunct/>
        <w:autoSpaceDE/>
        <w:autoSpaceDN/>
        <w:adjustRightInd/>
        <w:spacing w:afterLines="50"/>
        <w:textAlignment w:val="auto"/>
        <w:rPr>
          <w:rFonts w:eastAsia="Times New Roman"/>
          <w:sz w:val="22"/>
        </w:rPr>
      </w:pPr>
      <w:r w:rsidRPr="008A7EA3">
        <w:rPr>
          <w:rFonts w:eastAsia="Times New Roman" w:hint="eastAsia"/>
          <w:sz w:val="22"/>
        </w:rPr>
        <w:t>I</w:t>
      </w:r>
      <w:r w:rsidRPr="008A7EA3">
        <w:rPr>
          <w:rFonts w:eastAsia="Times New Roman"/>
          <w:sz w:val="22"/>
        </w:rPr>
        <w:t>n which case, the UE monitors the DCI format with CRC scrambled by C-RNTI, CS-RNTI (if configured), SP-CSI-RNTI (if configured), RA-RNTI, TC-RNTI, P-RNTI, SI-RNTI</w:t>
      </w:r>
    </w:p>
    <w:p w14:paraId="4567500E" w14:textId="77777777" w:rsidR="00BC4267" w:rsidRPr="008A7EA3" w:rsidRDefault="00BC4267" w:rsidP="00BC4267">
      <w:pPr>
        <w:pStyle w:val="BodyText"/>
        <w:numPr>
          <w:ilvl w:val="3"/>
          <w:numId w:val="28"/>
        </w:numPr>
        <w:overflowPunct/>
        <w:autoSpaceDE/>
        <w:autoSpaceDN/>
        <w:adjustRightInd/>
        <w:spacing w:afterLines="50"/>
        <w:textAlignment w:val="auto"/>
        <w:rPr>
          <w:rFonts w:eastAsia="Times New Roman"/>
          <w:sz w:val="22"/>
        </w:rPr>
      </w:pPr>
      <w:r w:rsidRPr="008A7EA3">
        <w:rPr>
          <w:rFonts w:eastAsia="Times New Roman" w:hint="eastAsia"/>
          <w:sz w:val="22"/>
        </w:rPr>
        <w:t>D</w:t>
      </w:r>
      <w:r w:rsidRPr="008A7EA3">
        <w:rPr>
          <w:rFonts w:eastAsia="Times New Roman"/>
          <w:sz w:val="22"/>
        </w:rPr>
        <w:t>CI format 2_0</w:t>
      </w:r>
    </w:p>
    <w:p w14:paraId="27770DDE" w14:textId="77777777" w:rsidR="00BC4267" w:rsidRPr="008A7EA3" w:rsidRDefault="00BC4267" w:rsidP="00BC4267">
      <w:pPr>
        <w:pStyle w:val="BodyText"/>
        <w:numPr>
          <w:ilvl w:val="4"/>
          <w:numId w:val="28"/>
        </w:numPr>
        <w:overflowPunct/>
        <w:autoSpaceDE/>
        <w:autoSpaceDN/>
        <w:adjustRightInd/>
        <w:spacing w:afterLines="50"/>
        <w:textAlignment w:val="auto"/>
        <w:rPr>
          <w:rFonts w:eastAsia="Times New Roman"/>
          <w:sz w:val="22"/>
        </w:rPr>
      </w:pPr>
      <w:r w:rsidRPr="008A7EA3">
        <w:rPr>
          <w:rFonts w:eastAsia="Times New Roman" w:hint="eastAsia"/>
          <w:sz w:val="22"/>
        </w:rPr>
        <w:t>I</w:t>
      </w:r>
      <w:r w:rsidRPr="008A7EA3">
        <w:rPr>
          <w:rFonts w:eastAsia="Times New Roman"/>
          <w:sz w:val="22"/>
        </w:rPr>
        <w:t>n which case, the UE monitors the DCI format with CRC scrambled by SFI-RNTI, and the SFI-related parameters SFI-PDCCH is provided as part of the search space configuration</w:t>
      </w:r>
    </w:p>
    <w:p w14:paraId="1D5BBCE4" w14:textId="77777777" w:rsidR="00BC4267" w:rsidRPr="008A7EA3" w:rsidRDefault="00BC4267" w:rsidP="00BC4267">
      <w:pPr>
        <w:pStyle w:val="BodyText"/>
        <w:numPr>
          <w:ilvl w:val="4"/>
          <w:numId w:val="28"/>
        </w:numPr>
        <w:overflowPunct/>
        <w:autoSpaceDE/>
        <w:autoSpaceDN/>
        <w:adjustRightInd/>
        <w:spacing w:afterLines="50"/>
        <w:textAlignment w:val="auto"/>
        <w:rPr>
          <w:rFonts w:eastAsia="Times New Roman"/>
          <w:sz w:val="22"/>
        </w:rPr>
      </w:pPr>
      <w:r w:rsidRPr="008A7EA3">
        <w:rPr>
          <w:rFonts w:eastAsia="Times New Roman" w:hint="eastAsia"/>
          <w:sz w:val="22"/>
        </w:rPr>
        <w:t>F</w:t>
      </w:r>
      <w:r w:rsidRPr="008A7EA3">
        <w:rPr>
          <w:rFonts w:eastAsia="Times New Roman"/>
          <w:sz w:val="22"/>
        </w:rPr>
        <w:t>FS: how to select one or two decoding candidates if the configured PDCCH candidates are larger than the value</w:t>
      </w:r>
    </w:p>
    <w:p w14:paraId="636A35FE" w14:textId="77777777" w:rsidR="00BC4267" w:rsidRPr="008A7EA3" w:rsidRDefault="00BC4267" w:rsidP="00BC4267">
      <w:pPr>
        <w:pStyle w:val="BodyText"/>
        <w:numPr>
          <w:ilvl w:val="3"/>
          <w:numId w:val="28"/>
        </w:numPr>
        <w:overflowPunct/>
        <w:autoSpaceDE/>
        <w:autoSpaceDN/>
        <w:adjustRightInd/>
        <w:spacing w:afterLines="50"/>
        <w:textAlignment w:val="auto"/>
        <w:rPr>
          <w:rFonts w:eastAsia="Times New Roman"/>
          <w:sz w:val="22"/>
        </w:rPr>
      </w:pPr>
      <w:r w:rsidRPr="008A7EA3">
        <w:rPr>
          <w:rFonts w:eastAsia="Times New Roman" w:hint="eastAsia"/>
          <w:sz w:val="22"/>
        </w:rPr>
        <w:t>D</w:t>
      </w:r>
      <w:r w:rsidRPr="008A7EA3">
        <w:rPr>
          <w:rFonts w:eastAsia="Times New Roman"/>
          <w:sz w:val="22"/>
        </w:rPr>
        <w:t>CI format 2_1</w:t>
      </w:r>
    </w:p>
    <w:p w14:paraId="7CA62FD4" w14:textId="77777777" w:rsidR="00BC4267" w:rsidRPr="008A7EA3" w:rsidRDefault="00BC4267" w:rsidP="00BC4267">
      <w:pPr>
        <w:pStyle w:val="BodyText"/>
        <w:numPr>
          <w:ilvl w:val="4"/>
          <w:numId w:val="28"/>
        </w:numPr>
        <w:overflowPunct/>
        <w:autoSpaceDE/>
        <w:autoSpaceDN/>
        <w:adjustRightInd/>
        <w:spacing w:afterLines="50"/>
        <w:textAlignment w:val="auto"/>
        <w:rPr>
          <w:rFonts w:eastAsia="Times New Roman"/>
          <w:sz w:val="22"/>
        </w:rPr>
      </w:pPr>
      <w:r w:rsidRPr="008A7EA3">
        <w:rPr>
          <w:rFonts w:eastAsia="Times New Roman" w:hint="eastAsia"/>
          <w:sz w:val="22"/>
        </w:rPr>
        <w:t>I</w:t>
      </w:r>
      <w:r w:rsidRPr="008A7EA3">
        <w:rPr>
          <w:rFonts w:eastAsia="Times New Roman"/>
          <w:sz w:val="22"/>
        </w:rPr>
        <w:t>n which case, the UE monitors the DCI format with CRC scrambled by INT-RNTI, and the PI-related parameters Preemp-DL is provided as part of the search space configuration</w:t>
      </w:r>
    </w:p>
    <w:p w14:paraId="0E85E110" w14:textId="77777777" w:rsidR="00BC4267" w:rsidRPr="008A7EA3" w:rsidRDefault="00BC4267" w:rsidP="00BC4267">
      <w:pPr>
        <w:pStyle w:val="BodyText"/>
        <w:numPr>
          <w:ilvl w:val="3"/>
          <w:numId w:val="28"/>
        </w:numPr>
        <w:overflowPunct/>
        <w:autoSpaceDE/>
        <w:autoSpaceDN/>
        <w:adjustRightInd/>
        <w:spacing w:afterLines="50"/>
        <w:textAlignment w:val="auto"/>
        <w:rPr>
          <w:rFonts w:eastAsia="Times New Roman"/>
          <w:sz w:val="22"/>
        </w:rPr>
      </w:pPr>
      <w:r w:rsidRPr="008A7EA3">
        <w:rPr>
          <w:rFonts w:eastAsia="Times New Roman" w:hint="eastAsia"/>
          <w:sz w:val="22"/>
        </w:rPr>
        <w:lastRenderedPageBreak/>
        <w:t>D</w:t>
      </w:r>
      <w:r w:rsidRPr="008A7EA3">
        <w:rPr>
          <w:rFonts w:eastAsia="Times New Roman"/>
          <w:sz w:val="22"/>
        </w:rPr>
        <w:t>CI format 2_2</w:t>
      </w:r>
    </w:p>
    <w:p w14:paraId="4117DED5" w14:textId="77777777" w:rsidR="00BC4267" w:rsidRPr="008A7EA3" w:rsidRDefault="00BC4267" w:rsidP="00BC4267">
      <w:pPr>
        <w:pStyle w:val="BodyText"/>
        <w:numPr>
          <w:ilvl w:val="4"/>
          <w:numId w:val="28"/>
        </w:numPr>
        <w:overflowPunct/>
        <w:autoSpaceDE/>
        <w:autoSpaceDN/>
        <w:adjustRightInd/>
        <w:spacing w:afterLines="50"/>
        <w:textAlignment w:val="auto"/>
        <w:rPr>
          <w:rFonts w:eastAsia="Times New Roman"/>
          <w:sz w:val="22"/>
        </w:rPr>
      </w:pPr>
      <w:r w:rsidRPr="008A7EA3">
        <w:rPr>
          <w:rFonts w:eastAsia="Times New Roman" w:hint="eastAsia"/>
          <w:sz w:val="22"/>
        </w:rPr>
        <w:t>I</w:t>
      </w:r>
      <w:r w:rsidRPr="008A7EA3">
        <w:rPr>
          <w:rFonts w:eastAsia="Times New Roman"/>
          <w:sz w:val="22"/>
        </w:rPr>
        <w:t>n which case, the UE monitors the DCI format with CRC scrambled by TPC-PUSCH-RNTI or TPC-PUCCH-RNTI</w:t>
      </w:r>
    </w:p>
    <w:p w14:paraId="4BCC57D0" w14:textId="77777777" w:rsidR="00BC4267" w:rsidRPr="008A7EA3" w:rsidRDefault="00BC4267" w:rsidP="00BC4267">
      <w:pPr>
        <w:pStyle w:val="BodyText"/>
        <w:numPr>
          <w:ilvl w:val="3"/>
          <w:numId w:val="28"/>
        </w:numPr>
        <w:overflowPunct/>
        <w:autoSpaceDE/>
        <w:autoSpaceDN/>
        <w:adjustRightInd/>
        <w:spacing w:afterLines="50"/>
        <w:textAlignment w:val="auto"/>
        <w:rPr>
          <w:rFonts w:eastAsia="Times New Roman"/>
          <w:sz w:val="22"/>
        </w:rPr>
      </w:pPr>
      <w:r w:rsidRPr="008A7EA3">
        <w:rPr>
          <w:rFonts w:eastAsia="Times New Roman" w:hint="eastAsia"/>
          <w:sz w:val="22"/>
        </w:rPr>
        <w:t>D</w:t>
      </w:r>
      <w:r w:rsidRPr="008A7EA3">
        <w:rPr>
          <w:rFonts w:eastAsia="Times New Roman"/>
          <w:sz w:val="22"/>
        </w:rPr>
        <w:t>CI format 2_3</w:t>
      </w:r>
    </w:p>
    <w:p w14:paraId="79519682" w14:textId="77777777" w:rsidR="00BC4267" w:rsidRPr="008A7EA3" w:rsidRDefault="00BC4267" w:rsidP="00BC4267">
      <w:pPr>
        <w:pStyle w:val="BodyText"/>
        <w:numPr>
          <w:ilvl w:val="4"/>
          <w:numId w:val="28"/>
        </w:numPr>
        <w:overflowPunct/>
        <w:autoSpaceDE/>
        <w:autoSpaceDN/>
        <w:adjustRightInd/>
        <w:spacing w:afterLines="50"/>
        <w:textAlignment w:val="auto"/>
        <w:rPr>
          <w:rFonts w:eastAsia="Times New Roman"/>
          <w:sz w:val="22"/>
        </w:rPr>
      </w:pPr>
      <w:r w:rsidRPr="008A7EA3">
        <w:rPr>
          <w:rFonts w:eastAsia="Times New Roman" w:hint="eastAsia"/>
          <w:sz w:val="22"/>
        </w:rPr>
        <w:t>I</w:t>
      </w:r>
      <w:r w:rsidRPr="008A7EA3">
        <w:rPr>
          <w:rFonts w:eastAsia="Times New Roman"/>
          <w:sz w:val="22"/>
        </w:rPr>
        <w:t>n which case, the UE monitors the DCI format with CRC scrambled by TPC-SRS-RNTI</w:t>
      </w:r>
    </w:p>
    <w:p w14:paraId="4A07F229" w14:textId="77777777" w:rsidR="00BC4267" w:rsidRPr="008A7EA3" w:rsidRDefault="00BC4267" w:rsidP="00BC4267">
      <w:pPr>
        <w:pStyle w:val="BodyText"/>
        <w:numPr>
          <w:ilvl w:val="3"/>
          <w:numId w:val="28"/>
        </w:numPr>
        <w:overflowPunct/>
        <w:autoSpaceDE/>
        <w:autoSpaceDN/>
        <w:adjustRightInd/>
        <w:spacing w:afterLines="50"/>
        <w:textAlignment w:val="auto"/>
        <w:rPr>
          <w:rFonts w:eastAsia="Times New Roman"/>
          <w:sz w:val="22"/>
        </w:rPr>
      </w:pPr>
      <w:r w:rsidRPr="008A7EA3">
        <w:rPr>
          <w:rFonts w:eastAsia="Times New Roman"/>
          <w:sz w:val="22"/>
        </w:rPr>
        <w:t>Monitoring of multiple DCI formats can be configured for one CSS</w:t>
      </w:r>
    </w:p>
    <w:p w14:paraId="2DE1EF54" w14:textId="77777777" w:rsidR="00BC4267" w:rsidRPr="008A7EA3" w:rsidRDefault="00BC4267" w:rsidP="00BC4267">
      <w:pPr>
        <w:pStyle w:val="BodyText"/>
        <w:numPr>
          <w:ilvl w:val="2"/>
          <w:numId w:val="28"/>
        </w:numPr>
        <w:overflowPunct/>
        <w:autoSpaceDE/>
        <w:autoSpaceDN/>
        <w:adjustRightInd/>
        <w:spacing w:afterLines="50"/>
        <w:textAlignment w:val="auto"/>
        <w:rPr>
          <w:rFonts w:eastAsia="Times New Roman"/>
          <w:sz w:val="22"/>
        </w:rPr>
      </w:pPr>
      <w:r w:rsidRPr="008A7EA3">
        <w:rPr>
          <w:rFonts w:eastAsia="Times New Roman" w:hint="eastAsia"/>
          <w:sz w:val="22"/>
        </w:rPr>
        <w:t>F</w:t>
      </w:r>
      <w:r w:rsidRPr="008A7EA3">
        <w:rPr>
          <w:rFonts w:eastAsia="Times New Roman"/>
          <w:sz w:val="22"/>
        </w:rPr>
        <w:t>or USS,</w:t>
      </w:r>
    </w:p>
    <w:p w14:paraId="4FA73A96" w14:textId="77777777" w:rsidR="00BC4267" w:rsidRDefault="00BC4267" w:rsidP="00BC4267">
      <w:pPr>
        <w:pStyle w:val="BodyText"/>
        <w:numPr>
          <w:ilvl w:val="3"/>
          <w:numId w:val="28"/>
        </w:numPr>
        <w:overflowPunct/>
        <w:autoSpaceDE/>
        <w:autoSpaceDN/>
        <w:adjustRightInd/>
        <w:spacing w:afterLines="50"/>
        <w:textAlignment w:val="auto"/>
        <w:rPr>
          <w:rFonts w:eastAsia="Times New Roman"/>
          <w:sz w:val="22"/>
        </w:rPr>
      </w:pPr>
      <w:r w:rsidRPr="008A7EA3">
        <w:rPr>
          <w:rFonts w:eastAsia="Times New Roman"/>
          <w:sz w:val="22"/>
        </w:rPr>
        <w:t>A UE monitors the DCI format with CRC scrambled by C-RNTI, CS-RNTI (if configured), TC-RNTI (if a certain condition is met), and SP-CSI-RNTI (if configured)</w:t>
      </w:r>
    </w:p>
    <w:p w14:paraId="5D7F7ADC" w14:textId="77777777" w:rsidR="00BC4267" w:rsidRDefault="00BC4267" w:rsidP="00BC4267">
      <w:pPr>
        <w:pStyle w:val="BodyText"/>
        <w:numPr>
          <w:ilvl w:val="4"/>
          <w:numId w:val="28"/>
        </w:numPr>
        <w:overflowPunct/>
        <w:autoSpaceDE/>
        <w:autoSpaceDN/>
        <w:adjustRightInd/>
        <w:spacing w:afterLines="50"/>
        <w:textAlignment w:val="auto"/>
        <w:rPr>
          <w:rFonts w:eastAsia="Times New Roman"/>
          <w:sz w:val="22"/>
        </w:rPr>
      </w:pPr>
      <w:r>
        <w:rPr>
          <w:rFonts w:eastAsia="Times New Roman"/>
          <w:sz w:val="22"/>
        </w:rPr>
        <w:t xml:space="preserve">Further discussion offline the association of the RNTIs with DCI formats </w:t>
      </w:r>
    </w:p>
    <w:p w14:paraId="40EED15C" w14:textId="7E99391D" w:rsidR="005B0E56" w:rsidRDefault="00BC4267" w:rsidP="00BC4267">
      <w:pPr>
        <w:pStyle w:val="BodyText"/>
        <w:overflowPunct/>
        <w:autoSpaceDE/>
        <w:autoSpaceDN/>
        <w:adjustRightInd/>
        <w:textAlignment w:val="auto"/>
        <w:rPr>
          <w:szCs w:val="20"/>
          <w:highlight w:val="yellow"/>
          <w:lang w:eastAsia="sv-SE"/>
        </w:rPr>
      </w:pPr>
      <w:r w:rsidRPr="008A7EA3">
        <w:rPr>
          <w:rFonts w:eastAsia="Times New Roman"/>
          <w:sz w:val="22"/>
        </w:rPr>
        <w:t xml:space="preserve">Monitoring of multiple DCI formats can be configured for one </w:t>
      </w:r>
      <w:r>
        <w:rPr>
          <w:rFonts w:eastAsia="Times New Roman"/>
          <w:sz w:val="22"/>
        </w:rPr>
        <w:t>USS</w:t>
      </w:r>
    </w:p>
    <w:p w14:paraId="30671399" w14:textId="4158CE2E" w:rsidR="005B0E56" w:rsidRDefault="005B0E56" w:rsidP="00251BF7">
      <w:pPr>
        <w:pStyle w:val="BodyText"/>
        <w:overflowPunct/>
        <w:autoSpaceDE/>
        <w:autoSpaceDN/>
        <w:adjustRightInd/>
        <w:textAlignment w:val="auto"/>
        <w:rPr>
          <w:szCs w:val="20"/>
          <w:highlight w:val="yellow"/>
          <w:lang w:eastAsia="sv-SE"/>
        </w:rPr>
      </w:pPr>
    </w:p>
    <w:p w14:paraId="06EA844B" w14:textId="46F6EC51" w:rsidR="00872544" w:rsidRDefault="00872544" w:rsidP="00251BF7">
      <w:pPr>
        <w:pStyle w:val="BodyText"/>
        <w:overflowPunct/>
        <w:autoSpaceDE/>
        <w:autoSpaceDN/>
        <w:adjustRightInd/>
        <w:textAlignment w:val="auto"/>
        <w:rPr>
          <w:szCs w:val="20"/>
          <w:lang w:eastAsia="sv-SE"/>
        </w:rPr>
      </w:pPr>
      <w:r w:rsidRPr="00872544">
        <w:rPr>
          <w:szCs w:val="20"/>
          <w:lang w:eastAsia="sv-SE"/>
        </w:rPr>
        <w:t xml:space="preserve">Given </w:t>
      </w:r>
      <w:r>
        <w:rPr>
          <w:szCs w:val="20"/>
          <w:lang w:eastAsia="sv-SE"/>
        </w:rPr>
        <w:t>the above agreement, it seems clear that the fallback DCI 1_0 will be used in two cases. For the case of initial acquisition, the fallback DCI fields (including SLIV) will follow the RMSI DCI configuration for determining the scheduled resources for the RMSI on PDSCH. After this point, there can be RRC configuration at which point the fallback DCI may be reconfigured (along with the CSS and USS which may use this fallback DCI). Therefore, there is no need to further define any default SLIV for the fallback DCI.</w:t>
      </w:r>
    </w:p>
    <w:p w14:paraId="71697C1F" w14:textId="1E528AEA" w:rsidR="00872544" w:rsidRPr="00872544" w:rsidRDefault="00872544" w:rsidP="00251BF7">
      <w:pPr>
        <w:pStyle w:val="BodyText"/>
        <w:overflowPunct/>
        <w:autoSpaceDE/>
        <w:autoSpaceDN/>
        <w:adjustRightInd/>
        <w:textAlignment w:val="auto"/>
        <w:rPr>
          <w:szCs w:val="20"/>
          <w:lang w:eastAsia="sv-SE"/>
        </w:rPr>
      </w:pPr>
      <w:r w:rsidRPr="00872544">
        <w:rPr>
          <w:b/>
          <w:szCs w:val="20"/>
          <w:u w:val="single"/>
          <w:lang w:eastAsia="sv-SE"/>
        </w:rPr>
        <w:t>Proposal</w:t>
      </w:r>
      <w:r w:rsidR="0070525B">
        <w:rPr>
          <w:b/>
          <w:szCs w:val="20"/>
          <w:u w:val="single"/>
          <w:lang w:eastAsia="sv-SE"/>
        </w:rPr>
        <w:t xml:space="preserve"> 4</w:t>
      </w:r>
      <w:r w:rsidRPr="00872544">
        <w:rPr>
          <w:b/>
          <w:szCs w:val="20"/>
          <w:u w:val="single"/>
          <w:lang w:eastAsia="sv-SE"/>
        </w:rPr>
        <w:t>:</w:t>
      </w:r>
      <w:r>
        <w:rPr>
          <w:szCs w:val="20"/>
          <w:lang w:eastAsia="sv-SE"/>
        </w:rPr>
        <w:t xml:space="preserve"> </w:t>
      </w:r>
      <w:r w:rsidRPr="00872544">
        <w:rPr>
          <w:i/>
          <w:szCs w:val="20"/>
          <w:lang w:eastAsia="sv-SE"/>
        </w:rPr>
        <w:t>No default SLIV is provided in specification for the fallback DCI, i.e., DCI Format 1_0.</w:t>
      </w:r>
    </w:p>
    <w:p w14:paraId="13E22C66" w14:textId="43F83B47" w:rsidR="00251BF7" w:rsidRDefault="00251BF7" w:rsidP="00251BF7">
      <w:pPr>
        <w:pStyle w:val="BodyText"/>
        <w:overflowPunct/>
        <w:autoSpaceDE/>
        <w:autoSpaceDN/>
        <w:adjustRightInd/>
        <w:textAlignment w:val="auto"/>
        <w:rPr>
          <w:szCs w:val="20"/>
          <w:highlight w:val="yellow"/>
          <w:lang w:eastAsia="sv-SE"/>
        </w:rPr>
      </w:pPr>
    </w:p>
    <w:p w14:paraId="5C9E0CC9" w14:textId="0F066787" w:rsidR="003E43D4" w:rsidRPr="00872544" w:rsidRDefault="00EF37FE" w:rsidP="00EF37FE">
      <w:pPr>
        <w:pStyle w:val="Heading2"/>
        <w:rPr>
          <w:lang w:eastAsia="sv-SE"/>
        </w:rPr>
      </w:pPr>
      <w:r w:rsidRPr="00872544">
        <w:rPr>
          <w:lang w:eastAsia="sv-SE"/>
        </w:rPr>
        <w:t>RVID in Grant-Based Slot Aggregation (</w:t>
      </w:r>
      <w:r w:rsidR="00872544">
        <w:rPr>
          <w:lang w:eastAsia="sv-SE"/>
        </w:rPr>
        <w:t>TB r</w:t>
      </w:r>
      <w:r w:rsidRPr="00872544">
        <w:rPr>
          <w:lang w:eastAsia="sv-SE"/>
        </w:rPr>
        <w:t>epetition)</w:t>
      </w:r>
    </w:p>
    <w:p w14:paraId="567E6C67" w14:textId="7047116D" w:rsidR="00CE528D" w:rsidRPr="00CE528D" w:rsidRDefault="00CE528D" w:rsidP="00CE528D">
      <w:pPr>
        <w:rPr>
          <w:lang w:eastAsia="x-none"/>
        </w:rPr>
      </w:pPr>
      <w:r>
        <w:rPr>
          <w:lang w:eastAsia="x-none"/>
        </w:rPr>
        <w:t>In RAN1 AH #3 (Nagoya), it was agreed that TB could be repeated across multiple slots.</w:t>
      </w:r>
    </w:p>
    <w:p w14:paraId="4B119943" w14:textId="77777777" w:rsidR="00CE528D" w:rsidRPr="00E76910" w:rsidRDefault="00CE528D" w:rsidP="00CE528D">
      <w:pPr>
        <w:rPr>
          <w:b/>
          <w:u w:val="single"/>
        </w:rPr>
      </w:pPr>
      <w:r w:rsidRPr="00E76910">
        <w:rPr>
          <w:b/>
          <w:iCs/>
          <w:highlight w:val="green"/>
          <w:u w:val="single"/>
        </w:rPr>
        <w:t>Agreements:</w:t>
      </w:r>
    </w:p>
    <w:p w14:paraId="7D31841D" w14:textId="77777777" w:rsidR="00CE528D" w:rsidRPr="00E76910" w:rsidRDefault="00CE528D" w:rsidP="00CE528D">
      <w:pPr>
        <w:numPr>
          <w:ilvl w:val="0"/>
          <w:numId w:val="6"/>
        </w:numPr>
        <w:tabs>
          <w:tab w:val="clear" w:pos="720"/>
          <w:tab w:val="num" w:pos="-1080"/>
        </w:tabs>
        <w:overflowPunct/>
        <w:autoSpaceDE/>
        <w:autoSpaceDN/>
        <w:adjustRightInd/>
        <w:spacing w:after="0"/>
        <w:textAlignment w:val="auto"/>
      </w:pPr>
      <w:r w:rsidRPr="00E76910">
        <w:rPr>
          <w:bCs/>
          <w:iCs/>
        </w:rPr>
        <w:t>For grant-based DL or UL, transmissions where a TB spans multiple slots or mini-slots can be composed of repetitions of the TB</w:t>
      </w:r>
    </w:p>
    <w:p w14:paraId="6FA65880" w14:textId="77777777" w:rsidR="00CE528D" w:rsidRPr="00E76910" w:rsidRDefault="00CE528D" w:rsidP="00CE528D">
      <w:pPr>
        <w:numPr>
          <w:ilvl w:val="1"/>
          <w:numId w:val="6"/>
        </w:numPr>
        <w:tabs>
          <w:tab w:val="clear" w:pos="1440"/>
          <w:tab w:val="num" w:pos="-360"/>
        </w:tabs>
        <w:overflowPunct/>
        <w:autoSpaceDE/>
        <w:autoSpaceDN/>
        <w:adjustRightInd/>
        <w:spacing w:after="0"/>
        <w:textAlignment w:val="auto"/>
      </w:pPr>
      <w:r w:rsidRPr="00E76910">
        <w:rPr>
          <w:bCs/>
          <w:iCs/>
        </w:rPr>
        <w:t xml:space="preserve">The repetitions follow an RV sequence </w:t>
      </w:r>
    </w:p>
    <w:p w14:paraId="5B9E0C07" w14:textId="77777777" w:rsidR="00CE528D" w:rsidRPr="00E76910" w:rsidRDefault="00CE528D" w:rsidP="00CE528D">
      <w:pPr>
        <w:numPr>
          <w:ilvl w:val="2"/>
          <w:numId w:val="6"/>
        </w:numPr>
        <w:tabs>
          <w:tab w:val="clear" w:pos="2160"/>
          <w:tab w:val="num" w:pos="360"/>
        </w:tabs>
        <w:overflowPunct/>
        <w:autoSpaceDE/>
        <w:autoSpaceDN/>
        <w:adjustRightInd/>
        <w:spacing w:after="0"/>
        <w:textAlignment w:val="auto"/>
      </w:pPr>
      <w:r w:rsidRPr="00E76910">
        <w:rPr>
          <w:iCs/>
        </w:rPr>
        <w:t>FFS how the sequence is defined in specification</w:t>
      </w:r>
    </w:p>
    <w:p w14:paraId="5940472D" w14:textId="77777777" w:rsidR="00CE528D" w:rsidRPr="00E76910" w:rsidRDefault="00CE528D" w:rsidP="00CE528D">
      <w:pPr>
        <w:numPr>
          <w:ilvl w:val="1"/>
          <w:numId w:val="6"/>
        </w:numPr>
        <w:tabs>
          <w:tab w:val="clear" w:pos="1440"/>
          <w:tab w:val="num" w:pos="-360"/>
        </w:tabs>
        <w:overflowPunct/>
        <w:autoSpaceDE/>
        <w:autoSpaceDN/>
        <w:adjustRightInd/>
        <w:spacing w:after="0"/>
        <w:textAlignment w:val="auto"/>
      </w:pPr>
      <w:r w:rsidRPr="00E76910">
        <w:rPr>
          <w:iCs/>
        </w:rPr>
        <w:t>FFS if there is one repetition of the TB per slot in the case of repetitions using mini-slots</w:t>
      </w:r>
    </w:p>
    <w:p w14:paraId="11F77300" w14:textId="77777777" w:rsidR="00CE528D" w:rsidRPr="009770BB" w:rsidRDefault="00CE528D" w:rsidP="00CE528D">
      <w:pPr>
        <w:numPr>
          <w:ilvl w:val="1"/>
          <w:numId w:val="6"/>
        </w:numPr>
        <w:tabs>
          <w:tab w:val="clear" w:pos="1440"/>
          <w:tab w:val="num" w:pos="-360"/>
        </w:tabs>
        <w:overflowPunct/>
        <w:autoSpaceDE/>
        <w:autoSpaceDN/>
        <w:adjustRightInd/>
        <w:spacing w:after="0"/>
        <w:textAlignment w:val="auto"/>
      </w:pPr>
      <w:r w:rsidRPr="00E76910">
        <w:rPr>
          <w:iCs/>
        </w:rPr>
        <w:t>FFS for grant-based DL or UL transmissions, if a TB can span multiple slots without repetitions</w:t>
      </w:r>
    </w:p>
    <w:p w14:paraId="05F7114A" w14:textId="2B59DCD2" w:rsidR="00CE528D" w:rsidRDefault="00CE528D" w:rsidP="00461CFE">
      <w:pPr>
        <w:rPr>
          <w:lang w:eastAsia="x-none"/>
        </w:rPr>
      </w:pPr>
    </w:p>
    <w:p w14:paraId="317931C4" w14:textId="559C1053" w:rsidR="00CE528D" w:rsidRPr="00CE528D" w:rsidRDefault="0074351A" w:rsidP="00461CFE">
      <w:pPr>
        <w:rPr>
          <w:lang w:eastAsia="x-none"/>
        </w:rPr>
      </w:pPr>
      <w:r>
        <w:rPr>
          <w:lang w:eastAsia="x-none"/>
        </w:rPr>
        <w:t>Following</w:t>
      </w:r>
      <w:r w:rsidR="00CE528D">
        <w:rPr>
          <w:lang w:eastAsia="x-none"/>
        </w:rPr>
        <w:t xml:space="preserve"> </w:t>
      </w:r>
      <w:r>
        <w:rPr>
          <w:lang w:eastAsia="x-none"/>
        </w:rPr>
        <w:t xml:space="preserve">in RAN1 </w:t>
      </w:r>
      <w:r w:rsidR="00E12958">
        <w:rPr>
          <w:lang w:eastAsia="x-none"/>
        </w:rPr>
        <w:t>AH 1801</w:t>
      </w:r>
      <w:r>
        <w:rPr>
          <w:lang w:eastAsia="x-none"/>
        </w:rPr>
        <w:t>, the following clarifications were made and one comment regarding signaling of the RV ordering was raised.</w:t>
      </w:r>
    </w:p>
    <w:p w14:paraId="40D114FA" w14:textId="36F86012" w:rsidR="00461CFE" w:rsidRPr="00A12309" w:rsidRDefault="00461CFE" w:rsidP="00461CFE">
      <w:pPr>
        <w:rPr>
          <w:lang w:eastAsia="x-none"/>
        </w:rPr>
      </w:pPr>
      <w:r w:rsidRPr="00A12309">
        <w:rPr>
          <w:highlight w:val="green"/>
          <w:lang w:eastAsia="x-none"/>
        </w:rPr>
        <w:t>Agreements</w:t>
      </w:r>
      <w:r w:rsidRPr="00A12309">
        <w:rPr>
          <w:lang w:eastAsia="x-none"/>
        </w:rPr>
        <w:t>:</w:t>
      </w:r>
    </w:p>
    <w:p w14:paraId="301E9329" w14:textId="77777777" w:rsidR="00461CFE" w:rsidRPr="00A12309" w:rsidRDefault="00461CFE" w:rsidP="00461CFE">
      <w:pPr>
        <w:numPr>
          <w:ilvl w:val="0"/>
          <w:numId w:val="21"/>
        </w:numPr>
        <w:overflowPunct/>
        <w:autoSpaceDE/>
        <w:autoSpaceDN/>
        <w:adjustRightInd/>
        <w:spacing w:after="0"/>
        <w:textAlignment w:val="auto"/>
      </w:pPr>
      <w:r w:rsidRPr="00A12309">
        <w:t>In case of slot-aggregation is configured</w:t>
      </w:r>
    </w:p>
    <w:p w14:paraId="20006BA8" w14:textId="77777777" w:rsidR="00461CFE" w:rsidRPr="00A12309" w:rsidRDefault="00461CFE" w:rsidP="00461CFE">
      <w:pPr>
        <w:numPr>
          <w:ilvl w:val="1"/>
          <w:numId w:val="21"/>
        </w:numPr>
        <w:overflowPunct/>
        <w:autoSpaceDE/>
        <w:autoSpaceDN/>
        <w:adjustRightInd/>
        <w:spacing w:after="0"/>
        <w:textAlignment w:val="auto"/>
      </w:pPr>
      <w:r w:rsidRPr="00A12309">
        <w:t>the same symbol allocation is used across slots in UL</w:t>
      </w:r>
    </w:p>
    <w:p w14:paraId="4B2EC4C0" w14:textId="77777777" w:rsidR="00461CFE" w:rsidRPr="00A12309" w:rsidRDefault="00461CFE" w:rsidP="00461CFE">
      <w:pPr>
        <w:numPr>
          <w:ilvl w:val="2"/>
          <w:numId w:val="21"/>
        </w:numPr>
        <w:overflowPunct/>
        <w:autoSpaceDE/>
        <w:autoSpaceDN/>
        <w:adjustRightInd/>
        <w:spacing w:after="0"/>
        <w:textAlignment w:val="auto"/>
      </w:pPr>
      <w:r w:rsidRPr="00A12309">
        <w:t>Note: this aligns with the DL case</w:t>
      </w:r>
    </w:p>
    <w:p w14:paraId="5C3EE6D8" w14:textId="77777777" w:rsidR="00461CFE" w:rsidRPr="00F879E7" w:rsidRDefault="00461CFE" w:rsidP="00461CFE">
      <w:pPr>
        <w:numPr>
          <w:ilvl w:val="1"/>
          <w:numId w:val="21"/>
        </w:numPr>
        <w:overflowPunct/>
        <w:autoSpaceDE/>
        <w:autoSpaceDN/>
        <w:adjustRightInd/>
        <w:spacing w:after="0"/>
        <w:textAlignment w:val="auto"/>
      </w:pPr>
      <w:r w:rsidRPr="00A12309">
        <w:t>th</w:t>
      </w:r>
      <w:r w:rsidRPr="00F879E7">
        <w:t>e TB is repeated across the slots</w:t>
      </w:r>
    </w:p>
    <w:p w14:paraId="742AD84A" w14:textId="77777777" w:rsidR="00461CFE" w:rsidRPr="00F879E7" w:rsidRDefault="00461CFE" w:rsidP="00461CFE">
      <w:pPr>
        <w:numPr>
          <w:ilvl w:val="1"/>
          <w:numId w:val="21"/>
        </w:numPr>
        <w:overflowPunct/>
        <w:autoSpaceDE/>
        <w:autoSpaceDN/>
        <w:adjustRightInd/>
        <w:spacing w:after="0"/>
        <w:textAlignment w:val="auto"/>
      </w:pPr>
      <w:r w:rsidRPr="00F879E7">
        <w:t>Discuss further offline the RV order for the DL/UL transmission (scheduled by DCI) spanning multiple slots (also checking the existing agreements made in the coding session)</w:t>
      </w:r>
    </w:p>
    <w:p w14:paraId="2AB87756" w14:textId="77777777" w:rsidR="00461CFE" w:rsidRPr="00A12309" w:rsidRDefault="00461CFE" w:rsidP="00461CFE">
      <w:pPr>
        <w:numPr>
          <w:ilvl w:val="0"/>
          <w:numId w:val="21"/>
        </w:numPr>
        <w:overflowPunct/>
        <w:autoSpaceDE/>
        <w:autoSpaceDN/>
        <w:adjustRightInd/>
        <w:spacing w:after="0"/>
        <w:textAlignment w:val="auto"/>
      </w:pPr>
      <w:r w:rsidRPr="00F879E7">
        <w:t>In case of slot-aggregation is configured, the configuration is limited to rank 1 only fo</w:t>
      </w:r>
      <w:r w:rsidRPr="00A12309">
        <w:t>r both DL and UL</w:t>
      </w:r>
    </w:p>
    <w:p w14:paraId="01C6D9D0" w14:textId="38BB4BB0" w:rsidR="00461CFE" w:rsidRDefault="00461CFE" w:rsidP="00461CFE">
      <w:pPr>
        <w:rPr>
          <w:lang w:eastAsia="x-none"/>
        </w:rPr>
      </w:pPr>
    </w:p>
    <w:p w14:paraId="04536141" w14:textId="6628A439" w:rsidR="004348CB" w:rsidRDefault="004348CB" w:rsidP="00461CFE">
      <w:pPr>
        <w:rPr>
          <w:lang w:eastAsia="x-none"/>
        </w:rPr>
      </w:pPr>
      <w:r>
        <w:rPr>
          <w:lang w:eastAsia="x-none"/>
        </w:rPr>
        <w:lastRenderedPageBreak/>
        <w:t>After checking agreements in the coding session for RAN1-90bis, we see that there was an agreement on a default RV order which was optimized for performance, but the issue similarly remains open for the case when the RV index can be explicitly signaled.</w:t>
      </w:r>
    </w:p>
    <w:p w14:paraId="031B311F" w14:textId="77777777" w:rsidR="00612081" w:rsidRPr="00EF37FE" w:rsidRDefault="00612081" w:rsidP="00612081">
      <w:pPr>
        <w:rPr>
          <w:rFonts w:ascii="Times" w:hAnsi="Times" w:cs="Times"/>
          <w:bCs/>
          <w:highlight w:val="green"/>
          <w:u w:val="single"/>
          <w:lang w:eastAsia="ja-JP"/>
        </w:rPr>
      </w:pPr>
      <w:r w:rsidRPr="00EF37FE">
        <w:rPr>
          <w:bCs/>
          <w:highlight w:val="green"/>
          <w:u w:val="single"/>
          <w:lang w:eastAsia="ja-JP"/>
        </w:rPr>
        <w:t xml:space="preserve">Agreement (RAN1-90bis): </w:t>
      </w:r>
    </w:p>
    <w:p w14:paraId="45382477" w14:textId="77777777" w:rsidR="00612081" w:rsidRDefault="00612081" w:rsidP="00612081">
      <w:pPr>
        <w:numPr>
          <w:ilvl w:val="0"/>
          <w:numId w:val="27"/>
        </w:numPr>
        <w:overflowPunct/>
        <w:autoSpaceDE/>
        <w:autoSpaceDN/>
        <w:adjustRightInd/>
        <w:spacing w:after="0"/>
        <w:textAlignment w:val="auto"/>
        <w:rPr>
          <w:rFonts w:ascii="Calibri" w:eastAsia="Times New Roman" w:hAnsi="Calibri" w:cs="Calibri"/>
          <w:sz w:val="22"/>
          <w:szCs w:val="22"/>
          <w:lang w:eastAsia="ja-JP"/>
        </w:rPr>
      </w:pPr>
      <w:r>
        <w:rPr>
          <w:rFonts w:eastAsia="Times New Roman"/>
          <w:lang w:eastAsia="ja-JP"/>
        </w:rPr>
        <w:t xml:space="preserve">The default RV order is {0,2,3,1} for cases where RV </w:t>
      </w:r>
      <w:r>
        <w:rPr>
          <w:rFonts w:eastAsia="Times New Roman"/>
          <w:b/>
          <w:bCs/>
          <w:u w:val="single"/>
          <w:lang w:eastAsia="ja-JP"/>
        </w:rPr>
        <w:t>index is not explicitly signalled</w:t>
      </w:r>
      <w:r>
        <w:rPr>
          <w:rFonts w:eastAsia="Times New Roman"/>
          <w:lang w:eastAsia="ja-JP"/>
        </w:rPr>
        <w:t xml:space="preserve"> or otherwise specified and there is no ambiguity about which instance of a transmission occurred, for both BG1 and BG2</w:t>
      </w:r>
    </w:p>
    <w:p w14:paraId="68E19BA5" w14:textId="4A91B91E" w:rsidR="00612081" w:rsidRDefault="00612081" w:rsidP="00461CFE">
      <w:pPr>
        <w:rPr>
          <w:lang w:eastAsia="x-none"/>
        </w:rPr>
      </w:pPr>
    </w:p>
    <w:p w14:paraId="537796E1" w14:textId="51692E01" w:rsidR="004348CB" w:rsidRDefault="004348CB" w:rsidP="00461CFE">
      <w:pPr>
        <w:rPr>
          <w:lang w:eastAsia="x-none"/>
        </w:rPr>
      </w:pPr>
      <w:r>
        <w:rPr>
          <w:lang w:eastAsia="x-none"/>
        </w:rPr>
        <w:t>Here we propose to clarify this remaining open item.</w:t>
      </w:r>
    </w:p>
    <w:p w14:paraId="58804225" w14:textId="3E39EA39" w:rsidR="00461CFE" w:rsidRDefault="004348CB" w:rsidP="00461CFE">
      <w:pPr>
        <w:rPr>
          <w:lang w:eastAsia="x-none"/>
        </w:rPr>
      </w:pPr>
      <w:r w:rsidRPr="004348CB">
        <w:rPr>
          <w:b/>
          <w:u w:val="single"/>
          <w:lang w:eastAsia="x-none"/>
        </w:rPr>
        <w:t>Proposal</w:t>
      </w:r>
      <w:r w:rsidR="0070525B">
        <w:rPr>
          <w:b/>
          <w:u w:val="single"/>
          <w:lang w:eastAsia="x-none"/>
        </w:rPr>
        <w:t xml:space="preserve"> 5</w:t>
      </w:r>
      <w:r w:rsidRPr="004348CB">
        <w:rPr>
          <w:b/>
          <w:u w:val="single"/>
          <w:lang w:eastAsia="x-none"/>
        </w:rPr>
        <w:t>:</w:t>
      </w:r>
      <w:r>
        <w:rPr>
          <w:lang w:eastAsia="x-none"/>
        </w:rPr>
        <w:t xml:space="preserve"> </w:t>
      </w:r>
      <w:r w:rsidRPr="004348CB">
        <w:rPr>
          <w:i/>
          <w:lang w:eastAsia="x-none"/>
        </w:rPr>
        <w:t xml:space="preserve">In the case </w:t>
      </w:r>
      <w:r w:rsidR="00D0734F">
        <w:rPr>
          <w:i/>
          <w:lang w:eastAsia="x-none"/>
        </w:rPr>
        <w:t>when</w:t>
      </w:r>
      <w:r w:rsidRPr="004348CB">
        <w:rPr>
          <w:i/>
          <w:lang w:eastAsia="x-none"/>
        </w:rPr>
        <w:t xml:space="preserve"> slot-aggregation is configured, for grant-based UL and DL</w:t>
      </w:r>
      <w:r w:rsidR="00D0734F">
        <w:rPr>
          <w:i/>
          <w:lang w:eastAsia="x-none"/>
        </w:rPr>
        <w:t xml:space="preserve"> transmissions</w:t>
      </w:r>
      <w:r w:rsidRPr="004348CB">
        <w:rPr>
          <w:i/>
          <w:lang w:eastAsia="x-none"/>
        </w:rPr>
        <w:t xml:space="preserve"> the RVID field in DCI is used to indicate the starting RV </w:t>
      </w:r>
      <w:r w:rsidR="00D0734F">
        <w:rPr>
          <w:i/>
          <w:lang w:eastAsia="x-none"/>
        </w:rPr>
        <w:t>within</w:t>
      </w:r>
      <w:r w:rsidRPr="004348CB">
        <w:rPr>
          <w:i/>
          <w:lang w:eastAsia="x-none"/>
        </w:rPr>
        <w:t xml:space="preserve"> the default sequence {0,2,3,1}.</w:t>
      </w:r>
      <w:r>
        <w:rPr>
          <w:lang w:eastAsia="x-none"/>
        </w:rPr>
        <w:t xml:space="preserve"> </w:t>
      </w:r>
    </w:p>
    <w:p w14:paraId="4B76637A" w14:textId="77777777" w:rsidR="00461CFE" w:rsidRDefault="00461CFE" w:rsidP="00461CFE">
      <w:pPr>
        <w:rPr>
          <w:lang w:eastAsia="x-none"/>
        </w:rPr>
      </w:pPr>
    </w:p>
    <w:p w14:paraId="7F2DC908" w14:textId="77777777" w:rsidR="00D32F40" w:rsidRPr="00F33315" w:rsidRDefault="00D32F40" w:rsidP="00D32F40"/>
    <w:p w14:paraId="1A864094" w14:textId="77777777" w:rsidR="00D32F40" w:rsidRPr="004E2428" w:rsidRDefault="00D32F40" w:rsidP="00D32F40">
      <w:pPr>
        <w:pStyle w:val="Heading1"/>
      </w:pPr>
      <w:r w:rsidRPr="004E2428">
        <w:t>Frequency domain resource allocation</w:t>
      </w:r>
    </w:p>
    <w:p w14:paraId="2B682D3B" w14:textId="77777777" w:rsidR="00D32F40" w:rsidRPr="00CF6565" w:rsidRDefault="00D32F40" w:rsidP="00D32F40">
      <w:pPr>
        <w:rPr>
          <w:lang w:val="en-GB"/>
        </w:rPr>
      </w:pPr>
      <w:r>
        <w:rPr>
          <w:lang w:val="en-GB"/>
        </w:rPr>
        <w:t>The following agreement was made at RAN1 #90bis [5] regarding frequency domain resource allocation.</w:t>
      </w:r>
    </w:p>
    <w:p w14:paraId="569C0481" w14:textId="77777777" w:rsidR="00D32F40" w:rsidRPr="00373287" w:rsidRDefault="00D32F40" w:rsidP="00D32F40">
      <w:pPr>
        <w:rPr>
          <w:b/>
          <w:highlight w:val="green"/>
          <w:u w:val="single"/>
        </w:rPr>
      </w:pPr>
      <w:r w:rsidRPr="00373287">
        <w:rPr>
          <w:b/>
          <w:highlight w:val="green"/>
          <w:u w:val="single"/>
        </w:rPr>
        <w:t>Agreements: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20"/>
        <w:gridCol w:w="1620"/>
      </w:tblGrid>
      <w:tr w:rsidR="00D32F40" w14:paraId="1B3A1470" w14:textId="77777777" w:rsidTr="007A3343">
        <w:tc>
          <w:tcPr>
            <w:tcW w:w="1980" w:type="dxa"/>
            <w:tcBorders>
              <w:top w:val="single" w:sz="4" w:space="0" w:color="auto"/>
              <w:left w:val="single" w:sz="4" w:space="0" w:color="auto"/>
              <w:bottom w:val="single" w:sz="4" w:space="0" w:color="auto"/>
              <w:right w:val="single" w:sz="4" w:space="0" w:color="auto"/>
            </w:tcBorders>
          </w:tcPr>
          <w:p w14:paraId="3A659B0F" w14:textId="77777777" w:rsidR="00D32F40" w:rsidRDefault="00D32F40" w:rsidP="007A3343"/>
        </w:tc>
        <w:tc>
          <w:tcPr>
            <w:tcW w:w="1620" w:type="dxa"/>
            <w:tcBorders>
              <w:top w:val="single" w:sz="4" w:space="0" w:color="auto"/>
              <w:left w:val="single" w:sz="4" w:space="0" w:color="auto"/>
              <w:bottom w:val="single" w:sz="4" w:space="0" w:color="auto"/>
              <w:right w:val="single" w:sz="4" w:space="0" w:color="auto"/>
            </w:tcBorders>
            <w:hideMark/>
          </w:tcPr>
          <w:p w14:paraId="66FA7240" w14:textId="77777777" w:rsidR="00D32F40" w:rsidRDefault="00D32F40" w:rsidP="007A3343">
            <w:r>
              <w:t>Config 1</w:t>
            </w:r>
          </w:p>
        </w:tc>
        <w:tc>
          <w:tcPr>
            <w:tcW w:w="1620" w:type="dxa"/>
            <w:tcBorders>
              <w:top w:val="single" w:sz="4" w:space="0" w:color="auto"/>
              <w:left w:val="single" w:sz="4" w:space="0" w:color="auto"/>
              <w:bottom w:val="single" w:sz="4" w:space="0" w:color="auto"/>
              <w:right w:val="single" w:sz="4" w:space="0" w:color="auto"/>
            </w:tcBorders>
            <w:hideMark/>
          </w:tcPr>
          <w:p w14:paraId="30FDFF5B" w14:textId="77777777" w:rsidR="00D32F40" w:rsidRDefault="00D32F40" w:rsidP="007A3343">
            <w:r>
              <w:t>Config 2</w:t>
            </w:r>
          </w:p>
        </w:tc>
      </w:tr>
      <w:tr w:rsidR="00D32F40" w14:paraId="473D2C04" w14:textId="77777777" w:rsidTr="007A3343">
        <w:tc>
          <w:tcPr>
            <w:tcW w:w="1980" w:type="dxa"/>
            <w:tcBorders>
              <w:top w:val="single" w:sz="4" w:space="0" w:color="auto"/>
              <w:left w:val="single" w:sz="4" w:space="0" w:color="auto"/>
              <w:bottom w:val="single" w:sz="4" w:space="0" w:color="auto"/>
              <w:right w:val="single" w:sz="4" w:space="0" w:color="auto"/>
            </w:tcBorders>
            <w:hideMark/>
          </w:tcPr>
          <w:p w14:paraId="1E2EC004" w14:textId="77777777" w:rsidR="00D32F40" w:rsidRDefault="00D32F40" w:rsidP="007A3343">
            <w:r>
              <w:t>X</w:t>
            </w:r>
            <w:r>
              <w:rPr>
                <w:vertAlign w:val="subscript"/>
              </w:rPr>
              <w:t>0</w:t>
            </w:r>
            <w:r>
              <w:t xml:space="preserve"> – X</w:t>
            </w:r>
            <w:r>
              <w:rPr>
                <w:vertAlign w:val="subscript"/>
              </w:rPr>
              <w:t>1</w:t>
            </w:r>
            <w:r>
              <w:t xml:space="preserve"> RBs</w:t>
            </w:r>
          </w:p>
        </w:tc>
        <w:tc>
          <w:tcPr>
            <w:tcW w:w="1620" w:type="dxa"/>
            <w:tcBorders>
              <w:top w:val="single" w:sz="4" w:space="0" w:color="auto"/>
              <w:left w:val="single" w:sz="4" w:space="0" w:color="auto"/>
              <w:bottom w:val="single" w:sz="4" w:space="0" w:color="auto"/>
              <w:right w:val="single" w:sz="4" w:space="0" w:color="auto"/>
            </w:tcBorders>
            <w:hideMark/>
          </w:tcPr>
          <w:p w14:paraId="02891D31" w14:textId="77777777" w:rsidR="00D32F40" w:rsidRDefault="00D32F40" w:rsidP="007A3343">
            <w:r>
              <w:t>RBG size 1</w:t>
            </w:r>
          </w:p>
        </w:tc>
        <w:tc>
          <w:tcPr>
            <w:tcW w:w="1620" w:type="dxa"/>
            <w:tcBorders>
              <w:top w:val="single" w:sz="4" w:space="0" w:color="auto"/>
              <w:left w:val="single" w:sz="4" w:space="0" w:color="auto"/>
              <w:bottom w:val="single" w:sz="4" w:space="0" w:color="auto"/>
              <w:right w:val="single" w:sz="4" w:space="0" w:color="auto"/>
            </w:tcBorders>
            <w:hideMark/>
          </w:tcPr>
          <w:p w14:paraId="61319C11" w14:textId="77777777" w:rsidR="00D32F40" w:rsidRDefault="00D32F40" w:rsidP="007A3343">
            <w:r>
              <w:t>RBG size 2</w:t>
            </w:r>
          </w:p>
        </w:tc>
      </w:tr>
      <w:tr w:rsidR="00D32F40" w14:paraId="6E77BB40" w14:textId="77777777" w:rsidTr="007A3343">
        <w:tc>
          <w:tcPr>
            <w:tcW w:w="1980" w:type="dxa"/>
            <w:tcBorders>
              <w:top w:val="single" w:sz="4" w:space="0" w:color="auto"/>
              <w:left w:val="single" w:sz="4" w:space="0" w:color="auto"/>
              <w:bottom w:val="single" w:sz="4" w:space="0" w:color="auto"/>
              <w:right w:val="single" w:sz="4" w:space="0" w:color="auto"/>
            </w:tcBorders>
            <w:hideMark/>
          </w:tcPr>
          <w:p w14:paraId="10CE7F41" w14:textId="77777777" w:rsidR="00D32F40" w:rsidRDefault="00D32F40" w:rsidP="007A3343">
            <w:r>
              <w:t>X</w:t>
            </w:r>
            <w:r>
              <w:rPr>
                <w:vertAlign w:val="subscript"/>
              </w:rPr>
              <w:t>1</w:t>
            </w:r>
            <w:r>
              <w:t>+1 – X</w:t>
            </w:r>
            <w:r>
              <w:rPr>
                <w:vertAlign w:val="subscript"/>
              </w:rPr>
              <w:t>2</w:t>
            </w:r>
            <w:r>
              <w:t xml:space="preserve"> RBs</w:t>
            </w:r>
          </w:p>
        </w:tc>
        <w:tc>
          <w:tcPr>
            <w:tcW w:w="1620" w:type="dxa"/>
            <w:tcBorders>
              <w:top w:val="single" w:sz="4" w:space="0" w:color="auto"/>
              <w:left w:val="single" w:sz="4" w:space="0" w:color="auto"/>
              <w:bottom w:val="single" w:sz="4" w:space="0" w:color="auto"/>
              <w:right w:val="single" w:sz="4" w:space="0" w:color="auto"/>
            </w:tcBorders>
            <w:hideMark/>
          </w:tcPr>
          <w:p w14:paraId="5CF4A65F" w14:textId="77777777" w:rsidR="00D32F40" w:rsidRDefault="00D32F40" w:rsidP="007A3343">
            <w:r>
              <w:t>RBG size 3</w:t>
            </w:r>
          </w:p>
        </w:tc>
        <w:tc>
          <w:tcPr>
            <w:tcW w:w="1620" w:type="dxa"/>
            <w:tcBorders>
              <w:top w:val="single" w:sz="4" w:space="0" w:color="auto"/>
              <w:left w:val="single" w:sz="4" w:space="0" w:color="auto"/>
              <w:bottom w:val="single" w:sz="4" w:space="0" w:color="auto"/>
              <w:right w:val="single" w:sz="4" w:space="0" w:color="auto"/>
            </w:tcBorders>
            <w:hideMark/>
          </w:tcPr>
          <w:p w14:paraId="309F6879" w14:textId="77777777" w:rsidR="00D32F40" w:rsidRDefault="00D32F40" w:rsidP="007A3343">
            <w:r>
              <w:t>RBG size 4</w:t>
            </w:r>
          </w:p>
        </w:tc>
      </w:tr>
      <w:tr w:rsidR="00D32F40" w14:paraId="0BC26B43" w14:textId="77777777" w:rsidTr="007A3343">
        <w:tc>
          <w:tcPr>
            <w:tcW w:w="1980" w:type="dxa"/>
            <w:tcBorders>
              <w:top w:val="single" w:sz="4" w:space="0" w:color="auto"/>
              <w:left w:val="single" w:sz="4" w:space="0" w:color="auto"/>
              <w:bottom w:val="single" w:sz="4" w:space="0" w:color="auto"/>
              <w:right w:val="single" w:sz="4" w:space="0" w:color="auto"/>
            </w:tcBorders>
            <w:hideMark/>
          </w:tcPr>
          <w:p w14:paraId="02578987" w14:textId="77777777" w:rsidR="00D32F40" w:rsidRDefault="00D32F40" w:rsidP="007A3343">
            <w:r>
              <w:t>…</w:t>
            </w:r>
          </w:p>
        </w:tc>
        <w:tc>
          <w:tcPr>
            <w:tcW w:w="1620" w:type="dxa"/>
            <w:tcBorders>
              <w:top w:val="single" w:sz="4" w:space="0" w:color="auto"/>
              <w:left w:val="single" w:sz="4" w:space="0" w:color="auto"/>
              <w:bottom w:val="single" w:sz="4" w:space="0" w:color="auto"/>
              <w:right w:val="single" w:sz="4" w:space="0" w:color="auto"/>
            </w:tcBorders>
            <w:hideMark/>
          </w:tcPr>
          <w:p w14:paraId="7343BC82" w14:textId="77777777" w:rsidR="00D32F40" w:rsidRDefault="00D32F40" w:rsidP="007A3343">
            <w:r>
              <w:t>…</w:t>
            </w:r>
          </w:p>
        </w:tc>
        <w:tc>
          <w:tcPr>
            <w:tcW w:w="1620" w:type="dxa"/>
            <w:tcBorders>
              <w:top w:val="single" w:sz="4" w:space="0" w:color="auto"/>
              <w:left w:val="single" w:sz="4" w:space="0" w:color="auto"/>
              <w:bottom w:val="single" w:sz="4" w:space="0" w:color="auto"/>
              <w:right w:val="single" w:sz="4" w:space="0" w:color="auto"/>
            </w:tcBorders>
            <w:hideMark/>
          </w:tcPr>
          <w:p w14:paraId="08A3B77A" w14:textId="77777777" w:rsidR="00D32F40" w:rsidRDefault="00D32F40" w:rsidP="007A3343">
            <w:r>
              <w:t>…</w:t>
            </w:r>
          </w:p>
        </w:tc>
      </w:tr>
    </w:tbl>
    <w:p w14:paraId="3C9995B3" w14:textId="77777777" w:rsidR="00D32F40" w:rsidRDefault="00D32F40" w:rsidP="00D32F40">
      <w:pPr>
        <w:rPr>
          <w:rFonts w:ascii="Times" w:hAnsi="Times"/>
          <w:lang w:val="en-GB"/>
        </w:rPr>
      </w:pPr>
    </w:p>
    <w:p w14:paraId="6B10BBE2" w14:textId="77777777" w:rsidR="00D32F40" w:rsidRDefault="00D32F40" w:rsidP="00D32F40">
      <w:pPr>
        <w:pStyle w:val="ListParagraph"/>
        <w:numPr>
          <w:ilvl w:val="0"/>
          <w:numId w:val="9"/>
        </w:numPr>
        <w:contextualSpacing/>
        <w:rPr>
          <w:szCs w:val="20"/>
        </w:rPr>
      </w:pPr>
      <w:r>
        <w:rPr>
          <w:szCs w:val="20"/>
        </w:rPr>
        <w:t>RRC selects config 1 or config 2</w:t>
      </w:r>
    </w:p>
    <w:p w14:paraId="7C04AE5B" w14:textId="77777777" w:rsidR="00D32F40" w:rsidRDefault="00D32F40" w:rsidP="00D32F40">
      <w:pPr>
        <w:pStyle w:val="ListParagraph"/>
        <w:numPr>
          <w:ilvl w:val="0"/>
          <w:numId w:val="9"/>
        </w:numPr>
        <w:contextualSpacing/>
        <w:rPr>
          <w:szCs w:val="20"/>
        </w:rPr>
      </w:pPr>
      <w:r>
        <w:rPr>
          <w:szCs w:val="20"/>
        </w:rPr>
        <w:t>One config (config 1) is the default until RRC configures otherwise</w:t>
      </w:r>
    </w:p>
    <w:p w14:paraId="5AA1D091" w14:textId="77777777" w:rsidR="00D32F40" w:rsidRDefault="00D32F40" w:rsidP="00D32F40">
      <w:pPr>
        <w:pStyle w:val="ListParagraph"/>
        <w:numPr>
          <w:ilvl w:val="0"/>
          <w:numId w:val="9"/>
        </w:numPr>
        <w:contextualSpacing/>
        <w:rPr>
          <w:szCs w:val="20"/>
        </w:rPr>
      </w:pPr>
      <w:r>
        <w:rPr>
          <w:szCs w:val="20"/>
        </w:rPr>
        <w:t>The numbers ‘RBG size’ in the table are fixed in the spec</w:t>
      </w:r>
    </w:p>
    <w:p w14:paraId="0CCB4018" w14:textId="77777777" w:rsidR="00D32F40" w:rsidRDefault="00D32F40" w:rsidP="00D32F40">
      <w:pPr>
        <w:pStyle w:val="ListParagraph"/>
        <w:numPr>
          <w:ilvl w:val="0"/>
          <w:numId w:val="9"/>
        </w:numPr>
        <w:contextualSpacing/>
        <w:rPr>
          <w:szCs w:val="20"/>
        </w:rPr>
      </w:pPr>
      <w:r>
        <w:rPr>
          <w:szCs w:val="20"/>
        </w:rPr>
        <w:t>The number of rows should be no more than [4-6]</w:t>
      </w:r>
    </w:p>
    <w:p w14:paraId="6C667E08" w14:textId="77777777" w:rsidR="00D32F40" w:rsidRDefault="00D32F40" w:rsidP="00D32F40">
      <w:pPr>
        <w:pStyle w:val="ListParagraph"/>
        <w:numPr>
          <w:ilvl w:val="0"/>
          <w:numId w:val="9"/>
        </w:numPr>
        <w:contextualSpacing/>
        <w:rPr>
          <w:szCs w:val="20"/>
        </w:rPr>
      </w:pPr>
      <w:r>
        <w:rPr>
          <w:szCs w:val="20"/>
        </w:rPr>
        <w:t>Same table for DL and UL</w:t>
      </w:r>
    </w:p>
    <w:p w14:paraId="32FDE448" w14:textId="77777777" w:rsidR="00D32F40" w:rsidRDefault="00D32F40" w:rsidP="00D32F40">
      <w:pPr>
        <w:pStyle w:val="ListParagraph"/>
        <w:numPr>
          <w:ilvl w:val="1"/>
          <w:numId w:val="9"/>
        </w:numPr>
        <w:contextualSpacing/>
        <w:rPr>
          <w:szCs w:val="20"/>
        </w:rPr>
      </w:pPr>
      <w:r>
        <w:rPr>
          <w:szCs w:val="20"/>
        </w:rPr>
        <w:t>The configuration for DL &amp; UL is separate</w:t>
      </w:r>
    </w:p>
    <w:p w14:paraId="512B5CDF" w14:textId="77777777" w:rsidR="00D32F40" w:rsidRDefault="00D32F40" w:rsidP="00D32F40">
      <w:pPr>
        <w:pStyle w:val="ListParagraph"/>
        <w:numPr>
          <w:ilvl w:val="0"/>
          <w:numId w:val="9"/>
        </w:numPr>
        <w:contextualSpacing/>
        <w:rPr>
          <w:szCs w:val="20"/>
        </w:rPr>
      </w:pPr>
      <w:r>
        <w:rPr>
          <w:szCs w:val="20"/>
        </w:rPr>
        <w:t>Same RBG size irrespective of the duration (slot vs. non-slot)</w:t>
      </w:r>
    </w:p>
    <w:p w14:paraId="0796B221" w14:textId="77777777" w:rsidR="00D32F40" w:rsidRDefault="00D32F40" w:rsidP="00D32F40">
      <w:pPr>
        <w:contextualSpacing/>
      </w:pPr>
    </w:p>
    <w:p w14:paraId="3B3C4AAB" w14:textId="77777777" w:rsidR="00D32F40" w:rsidRDefault="00D32F40" w:rsidP="00D32F40">
      <w:pPr>
        <w:contextualSpacing/>
      </w:pPr>
      <w:r>
        <w:t>This was not further refined in RAN1 #91. Not that one important aspect to consider is DCI overhead when addressing wider bandwidths. It is beneficial not to the have the DCI overhead not to scale with bandwidth. Furthermore, the benefit of having to configurations is that there can be two levels of granularity for allocations which scale with bandwidth, while ensuring there is at least a fallback with efficient DCI overhead for better coverage. This was raised in a previous contribution [6].</w:t>
      </w:r>
    </w:p>
    <w:p w14:paraId="1309622F" w14:textId="77777777" w:rsidR="00D32F40" w:rsidRDefault="00D32F40" w:rsidP="00D32F40">
      <w:pPr>
        <w:contextualSpacing/>
      </w:pPr>
    </w:p>
    <w:p w14:paraId="6A08534E" w14:textId="48145616" w:rsidR="00D32F40" w:rsidRPr="00FE4627" w:rsidRDefault="00D32F40" w:rsidP="00D32F40">
      <w:pPr>
        <w:contextualSpacing/>
        <w:rPr>
          <w:i/>
        </w:rPr>
      </w:pPr>
      <w:r w:rsidRPr="00B60EE9">
        <w:rPr>
          <w:b/>
          <w:u w:val="single"/>
        </w:rPr>
        <w:t>Proposal</w:t>
      </w:r>
      <w:r>
        <w:rPr>
          <w:b/>
          <w:u w:val="single"/>
        </w:rPr>
        <w:t xml:space="preserve"> </w:t>
      </w:r>
      <w:r w:rsidR="0070525B">
        <w:rPr>
          <w:b/>
          <w:u w:val="single"/>
        </w:rPr>
        <w:t>6</w:t>
      </w:r>
      <w:r w:rsidRPr="00B60EE9">
        <w:rPr>
          <w:b/>
          <w:u w:val="single"/>
        </w:rPr>
        <w:t>:</w:t>
      </w:r>
      <w:r>
        <w:rPr>
          <w:b/>
        </w:rPr>
        <w:t xml:space="preserve"> </w:t>
      </w:r>
      <w:r w:rsidRPr="00FE4627">
        <w:rPr>
          <w:i/>
        </w:rPr>
        <w:t>The RBG sizes in the above table should satisfy the following requirements</w:t>
      </w:r>
    </w:p>
    <w:p w14:paraId="5C70B3F2" w14:textId="77777777" w:rsidR="00D32F40" w:rsidRPr="00FE4627" w:rsidRDefault="00D32F40" w:rsidP="00D32F40">
      <w:pPr>
        <w:pStyle w:val="ListParagraph"/>
        <w:numPr>
          <w:ilvl w:val="0"/>
          <w:numId w:val="11"/>
        </w:numPr>
        <w:contextualSpacing/>
        <w:rPr>
          <w:i/>
        </w:rPr>
      </w:pPr>
      <w:r w:rsidRPr="00FE4627">
        <w:rPr>
          <w:i/>
        </w:rPr>
        <w:t>For both configurations, the RBG sizes should scale up proportionally with bandwidth.</w:t>
      </w:r>
    </w:p>
    <w:p w14:paraId="6AB4383B" w14:textId="77777777" w:rsidR="00D32F40" w:rsidRPr="00FE4627" w:rsidRDefault="00D32F40" w:rsidP="00D32F40">
      <w:pPr>
        <w:pStyle w:val="ListParagraph"/>
        <w:numPr>
          <w:ilvl w:val="0"/>
          <w:numId w:val="11"/>
        </w:numPr>
        <w:contextualSpacing/>
        <w:rPr>
          <w:i/>
        </w:rPr>
      </w:pPr>
      <w:r w:rsidRPr="00FE4627">
        <w:rPr>
          <w:i/>
        </w:rPr>
        <w:t>Config 1 should have only RBG sizes 8 and 16 to allow for smaller DCI sizes and coarser scheduling granularity</w:t>
      </w:r>
    </w:p>
    <w:p w14:paraId="1EDE302A" w14:textId="77777777" w:rsidR="00D32F40" w:rsidRPr="00FE4627" w:rsidRDefault="00D32F40" w:rsidP="00D32F40">
      <w:pPr>
        <w:pStyle w:val="ListParagraph"/>
        <w:numPr>
          <w:ilvl w:val="1"/>
          <w:numId w:val="11"/>
        </w:numPr>
        <w:contextualSpacing/>
        <w:rPr>
          <w:i/>
        </w:rPr>
      </w:pPr>
      <w:r w:rsidRPr="00FE4627">
        <w:rPr>
          <w:i/>
        </w:rPr>
        <w:t>This should be the fallback (or default) configuration</w:t>
      </w:r>
    </w:p>
    <w:p w14:paraId="4CEA70FB" w14:textId="77777777" w:rsidR="00D32F40" w:rsidRPr="00FE4627" w:rsidRDefault="00D32F40" w:rsidP="00D32F40">
      <w:pPr>
        <w:pStyle w:val="ListParagraph"/>
        <w:numPr>
          <w:ilvl w:val="0"/>
          <w:numId w:val="11"/>
        </w:numPr>
        <w:contextualSpacing/>
        <w:rPr>
          <w:i/>
        </w:rPr>
      </w:pPr>
      <w:r w:rsidRPr="00FE4627">
        <w:rPr>
          <w:i/>
        </w:rPr>
        <w:t>Config 2 may have additional RBG sizes of 2,4,8 and 16 to allow for larger DCI szes and finer scheduling granularity.</w:t>
      </w:r>
    </w:p>
    <w:p w14:paraId="58FD3016" w14:textId="77777777" w:rsidR="00D32F40" w:rsidRDefault="00D32F40" w:rsidP="00D32F40">
      <w:pPr>
        <w:contextualSpacing/>
      </w:pPr>
    </w:p>
    <w:p w14:paraId="042AB335" w14:textId="77777777" w:rsidR="00D32F40" w:rsidRDefault="00D32F40" w:rsidP="00D32F40">
      <w:pPr>
        <w:contextualSpacing/>
      </w:pPr>
      <w:r>
        <w:t xml:space="preserve">Finally, the configurability should be matched with the supported PRG sizes which are {2,4,full bandwidth}. One natural and consistent proposal to realize this would be the following table which is matched to </w:t>
      </w:r>
      <w:r w:rsidRPr="000A05CD">
        <w:t>“Table 5.2.1.4-2: Configurable subband sizes”</w:t>
      </w:r>
      <w:r>
        <w:t xml:space="preserve"> of TS 38.214.</w:t>
      </w:r>
    </w:p>
    <w:p w14:paraId="7529AB5A" w14:textId="77777777" w:rsidR="00D32F40" w:rsidRDefault="00D32F40" w:rsidP="00D32F40">
      <w:pPr>
        <w:contextualSpacing/>
      </w:pPr>
    </w:p>
    <w:p w14:paraId="5A9F9740" w14:textId="46834617" w:rsidR="00D32F40" w:rsidRDefault="00D32F40" w:rsidP="00D32F40">
      <w:pPr>
        <w:contextualSpacing/>
      </w:pPr>
      <w:r w:rsidRPr="000A05CD">
        <w:rPr>
          <w:b/>
          <w:u w:val="single"/>
        </w:rPr>
        <w:t xml:space="preserve">Proposal </w:t>
      </w:r>
      <w:r w:rsidR="0070525B">
        <w:rPr>
          <w:b/>
          <w:u w:val="single"/>
        </w:rPr>
        <w:t>7</w:t>
      </w:r>
      <w:r w:rsidRPr="000A05CD">
        <w:rPr>
          <w:b/>
          <w:u w:val="single"/>
        </w:rPr>
        <w:t>:</w:t>
      </w:r>
      <w:r>
        <w:t xml:space="preserve"> </w:t>
      </w:r>
      <w:r w:rsidRPr="000A05CD">
        <w:rPr>
          <w:i/>
        </w:rPr>
        <w:t>The RBG sizes for config 1 and config 2 which can be selected by RRC are given in the table below.</w:t>
      </w:r>
    </w:p>
    <w:p w14:paraId="377A6052" w14:textId="77777777" w:rsidR="00D32F40" w:rsidRDefault="00D32F40" w:rsidP="00D32F40">
      <w:pPr>
        <w:contextualSpacing/>
      </w:pP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20"/>
        <w:gridCol w:w="1620"/>
      </w:tblGrid>
      <w:tr w:rsidR="00D32F40" w14:paraId="53CFB3F9" w14:textId="77777777" w:rsidTr="007A3343">
        <w:tc>
          <w:tcPr>
            <w:tcW w:w="1980" w:type="dxa"/>
            <w:tcBorders>
              <w:top w:val="single" w:sz="4" w:space="0" w:color="auto"/>
              <w:left w:val="single" w:sz="4" w:space="0" w:color="auto"/>
              <w:bottom w:val="single" w:sz="4" w:space="0" w:color="auto"/>
              <w:right w:val="single" w:sz="4" w:space="0" w:color="auto"/>
            </w:tcBorders>
          </w:tcPr>
          <w:p w14:paraId="6CCDFD1B" w14:textId="541904C0" w:rsidR="00D32F40" w:rsidRDefault="004819E2" w:rsidP="007A3343">
            <w:r>
              <w:t>BWP</w:t>
            </w:r>
            <w:r w:rsidR="00120C56">
              <w:t xml:space="preserve"> size</w:t>
            </w:r>
          </w:p>
        </w:tc>
        <w:tc>
          <w:tcPr>
            <w:tcW w:w="1620" w:type="dxa"/>
            <w:tcBorders>
              <w:top w:val="single" w:sz="4" w:space="0" w:color="auto"/>
              <w:left w:val="single" w:sz="4" w:space="0" w:color="auto"/>
              <w:bottom w:val="single" w:sz="4" w:space="0" w:color="auto"/>
              <w:right w:val="single" w:sz="4" w:space="0" w:color="auto"/>
            </w:tcBorders>
            <w:hideMark/>
          </w:tcPr>
          <w:p w14:paraId="3573F46A" w14:textId="77777777" w:rsidR="00D32F40" w:rsidRDefault="00D32F40" w:rsidP="007A3343">
            <w:r>
              <w:t>Config 1</w:t>
            </w:r>
          </w:p>
        </w:tc>
        <w:tc>
          <w:tcPr>
            <w:tcW w:w="1620" w:type="dxa"/>
            <w:tcBorders>
              <w:top w:val="single" w:sz="4" w:space="0" w:color="auto"/>
              <w:left w:val="single" w:sz="4" w:space="0" w:color="auto"/>
              <w:bottom w:val="single" w:sz="4" w:space="0" w:color="auto"/>
              <w:right w:val="single" w:sz="4" w:space="0" w:color="auto"/>
            </w:tcBorders>
            <w:hideMark/>
          </w:tcPr>
          <w:p w14:paraId="3C7446DF" w14:textId="77777777" w:rsidR="00D32F40" w:rsidRDefault="00D32F40" w:rsidP="007A3343">
            <w:r>
              <w:t>Config 2</w:t>
            </w:r>
          </w:p>
        </w:tc>
      </w:tr>
      <w:tr w:rsidR="00D32F40" w14:paraId="3987A736" w14:textId="77777777" w:rsidTr="007A3343">
        <w:tc>
          <w:tcPr>
            <w:tcW w:w="1980" w:type="dxa"/>
            <w:tcBorders>
              <w:top w:val="single" w:sz="4" w:space="0" w:color="auto"/>
              <w:left w:val="single" w:sz="4" w:space="0" w:color="auto"/>
              <w:bottom w:val="single" w:sz="4" w:space="0" w:color="auto"/>
              <w:right w:val="single" w:sz="4" w:space="0" w:color="auto"/>
            </w:tcBorders>
            <w:hideMark/>
          </w:tcPr>
          <w:p w14:paraId="623844ED" w14:textId="77777777" w:rsidR="00D32F40" w:rsidRDefault="00D32F40" w:rsidP="007A3343">
            <w:r>
              <w:t>&lt; 24 RBs</w:t>
            </w:r>
          </w:p>
        </w:tc>
        <w:tc>
          <w:tcPr>
            <w:tcW w:w="1620" w:type="dxa"/>
            <w:tcBorders>
              <w:top w:val="single" w:sz="4" w:space="0" w:color="auto"/>
              <w:left w:val="single" w:sz="4" w:space="0" w:color="auto"/>
              <w:bottom w:val="single" w:sz="4" w:space="0" w:color="auto"/>
              <w:right w:val="single" w:sz="4" w:space="0" w:color="auto"/>
            </w:tcBorders>
            <w:hideMark/>
          </w:tcPr>
          <w:p w14:paraId="23B92066" w14:textId="437B9B7C" w:rsidR="00D32F40" w:rsidRDefault="00C10F09" w:rsidP="007A3343">
            <w:r>
              <w:t>4</w:t>
            </w:r>
          </w:p>
        </w:tc>
        <w:tc>
          <w:tcPr>
            <w:tcW w:w="1620" w:type="dxa"/>
            <w:tcBorders>
              <w:top w:val="single" w:sz="4" w:space="0" w:color="auto"/>
              <w:left w:val="single" w:sz="4" w:space="0" w:color="auto"/>
              <w:bottom w:val="single" w:sz="4" w:space="0" w:color="auto"/>
              <w:right w:val="single" w:sz="4" w:space="0" w:color="auto"/>
            </w:tcBorders>
            <w:hideMark/>
          </w:tcPr>
          <w:p w14:paraId="101CBCE7" w14:textId="44A4C076" w:rsidR="00D32F40" w:rsidRDefault="00C10F09" w:rsidP="007A3343">
            <w:r>
              <w:t>2</w:t>
            </w:r>
          </w:p>
        </w:tc>
      </w:tr>
      <w:tr w:rsidR="00D32F40" w14:paraId="63CDA691" w14:textId="77777777" w:rsidTr="007A3343">
        <w:tc>
          <w:tcPr>
            <w:tcW w:w="1980" w:type="dxa"/>
            <w:tcBorders>
              <w:top w:val="single" w:sz="4" w:space="0" w:color="auto"/>
              <w:left w:val="single" w:sz="4" w:space="0" w:color="auto"/>
              <w:bottom w:val="single" w:sz="4" w:space="0" w:color="auto"/>
              <w:right w:val="single" w:sz="4" w:space="0" w:color="auto"/>
            </w:tcBorders>
            <w:hideMark/>
          </w:tcPr>
          <w:p w14:paraId="24268C6C" w14:textId="77777777" w:rsidR="00D32F40" w:rsidRDefault="00D32F40" w:rsidP="007A3343">
            <w:r>
              <w:t xml:space="preserve">24 – 72 RBs </w:t>
            </w:r>
          </w:p>
        </w:tc>
        <w:tc>
          <w:tcPr>
            <w:tcW w:w="1620" w:type="dxa"/>
            <w:tcBorders>
              <w:top w:val="single" w:sz="4" w:space="0" w:color="auto"/>
              <w:left w:val="single" w:sz="4" w:space="0" w:color="auto"/>
              <w:bottom w:val="single" w:sz="4" w:space="0" w:color="auto"/>
              <w:right w:val="single" w:sz="4" w:space="0" w:color="auto"/>
            </w:tcBorders>
            <w:hideMark/>
          </w:tcPr>
          <w:p w14:paraId="75E5E1D9" w14:textId="77777777" w:rsidR="00D32F40" w:rsidRDefault="00D32F40" w:rsidP="007A3343">
            <w:r>
              <w:t>8</w:t>
            </w:r>
          </w:p>
        </w:tc>
        <w:tc>
          <w:tcPr>
            <w:tcW w:w="1620" w:type="dxa"/>
            <w:tcBorders>
              <w:top w:val="single" w:sz="4" w:space="0" w:color="auto"/>
              <w:left w:val="single" w:sz="4" w:space="0" w:color="auto"/>
              <w:bottom w:val="single" w:sz="4" w:space="0" w:color="auto"/>
              <w:right w:val="single" w:sz="4" w:space="0" w:color="auto"/>
            </w:tcBorders>
            <w:hideMark/>
          </w:tcPr>
          <w:p w14:paraId="0F164123" w14:textId="77777777" w:rsidR="00D32F40" w:rsidRDefault="00D32F40" w:rsidP="007A3343">
            <w:r>
              <w:t>4</w:t>
            </w:r>
          </w:p>
        </w:tc>
      </w:tr>
      <w:tr w:rsidR="00D32F40" w14:paraId="7A6967D3" w14:textId="77777777" w:rsidTr="007A3343">
        <w:tc>
          <w:tcPr>
            <w:tcW w:w="1980" w:type="dxa"/>
            <w:tcBorders>
              <w:top w:val="single" w:sz="4" w:space="0" w:color="auto"/>
              <w:left w:val="single" w:sz="4" w:space="0" w:color="auto"/>
              <w:bottom w:val="single" w:sz="4" w:space="0" w:color="auto"/>
              <w:right w:val="single" w:sz="4" w:space="0" w:color="auto"/>
            </w:tcBorders>
            <w:hideMark/>
          </w:tcPr>
          <w:p w14:paraId="637BF41F" w14:textId="77777777" w:rsidR="00D32F40" w:rsidRDefault="00D32F40" w:rsidP="007A3343">
            <w:r>
              <w:t>73 – 144 RBs</w:t>
            </w:r>
          </w:p>
        </w:tc>
        <w:tc>
          <w:tcPr>
            <w:tcW w:w="1620" w:type="dxa"/>
            <w:tcBorders>
              <w:top w:val="single" w:sz="4" w:space="0" w:color="auto"/>
              <w:left w:val="single" w:sz="4" w:space="0" w:color="auto"/>
              <w:bottom w:val="single" w:sz="4" w:space="0" w:color="auto"/>
              <w:right w:val="single" w:sz="4" w:space="0" w:color="auto"/>
            </w:tcBorders>
            <w:hideMark/>
          </w:tcPr>
          <w:p w14:paraId="2551353C" w14:textId="77777777" w:rsidR="00D32F40" w:rsidRDefault="00D32F40" w:rsidP="007A3343">
            <w:r>
              <w:t>16</w:t>
            </w:r>
          </w:p>
        </w:tc>
        <w:tc>
          <w:tcPr>
            <w:tcW w:w="1620" w:type="dxa"/>
            <w:tcBorders>
              <w:top w:val="single" w:sz="4" w:space="0" w:color="auto"/>
              <w:left w:val="single" w:sz="4" w:space="0" w:color="auto"/>
              <w:bottom w:val="single" w:sz="4" w:space="0" w:color="auto"/>
              <w:right w:val="single" w:sz="4" w:space="0" w:color="auto"/>
            </w:tcBorders>
            <w:hideMark/>
          </w:tcPr>
          <w:p w14:paraId="37740ED2" w14:textId="77777777" w:rsidR="00D32F40" w:rsidRDefault="00D32F40" w:rsidP="007A3343">
            <w:r>
              <w:t>8</w:t>
            </w:r>
          </w:p>
        </w:tc>
      </w:tr>
      <w:tr w:rsidR="00D32F40" w14:paraId="67F10EF1" w14:textId="77777777" w:rsidTr="007A3343">
        <w:tc>
          <w:tcPr>
            <w:tcW w:w="1980" w:type="dxa"/>
            <w:tcBorders>
              <w:top w:val="single" w:sz="4" w:space="0" w:color="auto"/>
              <w:left w:val="single" w:sz="4" w:space="0" w:color="auto"/>
              <w:bottom w:val="single" w:sz="4" w:space="0" w:color="auto"/>
              <w:right w:val="single" w:sz="4" w:space="0" w:color="auto"/>
            </w:tcBorders>
          </w:tcPr>
          <w:p w14:paraId="38C10C2E" w14:textId="77777777" w:rsidR="00D32F40" w:rsidRDefault="00D32F40" w:rsidP="007A3343">
            <w:r>
              <w:t>144 – 275 RBs</w:t>
            </w:r>
          </w:p>
        </w:tc>
        <w:tc>
          <w:tcPr>
            <w:tcW w:w="1620" w:type="dxa"/>
            <w:tcBorders>
              <w:top w:val="single" w:sz="4" w:space="0" w:color="auto"/>
              <w:left w:val="single" w:sz="4" w:space="0" w:color="auto"/>
              <w:bottom w:val="single" w:sz="4" w:space="0" w:color="auto"/>
              <w:right w:val="single" w:sz="4" w:space="0" w:color="auto"/>
            </w:tcBorders>
          </w:tcPr>
          <w:p w14:paraId="60FD045F" w14:textId="77777777" w:rsidR="00D32F40" w:rsidRDefault="00D32F40" w:rsidP="007A3343">
            <w:r>
              <w:t>16</w:t>
            </w:r>
          </w:p>
        </w:tc>
        <w:tc>
          <w:tcPr>
            <w:tcW w:w="1620" w:type="dxa"/>
            <w:tcBorders>
              <w:top w:val="single" w:sz="4" w:space="0" w:color="auto"/>
              <w:left w:val="single" w:sz="4" w:space="0" w:color="auto"/>
              <w:bottom w:val="single" w:sz="4" w:space="0" w:color="auto"/>
              <w:right w:val="single" w:sz="4" w:space="0" w:color="auto"/>
            </w:tcBorders>
          </w:tcPr>
          <w:p w14:paraId="659D8B2C" w14:textId="77777777" w:rsidR="00D32F40" w:rsidRDefault="00D32F40" w:rsidP="007A3343">
            <w:r>
              <w:t>16</w:t>
            </w:r>
          </w:p>
        </w:tc>
      </w:tr>
    </w:tbl>
    <w:p w14:paraId="25D72C56" w14:textId="77777777" w:rsidR="00D32F40" w:rsidRDefault="00D32F40" w:rsidP="00D32F40">
      <w:pPr>
        <w:contextualSpacing/>
      </w:pPr>
    </w:p>
    <w:p w14:paraId="4ACCB197" w14:textId="77777777" w:rsidR="00D32F40" w:rsidRDefault="00D32F40" w:rsidP="00D32F40">
      <w:pPr>
        <w:contextualSpacing/>
      </w:pPr>
      <w:r>
        <w:t>Additionally, for the 38.214 subclause 5.1.2.2.2 on downlink resource allocation type 1 does not preclude misalignment between the start/end of the allocation and the PRG grid. Including such a notion would help address the efficiency and improve the performance of the system. We therefore have the following proposal.</w:t>
      </w:r>
    </w:p>
    <w:p w14:paraId="29C5B93C" w14:textId="77777777" w:rsidR="00D32F40" w:rsidRDefault="00D32F40" w:rsidP="00D32F40">
      <w:pPr>
        <w:contextualSpacing/>
      </w:pPr>
    </w:p>
    <w:p w14:paraId="3280452D" w14:textId="2743CC88" w:rsidR="00076FD1" w:rsidRDefault="00076FD1" w:rsidP="00076FD1">
      <w:pPr>
        <w:rPr>
          <w:lang w:val="en-GB"/>
        </w:rPr>
      </w:pPr>
    </w:p>
    <w:p w14:paraId="09079F69" w14:textId="2744356B" w:rsidR="00031D58" w:rsidRDefault="005505BA" w:rsidP="00587EA1">
      <w:pPr>
        <w:pStyle w:val="Heading1"/>
      </w:pPr>
      <w:r>
        <w:t xml:space="preserve">Corrections to </w:t>
      </w:r>
      <w:r w:rsidR="00587EA1">
        <w:t xml:space="preserve">VRB-to-PRB </w:t>
      </w:r>
      <w:r w:rsidR="00D0734F">
        <w:t xml:space="preserve">interleave </w:t>
      </w:r>
      <w:r w:rsidR="00587EA1">
        <w:t>mapping</w:t>
      </w:r>
    </w:p>
    <w:p w14:paraId="35F3C398" w14:textId="77777777" w:rsidR="005505BA" w:rsidRDefault="005505BA" w:rsidP="005505BA">
      <w:pPr>
        <w:rPr>
          <w:lang w:val="en-GB"/>
        </w:rPr>
      </w:pPr>
      <w:r>
        <w:rPr>
          <w:lang w:val="en-GB"/>
        </w:rPr>
        <w:t>The agreement from RAN1 AH 1801 stated the following</w:t>
      </w:r>
    </w:p>
    <w:p w14:paraId="63A36792" w14:textId="77777777" w:rsidR="005505BA" w:rsidRPr="006C318F" w:rsidRDefault="000223D4" w:rsidP="005505BA">
      <w:pPr>
        <w:rPr>
          <w:b/>
          <w:lang w:eastAsia="x-none"/>
        </w:rPr>
      </w:pPr>
      <w:hyperlink r:id="rId14" w:history="1">
        <w:r w:rsidR="005505BA" w:rsidRPr="006C318F">
          <w:rPr>
            <w:rStyle w:val="Hyperlink"/>
            <w:b/>
            <w:lang w:eastAsia="x-none"/>
          </w:rPr>
          <w:t>R1-1801176</w:t>
        </w:r>
      </w:hyperlink>
    </w:p>
    <w:p w14:paraId="0EC94593" w14:textId="77777777" w:rsidR="005505BA" w:rsidRPr="0021104F" w:rsidRDefault="005505BA" w:rsidP="005505BA">
      <w:pPr>
        <w:rPr>
          <w:lang w:eastAsia="x-none"/>
        </w:rPr>
      </w:pPr>
      <w:r w:rsidRPr="0021104F">
        <w:rPr>
          <w:highlight w:val="green"/>
          <w:lang w:eastAsia="x-none"/>
        </w:rPr>
        <w:t>Agreements</w:t>
      </w:r>
      <w:r w:rsidRPr="0021104F">
        <w:rPr>
          <w:lang w:eastAsia="x-none"/>
        </w:rPr>
        <w:t>:</w:t>
      </w:r>
    </w:p>
    <w:p w14:paraId="5A7EE3B4" w14:textId="77777777" w:rsidR="005505BA" w:rsidRDefault="005505BA" w:rsidP="005505BA">
      <w:pPr>
        <w:numPr>
          <w:ilvl w:val="0"/>
          <w:numId w:val="29"/>
        </w:numPr>
        <w:overflowPunct/>
        <w:autoSpaceDE/>
        <w:autoSpaceDN/>
        <w:adjustRightInd/>
        <w:spacing w:after="0"/>
        <w:textAlignment w:val="auto"/>
        <w:rPr>
          <w:lang w:eastAsia="x-none"/>
        </w:rPr>
      </w:pPr>
      <w:r w:rsidRPr="0021104F">
        <w:rPr>
          <w:lang w:eastAsia="x-none"/>
        </w:rPr>
        <w:t xml:space="preserve">The TP in the document containing 7.3.1.6 of 38.211 in </w:t>
      </w:r>
      <w:hyperlink r:id="rId15" w:history="1">
        <w:r>
          <w:rPr>
            <w:rStyle w:val="Hyperlink"/>
            <w:lang w:eastAsia="x-none"/>
          </w:rPr>
          <w:t>R1-1801176</w:t>
        </w:r>
      </w:hyperlink>
      <w:r w:rsidRPr="0021104F">
        <w:rPr>
          <w:lang w:eastAsia="x-none"/>
        </w:rPr>
        <w:t xml:space="preserve"> is adopted</w:t>
      </w:r>
    </w:p>
    <w:p w14:paraId="50F25F49" w14:textId="77777777" w:rsidR="005505BA" w:rsidRDefault="005505BA" w:rsidP="005505BA">
      <w:pPr>
        <w:rPr>
          <w:lang w:val="en-GB"/>
        </w:rPr>
      </w:pPr>
    </w:p>
    <w:p w14:paraId="7D3E46C3" w14:textId="77777777" w:rsidR="005505BA" w:rsidRDefault="005505BA" w:rsidP="005505BA">
      <w:pPr>
        <w:rPr>
          <w:lang w:val="en-GB"/>
        </w:rPr>
      </w:pPr>
      <w:r>
        <w:rPr>
          <w:lang w:val="en-GB"/>
        </w:rPr>
        <w:t>However, as was discussed offline there can be a potential issue with the text proposal, which is why R1-1801176 included a guidance document which stated that the TP be used as a starting point. Here we point out the issue and provide minor fix to the specification text to address the issue.</w:t>
      </w:r>
    </w:p>
    <w:p w14:paraId="592D9F79" w14:textId="77777777" w:rsidR="005505BA" w:rsidRPr="00D66E08" w:rsidRDefault="005505BA" w:rsidP="005505BA">
      <w:pPr>
        <w:rPr>
          <w:lang w:val="en-GB"/>
        </w:rPr>
      </w:pPr>
    </w:p>
    <w:p w14:paraId="464BCFE1" w14:textId="77777777" w:rsidR="005505BA" w:rsidRDefault="005505BA" w:rsidP="005505BA">
      <w:pPr>
        <w:pStyle w:val="Heading2"/>
      </w:pPr>
      <w:r>
        <w:t>Issues with TP in R1-1801176</w:t>
      </w:r>
    </w:p>
    <w:p w14:paraId="6572CC4B" w14:textId="77777777" w:rsidR="005505BA" w:rsidRDefault="005505BA" w:rsidP="005505BA">
      <w:pPr>
        <w:rPr>
          <w:color w:val="000000"/>
        </w:rPr>
      </w:pPr>
      <w:r>
        <w:rPr>
          <w:color w:val="000000"/>
        </w:rPr>
        <w:t>Following the text in R1-1801176,</w:t>
      </w:r>
    </w:p>
    <w:p w14:paraId="0014461F" w14:textId="77777777" w:rsidR="005505BA" w:rsidRDefault="005505BA" w:rsidP="005505BA">
      <w:pPr>
        <w:rPr>
          <w:color w:val="000000"/>
        </w:rPr>
      </w:pPr>
    </w:p>
    <w:p w14:paraId="24D2C3D1" w14:textId="77777777" w:rsidR="005505BA" w:rsidRDefault="005505BA" w:rsidP="005505BA">
      <w:pPr>
        <w:pStyle w:val="Heading4"/>
        <w:numPr>
          <w:ilvl w:val="0"/>
          <w:numId w:val="0"/>
        </w:numPr>
      </w:pPr>
      <w:bookmarkStart w:id="3" w:name="_Toc500952720"/>
      <w:bookmarkStart w:id="4" w:name="_Hlk494278129"/>
      <w:bookmarkStart w:id="5" w:name="_Hlk494798832"/>
      <w:r>
        <w:t>7.3.1.6</w:t>
      </w:r>
      <w:r>
        <w:tab/>
        <w:t>Mapping from virtual to physical resource blocks</w:t>
      </w:r>
      <w:bookmarkEnd w:id="3"/>
    </w:p>
    <w:p w14:paraId="44AEF761" w14:textId="77777777" w:rsidR="005505BA" w:rsidRDefault="005505BA" w:rsidP="005505BA">
      <w:r>
        <w:t>The UE shall assume the virtual resource blocks are mapped to physical resource blocks according to the indicated mapping scheme, non-interleaved or interleaved mapping.</w:t>
      </w:r>
    </w:p>
    <w:p w14:paraId="07550C2C" w14:textId="77777777" w:rsidR="005505BA" w:rsidRDefault="005505BA" w:rsidP="005505BA">
      <w:r>
        <w:t xml:space="preserve">For non-interleaved VRB-to-PRB mapping, virtual resource block </w:t>
      </w:r>
      <w:r w:rsidRPr="007C7FD5">
        <w:rPr>
          <w:position w:val="-6"/>
        </w:rPr>
        <w:object w:dxaOrig="180" w:dyaOrig="200" w14:anchorId="7CA9E569">
          <v:shape id="_x0000_i1026" type="#_x0000_t75" style="width:9.4pt;height:9.4pt" o:ole="">
            <v:imagedata r:id="rId16" o:title=""/>
          </v:shape>
          <o:OLEObject Type="Embed" ProgID="Equation.3" ShapeID="_x0000_i1026" DrawAspect="Content" ObjectID="_1580320070" r:id="rId17"/>
        </w:object>
      </w:r>
      <w:r>
        <w:t xml:space="preserve"> is mapped to physical resource block </w:t>
      </w:r>
      <w:r w:rsidRPr="00B01AB2">
        <w:rPr>
          <w:position w:val="-6"/>
        </w:rPr>
        <w:object w:dxaOrig="180" w:dyaOrig="200" w14:anchorId="1CD2FB23">
          <v:shape id="_x0000_i1027" type="#_x0000_t75" style="width:9.4pt;height:9.4pt" o:ole="">
            <v:imagedata r:id="rId16" o:title=""/>
          </v:shape>
          <o:OLEObject Type="Embed" ProgID="Equation.3" ShapeID="_x0000_i1027" DrawAspect="Content" ObjectID="_1580320071" r:id="rId18"/>
        </w:object>
      </w:r>
      <w:r>
        <w:t>.</w:t>
      </w:r>
    </w:p>
    <w:p w14:paraId="64C0B5D8" w14:textId="77777777" w:rsidR="005505BA" w:rsidRDefault="005505BA" w:rsidP="005505BA">
      <w:r>
        <w:t>For interleaved VRB-to-PRB mapping, the mapping process is defined in terms of resource block bundles:</w:t>
      </w:r>
    </w:p>
    <w:p w14:paraId="500D12B5" w14:textId="77777777" w:rsidR="005505BA" w:rsidRDefault="005505BA" w:rsidP="005505BA">
      <w:pPr>
        <w:pStyle w:val="B1"/>
      </w:pPr>
      <w:r>
        <w:t>-</w:t>
      </w:r>
      <w:r>
        <w:tab/>
      </w:r>
      <w:bookmarkStart w:id="6" w:name="_Hlk504539459"/>
      <w:r>
        <w:t xml:space="preserve">The set of </w:t>
      </w:r>
      <w:r w:rsidRPr="009A60E1">
        <w:rPr>
          <w:position w:val="-12"/>
        </w:rPr>
        <w:object w:dxaOrig="620" w:dyaOrig="360" w14:anchorId="64F92948">
          <v:shape id="_x0000_i1028" type="#_x0000_t75" style="width:31.55pt;height:17.7pt" o:ole="">
            <v:imagedata r:id="rId19" o:title=""/>
          </v:shape>
          <o:OLEObject Type="Embed" ProgID="Equation.3" ShapeID="_x0000_i1028" DrawAspect="Content" ObjectID="_1580320072" r:id="rId20"/>
        </w:object>
      </w:r>
      <w:r>
        <w:t xml:space="preserve"> resource blocks in carrier bandwidth part </w:t>
      </w:r>
      <w:r w:rsidRPr="00C831D7">
        <w:rPr>
          <w:position w:val="-6"/>
        </w:rPr>
        <w:object w:dxaOrig="139" w:dyaOrig="240" w14:anchorId="45B19881">
          <v:shape id="_x0000_i1029" type="#_x0000_t75" style="width:6.65pt;height:12.2pt" o:ole="">
            <v:imagedata r:id="rId21" o:title=""/>
          </v:shape>
          <o:OLEObject Type="Embed" ProgID="Equation.3" ShapeID="_x0000_i1029" DrawAspect="Content" ObjectID="_1580320073" r:id="rId22"/>
        </w:object>
      </w:r>
      <w:r>
        <w:t xml:space="preserve"> with starting position </w:t>
      </w:r>
      <w:r w:rsidRPr="00C831D7">
        <w:rPr>
          <w:position w:val="-12"/>
        </w:rPr>
        <w:object w:dxaOrig="620" w:dyaOrig="360" w14:anchorId="4934758A">
          <v:shape id="_x0000_i1030" type="#_x0000_t75" style="width:31.55pt;height:17.7pt" o:ole="">
            <v:imagedata r:id="rId23" o:title=""/>
          </v:shape>
          <o:OLEObject Type="Embed" ProgID="Equation.3" ShapeID="_x0000_i1030" DrawAspect="Content" ObjectID="_1580320074" r:id="rId24"/>
        </w:object>
      </w:r>
      <w:r>
        <w:t xml:space="preserve"> are divided into </w:t>
      </w:r>
      <w:r w:rsidRPr="0030385A">
        <w:rPr>
          <w:position w:val="-18"/>
        </w:rPr>
        <w:object w:dxaOrig="3360" w:dyaOrig="480" w14:anchorId="7C8DFF74">
          <v:shape id="_x0000_i1031" type="#_x0000_t75" style="width:168.35pt;height:24.35pt" o:ole="">
            <v:imagedata r:id="rId25" o:title=""/>
          </v:shape>
          <o:OLEObject Type="Embed" ProgID="Equation.3" ShapeID="_x0000_i1031" DrawAspect="Content" ObjectID="_1580320075" r:id="rId26"/>
        </w:object>
      </w:r>
      <w:r>
        <w:t xml:space="preserve"> resource-block bundles in increasing order of the resource-block number </w:t>
      </w:r>
      <w:r>
        <w:lastRenderedPageBreak/>
        <w:t xml:space="preserve">and bundle number where </w:t>
      </w:r>
      <w:r w:rsidRPr="00FD0195">
        <w:rPr>
          <w:position w:val="-10"/>
        </w:rPr>
        <w:object w:dxaOrig="240" w:dyaOrig="300" w14:anchorId="6E8DFA8D">
          <v:shape id="_x0000_i1032" type="#_x0000_t75" style="width:11.1pt;height:16.05pt" o:ole="">
            <v:imagedata r:id="rId27" o:title=""/>
          </v:shape>
          <o:OLEObject Type="Embed" ProgID="Equation.3" ShapeID="_x0000_i1032" DrawAspect="Content" ObjectID="_1580320076" r:id="rId28"/>
        </w:object>
      </w:r>
      <w:r>
        <w:t xml:space="preserve"> is the bundle size carrier bandwidth part </w:t>
      </w:r>
      <w:r w:rsidRPr="00C831D7">
        <w:rPr>
          <w:position w:val="-6"/>
        </w:rPr>
        <w:object w:dxaOrig="139" w:dyaOrig="240" w14:anchorId="57D1E556">
          <v:shape id="_x0000_i1033" type="#_x0000_t75" style="width:6.65pt;height:12.2pt" o:ole="">
            <v:imagedata r:id="rId21" o:title=""/>
          </v:shape>
          <o:OLEObject Type="Embed" ProgID="Equation.3" ShapeID="_x0000_i1033" DrawAspect="Content" ObjectID="_1580320077" r:id="rId29"/>
        </w:object>
      </w:r>
      <w:r>
        <w:t xml:space="preserve"> provided by the higher-layer parameter </w:t>
      </w:r>
      <w:r w:rsidRPr="0083489F">
        <w:rPr>
          <w:i/>
        </w:rPr>
        <w:t>VRB-to-PRB-interleaver</w:t>
      </w:r>
      <w:r>
        <w:t xml:space="preserve"> </w:t>
      </w:r>
      <w:bookmarkEnd w:id="6"/>
      <w:r>
        <w:t xml:space="preserve"> and</w:t>
      </w:r>
    </w:p>
    <w:p w14:paraId="20939188" w14:textId="77777777" w:rsidR="005505BA" w:rsidRDefault="005505BA" w:rsidP="005505BA">
      <w:pPr>
        <w:pStyle w:val="B2"/>
      </w:pPr>
      <w:bookmarkStart w:id="7" w:name="_Hlk504539491"/>
      <w:r>
        <w:t>-</w:t>
      </w:r>
      <w:r>
        <w:tab/>
        <w:t xml:space="preserve">resource block bundle 0 consists of </w:t>
      </w:r>
      <w:r w:rsidRPr="004113DB">
        <w:rPr>
          <w:position w:val="-12"/>
        </w:rPr>
        <w:object w:dxaOrig="1680" w:dyaOrig="360" w14:anchorId="2A5806A9">
          <v:shape id="_x0000_i1034" type="#_x0000_t75" style="width:84.2pt;height:17.7pt" o:ole="">
            <v:imagedata r:id="rId30" o:title=""/>
          </v:shape>
          <o:OLEObject Type="Embed" ProgID="Equation.3" ShapeID="_x0000_i1034" DrawAspect="Content" ObjectID="_1580320078" r:id="rId31"/>
        </w:object>
      </w:r>
      <w:r>
        <w:t xml:space="preserve"> resource blocks,</w:t>
      </w:r>
    </w:p>
    <w:p w14:paraId="5842D7D6" w14:textId="77777777" w:rsidR="005505BA" w:rsidRDefault="005505BA" w:rsidP="005505BA">
      <w:pPr>
        <w:pStyle w:val="B2"/>
      </w:pPr>
      <w:r>
        <w:t>-</w:t>
      </w:r>
      <w:r>
        <w:tab/>
        <w:t xml:space="preserve">resource block bundle </w:t>
      </w:r>
      <w:r w:rsidRPr="004113DB">
        <w:rPr>
          <w:position w:val="-10"/>
        </w:rPr>
        <w:object w:dxaOrig="880" w:dyaOrig="300" w14:anchorId="0E0442E3">
          <v:shape id="_x0000_i1035" type="#_x0000_t75" style="width:44.3pt;height:14.95pt" o:ole="">
            <v:imagedata r:id="rId32" o:title=""/>
          </v:shape>
          <o:OLEObject Type="Embed" ProgID="Equation.3" ShapeID="_x0000_i1035" DrawAspect="Content" ObjectID="_1580320079" r:id="rId33"/>
        </w:object>
      </w:r>
      <w:r>
        <w:t xml:space="preserve"> consists of </w:t>
      </w:r>
      <w:r w:rsidRPr="004113DB">
        <w:rPr>
          <w:position w:val="-12"/>
        </w:rPr>
        <w:object w:dxaOrig="2060" w:dyaOrig="360" w14:anchorId="5486A880">
          <v:shape id="_x0000_i1036" type="#_x0000_t75" style="width:103pt;height:17.7pt" o:ole="">
            <v:imagedata r:id="rId34" o:title=""/>
          </v:shape>
          <o:OLEObject Type="Embed" ProgID="Equation.3" ShapeID="_x0000_i1036" DrawAspect="Content" ObjectID="_1580320080" r:id="rId35"/>
        </w:object>
      </w:r>
      <w:r>
        <w:t xml:space="preserve"> resource blocks if </w:t>
      </w:r>
      <w:r w:rsidRPr="004113DB">
        <w:rPr>
          <w:position w:val="-12"/>
        </w:rPr>
        <w:object w:dxaOrig="2380" w:dyaOrig="360" w14:anchorId="4CFB0C84">
          <v:shape id="_x0000_i1037" type="#_x0000_t75" style="width:119.65pt;height:17.7pt" o:ole="">
            <v:imagedata r:id="rId36" o:title=""/>
          </v:shape>
          <o:OLEObject Type="Embed" ProgID="Equation.3" ShapeID="_x0000_i1037" DrawAspect="Content" ObjectID="_1580320081" r:id="rId37"/>
        </w:object>
      </w:r>
      <w:r>
        <w:t xml:space="preserve"> and </w:t>
      </w:r>
      <w:r w:rsidRPr="00891A98">
        <w:rPr>
          <w:position w:val="-10"/>
        </w:rPr>
        <w:object w:dxaOrig="240" w:dyaOrig="300" w14:anchorId="561C11DF">
          <v:shape id="_x0000_i1038" type="#_x0000_t75" style="width:11.1pt;height:16.05pt" o:ole="">
            <v:imagedata r:id="rId27" o:title=""/>
          </v:shape>
          <o:OLEObject Type="Embed" ProgID="Equation.3" ShapeID="_x0000_i1038" DrawAspect="Content" ObjectID="_1580320082" r:id="rId38"/>
        </w:object>
      </w:r>
      <w:r>
        <w:t xml:space="preserve"> resource blocks otherwise,</w:t>
      </w:r>
    </w:p>
    <w:bookmarkEnd w:id="7"/>
    <w:p w14:paraId="175F06E2" w14:textId="77777777" w:rsidR="005505BA" w:rsidRDefault="005505BA" w:rsidP="005505BA">
      <w:pPr>
        <w:pStyle w:val="B2"/>
      </w:pPr>
      <w:r>
        <w:t>-</w:t>
      </w:r>
      <w:r>
        <w:tab/>
        <w:t xml:space="preserve">all other resource block bundles consists of </w:t>
      </w:r>
      <w:r w:rsidRPr="00FD0195">
        <w:rPr>
          <w:position w:val="-10"/>
        </w:rPr>
        <w:object w:dxaOrig="240" w:dyaOrig="300" w14:anchorId="0DE683C3">
          <v:shape id="_x0000_i1039" type="#_x0000_t75" style="width:11.1pt;height:16.05pt" o:ole="">
            <v:imagedata r:id="rId27" o:title=""/>
          </v:shape>
          <o:OLEObject Type="Embed" ProgID="Equation.3" ShapeID="_x0000_i1039" DrawAspect="Content" ObjectID="_1580320083" r:id="rId39"/>
        </w:object>
      </w:r>
      <w:r>
        <w:t xml:space="preserve"> resource blocks.</w:t>
      </w:r>
    </w:p>
    <w:p w14:paraId="3397D349" w14:textId="77777777" w:rsidR="005505BA" w:rsidRPr="00925F50" w:rsidRDefault="005505BA" w:rsidP="005505BA">
      <w:pPr>
        <w:pStyle w:val="B1"/>
      </w:pPr>
      <w:bookmarkStart w:id="8" w:name="_Hlk504539775"/>
      <w:r>
        <w:t>-</w:t>
      </w:r>
      <w:r>
        <w:tab/>
        <w:t xml:space="preserve">Virtual resource blocks in the interval </w:t>
      </w:r>
      <w:r w:rsidRPr="007C7FD5">
        <w:rPr>
          <w:position w:val="-10"/>
        </w:rPr>
        <w:object w:dxaOrig="1780" w:dyaOrig="300" w14:anchorId="5F598AF5">
          <v:shape id="_x0000_i1040" type="#_x0000_t75" style="width:88.6pt;height:14.95pt" o:ole="">
            <v:imagedata r:id="rId40" o:title=""/>
          </v:shape>
          <o:OLEObject Type="Embed" ProgID="Equation.3" ShapeID="_x0000_i1040" DrawAspect="Content" ObjectID="_1580320084" r:id="rId41"/>
        </w:object>
      </w:r>
      <w:r>
        <w:t xml:space="preserve"> are mapped to physical resource blocks according to</w:t>
      </w:r>
    </w:p>
    <w:p w14:paraId="6291606C" w14:textId="77777777" w:rsidR="005505BA" w:rsidRDefault="005505BA" w:rsidP="005505BA">
      <w:pPr>
        <w:pStyle w:val="B2"/>
      </w:pPr>
      <w:r>
        <w:t>-</w:t>
      </w:r>
      <w:r>
        <w:tab/>
        <w:t xml:space="preserve">virtual resource block bundle </w:t>
      </w:r>
      <w:r w:rsidRPr="004113DB">
        <w:rPr>
          <w:position w:val="-10"/>
        </w:rPr>
        <w:object w:dxaOrig="880" w:dyaOrig="300" w14:anchorId="0934BEE9">
          <v:shape id="_x0000_i1041" type="#_x0000_t75" style="width:44.3pt;height:14.95pt" o:ole="">
            <v:imagedata r:id="rId32" o:title=""/>
          </v:shape>
          <o:OLEObject Type="Embed" ProgID="Equation.3" ShapeID="_x0000_i1041" DrawAspect="Content" ObjectID="_1580320085" r:id="rId42"/>
        </w:object>
      </w:r>
      <w:r>
        <w:t xml:space="preserve"> is mapped to physical resource block bundle </w:t>
      </w:r>
      <w:r w:rsidRPr="004113DB">
        <w:rPr>
          <w:position w:val="-10"/>
        </w:rPr>
        <w:object w:dxaOrig="880" w:dyaOrig="300" w14:anchorId="478CA552">
          <v:shape id="_x0000_i1042" type="#_x0000_t75" style="width:44.3pt;height:14.95pt" o:ole="">
            <v:imagedata r:id="rId32" o:title=""/>
          </v:shape>
          <o:OLEObject Type="Embed" ProgID="Equation.3" ShapeID="_x0000_i1042" DrawAspect="Content" ObjectID="_1580320086" r:id="rId43"/>
        </w:object>
      </w:r>
    </w:p>
    <w:p w14:paraId="7E2D0551" w14:textId="77777777" w:rsidR="005505BA" w:rsidRDefault="005505BA" w:rsidP="005505BA">
      <w:pPr>
        <w:pStyle w:val="B2"/>
      </w:pPr>
      <w:r>
        <w:t>-</w:t>
      </w:r>
      <w:r>
        <w:tab/>
        <w:t xml:space="preserve">virtual resource block bundle </w:t>
      </w:r>
      <w:r w:rsidRPr="007C7FD5">
        <w:rPr>
          <w:position w:val="-10"/>
        </w:rPr>
        <w:object w:dxaOrig="1820" w:dyaOrig="300" w14:anchorId="79AF08DC">
          <v:shape id="_x0000_i1043" type="#_x0000_t75" style="width:90.85pt;height:14.95pt" o:ole="">
            <v:imagedata r:id="rId44" o:title=""/>
          </v:shape>
          <o:OLEObject Type="Embed" ProgID="Equation.3" ShapeID="_x0000_i1043" DrawAspect="Content" ObjectID="_1580320087" r:id="rId45"/>
        </w:object>
      </w:r>
      <w:r>
        <w:t xml:space="preserve"> is mapped to physical resource block bundle </w:t>
      </w:r>
      <w:r w:rsidRPr="004817C6">
        <w:rPr>
          <w:position w:val="-10"/>
        </w:rPr>
        <w:object w:dxaOrig="440" w:dyaOrig="300" w14:anchorId="4AF3EA77">
          <v:shape id="_x0000_i1044" type="#_x0000_t75" style="width:21.6pt;height:14.95pt" o:ole="">
            <v:imagedata r:id="rId46" o:title=""/>
          </v:shape>
          <o:OLEObject Type="Embed" ProgID="Equation.3" ShapeID="_x0000_i1044" DrawAspect="Content" ObjectID="_1580320088" r:id="rId47"/>
        </w:object>
      </w:r>
      <w:r>
        <w:t xml:space="preserve"> where </w:t>
      </w:r>
    </w:p>
    <w:p w14:paraId="2031FED2" w14:textId="77777777" w:rsidR="005505BA" w:rsidRDefault="005505BA" w:rsidP="005505BA">
      <w:pPr>
        <w:pStyle w:val="EQ"/>
        <w:jc w:val="center"/>
      </w:pPr>
      <w:r w:rsidRPr="00711591">
        <w:rPr>
          <w:position w:val="-84"/>
        </w:rPr>
        <w:object w:dxaOrig="1359" w:dyaOrig="1780" w14:anchorId="0A76AB87">
          <v:shape id="_x0000_i1045" type="#_x0000_t75" style="width:68.1pt;height:88.6pt" o:ole="">
            <v:imagedata r:id="rId48" o:title=""/>
          </v:shape>
          <o:OLEObject Type="Embed" ProgID="Equation.3" ShapeID="_x0000_i1045" DrawAspect="Content" ObjectID="_1580320089" r:id="rId49"/>
        </w:object>
      </w:r>
    </w:p>
    <w:bookmarkEnd w:id="8"/>
    <w:p w14:paraId="390984A6" w14:textId="77777777" w:rsidR="005505BA" w:rsidRPr="00121CF6" w:rsidRDefault="005505BA" w:rsidP="005505BA">
      <w:r>
        <w:t xml:space="preserve">The UE may assume that the same precoding in the frequency domain is used across a bundle of common resource blocks numbered </w:t>
      </w:r>
      <w:r w:rsidRPr="000D198E">
        <w:rPr>
          <w:position w:val="-8"/>
        </w:rPr>
        <w:object w:dxaOrig="1480" w:dyaOrig="260" w14:anchorId="059F1AC9">
          <v:shape id="_x0000_i1046" type="#_x0000_t75" style="width:73.65pt;height:12.75pt" o:ole="">
            <v:imagedata r:id="rId50" o:title=""/>
          </v:shape>
          <o:OLEObject Type="Embed" ProgID="Equation.3" ShapeID="_x0000_i1046" DrawAspect="Content" ObjectID="_1580320090" r:id="rId51"/>
        </w:object>
      </w:r>
      <w:r>
        <w:t xml:space="preserve"> where </w:t>
      </w:r>
      <w:bookmarkEnd w:id="4"/>
      <w:r w:rsidRPr="002A4296">
        <w:rPr>
          <w:position w:val="-8"/>
        </w:rPr>
        <w:object w:dxaOrig="1420" w:dyaOrig="260" w14:anchorId="43D34219">
          <v:shape id="_x0000_i1047" type="#_x0000_t75" style="width:70.35pt;height:12.75pt" o:ole="">
            <v:imagedata r:id="rId52" o:title=""/>
          </v:shape>
          <o:OLEObject Type="Embed" ProgID="Equation.3" ShapeID="_x0000_i1047" DrawAspect="Content" ObjectID="_1580320091" r:id="rId53"/>
        </w:object>
      </w:r>
      <w:r>
        <w:t xml:space="preserve"> and the bundle size </w:t>
      </w:r>
      <w:r w:rsidRPr="00C12953">
        <w:rPr>
          <w:position w:val="-6"/>
        </w:rPr>
        <w:object w:dxaOrig="220" w:dyaOrig="200" w14:anchorId="1A9B91F3">
          <v:shape id="_x0000_i1048" type="#_x0000_t75" style="width:11.1pt;height:9.4pt" o:ole="">
            <v:imagedata r:id="rId54" o:title=""/>
          </v:shape>
          <o:OLEObject Type="Embed" ProgID="Equation.3" ShapeID="_x0000_i1048" DrawAspect="Content" ObjectID="_1580320092" r:id="rId55"/>
        </w:object>
      </w:r>
      <w:r>
        <w:t xml:space="preserve"> is given by the higher-layer parameter </w:t>
      </w:r>
      <w:r w:rsidRPr="00F03A00">
        <w:rPr>
          <w:i/>
        </w:rPr>
        <w:t>PDSCH-bundle-size</w:t>
      </w:r>
      <w:r>
        <w:t xml:space="preserve"> if configured, otherwise by the DCI scheduling the transmission. </w:t>
      </w:r>
      <w:r w:rsidRPr="0090312F">
        <w:t xml:space="preserve">The UE shall not make any assumption that the same precoding is used for different bundles of </w:t>
      </w:r>
      <w:r>
        <w:t>common resource</w:t>
      </w:r>
      <w:r w:rsidRPr="0090312F">
        <w:t xml:space="preserve"> blocks.</w:t>
      </w:r>
      <w:r w:rsidRPr="0090312F" w:rsidDel="0090312F">
        <w:t xml:space="preserve"> </w:t>
      </w:r>
    </w:p>
    <w:bookmarkEnd w:id="5"/>
    <w:p w14:paraId="3D329D49" w14:textId="77777777" w:rsidR="005505BA" w:rsidRDefault="005505BA" w:rsidP="005505BA"/>
    <w:p w14:paraId="59C8D036" w14:textId="77777777" w:rsidR="005505BA" w:rsidRDefault="005505BA" w:rsidP="005505BA">
      <w:r>
        <w:t>In the text above, the last bundle (</w:t>
      </w:r>
      <w:r w:rsidRPr="001C2389">
        <w:rPr>
          <w:i/>
        </w:rPr>
        <w:t>N</w:t>
      </w:r>
      <w:r w:rsidRPr="001C2389">
        <w:rPr>
          <w:vertAlign w:val="subscript"/>
        </w:rPr>
        <w:t>bundle</w:t>
      </w:r>
      <w:r>
        <w:t xml:space="preserve">-1) does not participate in interleaving but is directly mapped, only bundle 0 .. N_bundle-2 are interleaved. We have the following issue when the numerology leads to odd values of </w:t>
      </w:r>
      <m:oMath>
        <m:sSub>
          <m:sSubPr>
            <m:ctrlPr>
              <w:rPr>
                <w:rFonts w:ascii="Cambria Math" w:hAnsi="Cambria Math"/>
                <w:i/>
              </w:rPr>
            </m:ctrlPr>
          </m:sSubPr>
          <m:e>
            <m:r>
              <w:rPr>
                <w:rFonts w:ascii="Cambria Math" w:hAnsi="Cambria Math"/>
              </w:rPr>
              <m:t>N</m:t>
            </m:r>
          </m:e>
          <m:sub>
            <m:r>
              <m:rPr>
                <m:sty m:val="p"/>
              </m:rPr>
              <w:rPr>
                <w:rFonts w:ascii="Cambria Math" w:hAnsi="Cambria Math"/>
              </w:rPr>
              <m:t>bundle</m:t>
            </m:r>
          </m:sub>
        </m:sSub>
      </m:oMath>
      <w:r>
        <w:t>. The scheme does not guarantee maximum half band separation for the last two adjacent VRB bundles. In the figure below with 7 bundles total, we see VRB bundles 5 and 6 are directly mapped to PRB bundles:</w:t>
      </w:r>
    </w:p>
    <w:p w14:paraId="07E88787" w14:textId="77777777" w:rsidR="005505BA" w:rsidRDefault="005505BA" w:rsidP="005505BA">
      <w:pPr>
        <w:jc w:val="center"/>
      </w:pPr>
    </w:p>
    <w:p w14:paraId="7EA40CB2" w14:textId="77777777" w:rsidR="005505BA" w:rsidRDefault="005505BA" w:rsidP="005505BA">
      <w:pPr>
        <w:jc w:val="center"/>
      </w:pPr>
      <w:r>
        <w:object w:dxaOrig="6915" w:dyaOrig="4706" w14:anchorId="5D3ADB16">
          <v:shape id="_x0000_i1049" type="#_x0000_t75" style="width:345.6pt;height:235.4pt" o:ole="">
            <v:imagedata r:id="rId56" o:title=""/>
          </v:shape>
          <o:OLEObject Type="Embed" ProgID="Visio.Drawing.11" ShapeID="_x0000_i1049" DrawAspect="Content" ObjectID="_1580320093" r:id="rId57"/>
        </w:object>
      </w:r>
    </w:p>
    <w:p w14:paraId="768813E1" w14:textId="77777777" w:rsidR="005505BA" w:rsidRDefault="005505BA" w:rsidP="005505BA">
      <w:r>
        <w:t>In the appendix, a text proposal is provided which resolves this issue:</w:t>
      </w:r>
    </w:p>
    <w:p w14:paraId="5D6F8B75" w14:textId="77777777" w:rsidR="005505BA" w:rsidRDefault="005505BA" w:rsidP="005505BA">
      <w:pPr>
        <w:jc w:val="center"/>
      </w:pPr>
      <w:r>
        <w:rPr>
          <w:noProof/>
        </w:rPr>
        <w:drawing>
          <wp:inline distT="0" distB="0" distL="0" distR="0" wp14:anchorId="21D7CF5C" wp14:editId="6F3ACDA4">
            <wp:extent cx="4391025" cy="2876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391025" cy="2876550"/>
                    </a:xfrm>
                    <a:prstGeom prst="rect">
                      <a:avLst/>
                    </a:prstGeom>
                    <a:noFill/>
                    <a:ln>
                      <a:noFill/>
                    </a:ln>
                  </pic:spPr>
                </pic:pic>
              </a:graphicData>
            </a:graphic>
          </wp:inline>
        </w:drawing>
      </w:r>
    </w:p>
    <w:p w14:paraId="1B45F6ED" w14:textId="77777777" w:rsidR="005505BA" w:rsidRDefault="005505BA" w:rsidP="005505BA"/>
    <w:p w14:paraId="661E9965" w14:textId="77777777" w:rsidR="005505BA" w:rsidRPr="002272B7" w:rsidRDefault="005505BA" w:rsidP="005505BA"/>
    <w:p w14:paraId="3EEF937B" w14:textId="77777777" w:rsidR="005505BA" w:rsidRDefault="005505BA" w:rsidP="005505BA">
      <w:pPr>
        <w:pStyle w:val="Heading2"/>
      </w:pPr>
      <w:r>
        <w:t>Prevalence of Issue</w:t>
      </w:r>
    </w:p>
    <w:p w14:paraId="07F99CB8" w14:textId="77777777" w:rsidR="005505BA" w:rsidRDefault="005505BA" w:rsidP="005505BA">
      <w:pPr>
        <w:rPr>
          <w:lang w:val="en-GB"/>
        </w:rPr>
      </w:pPr>
      <w:r>
        <w:rPr>
          <w:lang w:val="en-GB"/>
        </w:rPr>
        <w:t>Note that, based on the 38.104 Subclause 5.3.2, we have the following component carrier bandwidths in number of RBs.</w:t>
      </w:r>
    </w:p>
    <w:p w14:paraId="0DFDF9D1" w14:textId="77777777" w:rsidR="005505BA" w:rsidRPr="00BA6E96" w:rsidRDefault="005505BA" w:rsidP="00BA6E96">
      <w:pPr>
        <w:jc w:val="center"/>
        <w:rPr>
          <w:b/>
          <w:lang w:eastAsia="zh-CN"/>
        </w:rPr>
      </w:pPr>
      <w:bookmarkStart w:id="9" w:name="_Hlk497144372"/>
      <w:r w:rsidRPr="00BA6E96">
        <w:rPr>
          <w:b/>
        </w:rPr>
        <w:t xml:space="preserve">Table 5.3.2-1: </w:t>
      </w:r>
      <w:bookmarkEnd w:id="9"/>
      <w:r w:rsidRPr="00BA6E96">
        <w:rPr>
          <w:b/>
        </w:rPr>
        <w:t>Maximum transmission bandwidth configuration N</w:t>
      </w:r>
      <w:r w:rsidRPr="00BA6E96">
        <w:rPr>
          <w:b/>
          <w:vertAlign w:val="subscript"/>
        </w:rPr>
        <w:t>RB</w:t>
      </w:r>
      <w:r w:rsidRPr="00BA6E96">
        <w:rPr>
          <w:b/>
        </w:rPr>
        <w:t xml:space="preserve"> for FR1</w:t>
      </w:r>
    </w:p>
    <w:tbl>
      <w:tblPr>
        <w:tblpPr w:leftFromText="142" w:rightFromText="142" w:vertAnchor="text" w:tblpX="-10"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587"/>
        <w:gridCol w:w="714"/>
        <w:gridCol w:w="714"/>
        <w:gridCol w:w="716"/>
        <w:gridCol w:w="714"/>
        <w:gridCol w:w="714"/>
        <w:gridCol w:w="716"/>
        <w:gridCol w:w="714"/>
        <w:gridCol w:w="716"/>
        <w:gridCol w:w="713"/>
        <w:gridCol w:w="713"/>
        <w:gridCol w:w="715"/>
        <w:gridCol w:w="713"/>
        <w:gridCol w:w="803"/>
      </w:tblGrid>
      <w:tr w:rsidR="005505BA" w:rsidRPr="008C4DFC" w14:paraId="40CB35E3" w14:textId="77777777" w:rsidTr="00D0734F">
        <w:tc>
          <w:tcPr>
            <w:tcW w:w="294" w:type="pct"/>
            <w:vMerge w:val="restart"/>
            <w:shd w:val="clear" w:color="auto" w:fill="auto"/>
            <w:tcMar>
              <w:top w:w="15" w:type="dxa"/>
              <w:left w:w="81" w:type="dxa"/>
              <w:bottom w:w="0" w:type="dxa"/>
              <w:right w:w="81" w:type="dxa"/>
            </w:tcMar>
            <w:hideMark/>
          </w:tcPr>
          <w:p w14:paraId="63657887" w14:textId="77777777" w:rsidR="005505BA" w:rsidRPr="00B237A0" w:rsidRDefault="005505BA" w:rsidP="00D0734F">
            <w:pPr>
              <w:pStyle w:val="TAH"/>
              <w:rPr>
                <w:rFonts w:eastAsia="Yu Mincho"/>
                <w:sz w:val="16"/>
                <w:szCs w:val="16"/>
              </w:rPr>
            </w:pPr>
            <w:r w:rsidRPr="00B237A0">
              <w:rPr>
                <w:rFonts w:eastAsia="Yu Mincho"/>
                <w:sz w:val="16"/>
                <w:szCs w:val="16"/>
              </w:rPr>
              <w:t>SCS [kHz]</w:t>
            </w:r>
          </w:p>
        </w:tc>
        <w:tc>
          <w:tcPr>
            <w:tcW w:w="358" w:type="pct"/>
            <w:shd w:val="clear" w:color="auto" w:fill="auto"/>
            <w:tcMar>
              <w:top w:w="15" w:type="dxa"/>
              <w:left w:w="81" w:type="dxa"/>
              <w:bottom w:w="0" w:type="dxa"/>
              <w:right w:w="81" w:type="dxa"/>
            </w:tcMar>
            <w:hideMark/>
          </w:tcPr>
          <w:p w14:paraId="46CDB653" w14:textId="77777777" w:rsidR="005505BA" w:rsidRDefault="005505BA" w:rsidP="00D0734F">
            <w:pPr>
              <w:pStyle w:val="TAH"/>
              <w:rPr>
                <w:rFonts w:eastAsia="Yu Mincho"/>
                <w:sz w:val="16"/>
                <w:szCs w:val="16"/>
              </w:rPr>
            </w:pPr>
            <w:r w:rsidRPr="00B237A0">
              <w:rPr>
                <w:rFonts w:eastAsia="Yu Mincho"/>
                <w:sz w:val="16"/>
                <w:szCs w:val="16"/>
              </w:rPr>
              <w:t>5</w:t>
            </w:r>
          </w:p>
          <w:p w14:paraId="5CD85B7A" w14:textId="77777777" w:rsidR="005505BA" w:rsidRPr="00B237A0" w:rsidRDefault="005505BA" w:rsidP="00D0734F">
            <w:pPr>
              <w:pStyle w:val="TAH"/>
              <w:rPr>
                <w:rFonts w:eastAsia="Yu Mincho"/>
                <w:sz w:val="16"/>
                <w:szCs w:val="16"/>
              </w:rPr>
            </w:pPr>
            <w:r w:rsidRPr="00B237A0">
              <w:rPr>
                <w:rFonts w:eastAsia="Yu Mincho"/>
                <w:sz w:val="16"/>
                <w:szCs w:val="16"/>
              </w:rPr>
              <w:t>MHz</w:t>
            </w:r>
          </w:p>
        </w:tc>
        <w:tc>
          <w:tcPr>
            <w:tcW w:w="358" w:type="pct"/>
            <w:shd w:val="clear" w:color="auto" w:fill="auto"/>
            <w:tcMar>
              <w:top w:w="15" w:type="dxa"/>
              <w:left w:w="81" w:type="dxa"/>
              <w:bottom w:w="0" w:type="dxa"/>
              <w:right w:w="81" w:type="dxa"/>
            </w:tcMar>
            <w:hideMark/>
          </w:tcPr>
          <w:p w14:paraId="733A428A" w14:textId="77777777" w:rsidR="005505BA" w:rsidRDefault="005505BA" w:rsidP="00D0734F">
            <w:pPr>
              <w:pStyle w:val="TAH"/>
              <w:rPr>
                <w:rFonts w:eastAsia="Yu Mincho"/>
                <w:sz w:val="16"/>
                <w:szCs w:val="16"/>
              </w:rPr>
            </w:pPr>
            <w:r w:rsidRPr="00B237A0">
              <w:rPr>
                <w:rFonts w:eastAsia="Yu Mincho"/>
                <w:sz w:val="16"/>
                <w:szCs w:val="16"/>
              </w:rPr>
              <w:t>10</w:t>
            </w:r>
          </w:p>
          <w:p w14:paraId="1D17A591" w14:textId="77777777" w:rsidR="005505BA" w:rsidRPr="00B237A0" w:rsidRDefault="005505BA" w:rsidP="00D0734F">
            <w:pPr>
              <w:pStyle w:val="TAH"/>
              <w:rPr>
                <w:rFonts w:eastAsia="Yu Mincho"/>
                <w:sz w:val="16"/>
                <w:szCs w:val="16"/>
              </w:rPr>
            </w:pPr>
            <w:r w:rsidRPr="00B237A0">
              <w:rPr>
                <w:rFonts w:eastAsia="Yu Mincho"/>
                <w:sz w:val="16"/>
                <w:szCs w:val="16"/>
              </w:rPr>
              <w:t>MHz</w:t>
            </w:r>
          </w:p>
        </w:tc>
        <w:tc>
          <w:tcPr>
            <w:tcW w:w="359" w:type="pct"/>
            <w:shd w:val="clear" w:color="auto" w:fill="auto"/>
            <w:tcMar>
              <w:top w:w="15" w:type="dxa"/>
              <w:left w:w="81" w:type="dxa"/>
              <w:bottom w:w="0" w:type="dxa"/>
              <w:right w:w="81" w:type="dxa"/>
            </w:tcMar>
            <w:hideMark/>
          </w:tcPr>
          <w:p w14:paraId="2F3761DA" w14:textId="77777777" w:rsidR="005505BA" w:rsidRDefault="005505BA" w:rsidP="00D0734F">
            <w:pPr>
              <w:pStyle w:val="TAH"/>
              <w:rPr>
                <w:rFonts w:eastAsia="Yu Mincho"/>
                <w:sz w:val="16"/>
                <w:szCs w:val="16"/>
              </w:rPr>
            </w:pPr>
            <w:r w:rsidRPr="00B237A0">
              <w:rPr>
                <w:rFonts w:eastAsia="Yu Mincho"/>
                <w:sz w:val="16"/>
                <w:szCs w:val="16"/>
              </w:rPr>
              <w:t>15</w:t>
            </w:r>
          </w:p>
          <w:p w14:paraId="7AB1A82E" w14:textId="77777777" w:rsidR="005505BA" w:rsidRPr="00B237A0" w:rsidRDefault="005505BA" w:rsidP="00D0734F">
            <w:pPr>
              <w:pStyle w:val="TAH"/>
              <w:rPr>
                <w:rFonts w:eastAsia="Yu Mincho"/>
                <w:sz w:val="16"/>
                <w:szCs w:val="16"/>
              </w:rPr>
            </w:pPr>
            <w:r w:rsidRPr="00B237A0">
              <w:rPr>
                <w:rFonts w:eastAsia="Yu Mincho"/>
                <w:sz w:val="16"/>
                <w:szCs w:val="16"/>
              </w:rPr>
              <w:t>MHz</w:t>
            </w:r>
          </w:p>
        </w:tc>
        <w:tc>
          <w:tcPr>
            <w:tcW w:w="358" w:type="pct"/>
          </w:tcPr>
          <w:p w14:paraId="0C8DF190" w14:textId="77777777" w:rsidR="005505BA" w:rsidRDefault="005505BA" w:rsidP="00D0734F">
            <w:pPr>
              <w:pStyle w:val="TAH"/>
              <w:rPr>
                <w:rFonts w:eastAsia="Yu Mincho"/>
                <w:bCs/>
                <w:sz w:val="16"/>
              </w:rPr>
            </w:pPr>
            <w:r>
              <w:rPr>
                <w:rFonts w:eastAsia="Yu Mincho"/>
                <w:bCs/>
                <w:sz w:val="16"/>
              </w:rPr>
              <w:t>30</w:t>
            </w:r>
          </w:p>
          <w:p w14:paraId="3C78D6BD" w14:textId="77777777" w:rsidR="005505BA" w:rsidRPr="00B237A0" w:rsidRDefault="005505BA" w:rsidP="00D0734F">
            <w:pPr>
              <w:pStyle w:val="TAH"/>
              <w:rPr>
                <w:rFonts w:eastAsia="Yu Mincho"/>
                <w:bCs/>
                <w:sz w:val="16"/>
              </w:rPr>
            </w:pPr>
            <w:r w:rsidRPr="00B237A0">
              <w:rPr>
                <w:rFonts w:eastAsia="Yu Mincho"/>
                <w:bCs/>
                <w:sz w:val="16"/>
              </w:rPr>
              <w:t>MHz</w:t>
            </w:r>
          </w:p>
        </w:tc>
        <w:tc>
          <w:tcPr>
            <w:tcW w:w="358" w:type="pct"/>
            <w:shd w:val="clear" w:color="auto" w:fill="auto"/>
            <w:tcMar>
              <w:top w:w="15" w:type="dxa"/>
              <w:left w:w="81" w:type="dxa"/>
              <w:bottom w:w="0" w:type="dxa"/>
              <w:right w:w="81" w:type="dxa"/>
            </w:tcMar>
            <w:hideMark/>
          </w:tcPr>
          <w:p w14:paraId="02D2D7B2" w14:textId="77777777" w:rsidR="005505BA" w:rsidRPr="00B237A0" w:rsidRDefault="005505BA" w:rsidP="00D0734F">
            <w:pPr>
              <w:pStyle w:val="TAH"/>
              <w:rPr>
                <w:rFonts w:eastAsia="Yu Mincho"/>
                <w:sz w:val="16"/>
                <w:szCs w:val="16"/>
              </w:rPr>
            </w:pPr>
            <w:r w:rsidRPr="00B237A0">
              <w:rPr>
                <w:rFonts w:eastAsia="Yu Mincho"/>
                <w:sz w:val="16"/>
                <w:szCs w:val="16"/>
              </w:rPr>
              <w:t>20 MHz</w:t>
            </w:r>
          </w:p>
        </w:tc>
        <w:tc>
          <w:tcPr>
            <w:tcW w:w="359" w:type="pct"/>
            <w:shd w:val="clear" w:color="auto" w:fill="auto"/>
            <w:tcMar>
              <w:top w:w="15" w:type="dxa"/>
              <w:left w:w="81" w:type="dxa"/>
              <w:bottom w:w="0" w:type="dxa"/>
              <w:right w:w="81" w:type="dxa"/>
            </w:tcMar>
            <w:hideMark/>
          </w:tcPr>
          <w:p w14:paraId="6DA982A1" w14:textId="77777777" w:rsidR="005505BA" w:rsidRPr="00B237A0" w:rsidRDefault="005505BA" w:rsidP="00D0734F">
            <w:pPr>
              <w:pStyle w:val="TAH"/>
              <w:rPr>
                <w:rFonts w:eastAsia="Yu Mincho"/>
                <w:sz w:val="16"/>
                <w:szCs w:val="16"/>
              </w:rPr>
            </w:pPr>
            <w:r w:rsidRPr="00B237A0">
              <w:rPr>
                <w:rFonts w:eastAsia="Yu Mincho"/>
                <w:sz w:val="16"/>
                <w:szCs w:val="16"/>
              </w:rPr>
              <w:t>25 MHz</w:t>
            </w:r>
          </w:p>
        </w:tc>
        <w:tc>
          <w:tcPr>
            <w:tcW w:w="358" w:type="pct"/>
            <w:shd w:val="clear" w:color="auto" w:fill="auto"/>
            <w:tcMar>
              <w:top w:w="15" w:type="dxa"/>
              <w:left w:w="81" w:type="dxa"/>
              <w:bottom w:w="0" w:type="dxa"/>
              <w:right w:w="81" w:type="dxa"/>
            </w:tcMar>
            <w:hideMark/>
          </w:tcPr>
          <w:p w14:paraId="1B0558D3" w14:textId="77777777" w:rsidR="005505BA" w:rsidRPr="00B237A0" w:rsidRDefault="005505BA" w:rsidP="00D0734F">
            <w:pPr>
              <w:pStyle w:val="TAH"/>
              <w:rPr>
                <w:rFonts w:eastAsia="Yu Mincho"/>
                <w:sz w:val="16"/>
                <w:szCs w:val="16"/>
              </w:rPr>
            </w:pPr>
            <w:r w:rsidRPr="00B237A0">
              <w:rPr>
                <w:rFonts w:eastAsia="Yu Mincho"/>
                <w:sz w:val="16"/>
                <w:szCs w:val="16"/>
              </w:rPr>
              <w:t>40 MHz</w:t>
            </w:r>
          </w:p>
        </w:tc>
        <w:tc>
          <w:tcPr>
            <w:tcW w:w="359" w:type="pct"/>
            <w:shd w:val="clear" w:color="auto" w:fill="auto"/>
            <w:tcMar>
              <w:top w:w="15" w:type="dxa"/>
              <w:left w:w="81" w:type="dxa"/>
              <w:bottom w:w="0" w:type="dxa"/>
              <w:right w:w="81" w:type="dxa"/>
            </w:tcMar>
            <w:hideMark/>
          </w:tcPr>
          <w:p w14:paraId="372D4449" w14:textId="77777777" w:rsidR="005505BA" w:rsidRPr="00B237A0" w:rsidRDefault="005505BA" w:rsidP="00D0734F">
            <w:pPr>
              <w:pStyle w:val="TAH"/>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358" w:type="pct"/>
            <w:shd w:val="clear" w:color="auto" w:fill="auto"/>
            <w:tcMar>
              <w:top w:w="15" w:type="dxa"/>
              <w:left w:w="81" w:type="dxa"/>
              <w:bottom w:w="0" w:type="dxa"/>
              <w:right w:w="81" w:type="dxa"/>
            </w:tcMar>
            <w:hideMark/>
          </w:tcPr>
          <w:p w14:paraId="5EA16FBF" w14:textId="77777777" w:rsidR="005505BA" w:rsidRPr="00B237A0" w:rsidRDefault="005505BA" w:rsidP="00D0734F">
            <w:pPr>
              <w:pStyle w:val="TAH"/>
              <w:rPr>
                <w:rFonts w:eastAsia="Yu Mincho"/>
                <w:sz w:val="16"/>
                <w:szCs w:val="16"/>
              </w:rPr>
            </w:pPr>
            <w:r w:rsidRPr="00B237A0">
              <w:rPr>
                <w:rFonts w:eastAsia="Yu Mincho"/>
                <w:sz w:val="16"/>
                <w:szCs w:val="16"/>
              </w:rPr>
              <w:t>60 MHz</w:t>
            </w:r>
          </w:p>
        </w:tc>
        <w:tc>
          <w:tcPr>
            <w:tcW w:w="358" w:type="pct"/>
          </w:tcPr>
          <w:p w14:paraId="7248DA4F" w14:textId="77777777" w:rsidR="005505BA" w:rsidRDefault="005505BA" w:rsidP="00D0734F">
            <w:pPr>
              <w:pStyle w:val="TAH"/>
              <w:rPr>
                <w:rFonts w:eastAsia="Yu Mincho"/>
                <w:sz w:val="16"/>
                <w:szCs w:val="16"/>
              </w:rPr>
            </w:pPr>
            <w:r>
              <w:rPr>
                <w:rFonts w:eastAsia="Yu Mincho"/>
                <w:sz w:val="16"/>
                <w:szCs w:val="16"/>
              </w:rPr>
              <w:t>70</w:t>
            </w:r>
          </w:p>
          <w:p w14:paraId="6FEC066D" w14:textId="77777777" w:rsidR="005505BA" w:rsidRPr="00B237A0" w:rsidRDefault="005505BA" w:rsidP="00D0734F">
            <w:pPr>
              <w:pStyle w:val="TAH"/>
              <w:rPr>
                <w:rFonts w:eastAsia="Yu Mincho"/>
                <w:sz w:val="16"/>
                <w:szCs w:val="16"/>
              </w:rPr>
            </w:pPr>
            <w:r w:rsidRPr="00B237A0">
              <w:rPr>
                <w:rFonts w:eastAsia="Yu Mincho"/>
                <w:sz w:val="16"/>
                <w:szCs w:val="16"/>
              </w:rPr>
              <w:t>MHz</w:t>
            </w:r>
          </w:p>
        </w:tc>
        <w:tc>
          <w:tcPr>
            <w:tcW w:w="359" w:type="pct"/>
            <w:shd w:val="clear" w:color="auto" w:fill="auto"/>
            <w:tcMar>
              <w:top w:w="15" w:type="dxa"/>
              <w:left w:w="81" w:type="dxa"/>
              <w:bottom w:w="0" w:type="dxa"/>
              <w:right w:w="81" w:type="dxa"/>
            </w:tcMar>
            <w:hideMark/>
          </w:tcPr>
          <w:p w14:paraId="4CBF7C02" w14:textId="77777777" w:rsidR="005505BA" w:rsidRPr="00B237A0" w:rsidRDefault="005505BA" w:rsidP="00D0734F">
            <w:pPr>
              <w:pStyle w:val="TAH"/>
              <w:rPr>
                <w:rFonts w:eastAsia="Yu Mincho"/>
                <w:sz w:val="16"/>
                <w:szCs w:val="16"/>
              </w:rPr>
            </w:pPr>
            <w:r w:rsidRPr="00B237A0">
              <w:rPr>
                <w:rFonts w:eastAsia="Yu Mincho"/>
                <w:sz w:val="16"/>
                <w:szCs w:val="16"/>
              </w:rPr>
              <w:t>80 MHz</w:t>
            </w:r>
          </w:p>
        </w:tc>
        <w:tc>
          <w:tcPr>
            <w:tcW w:w="358" w:type="pct"/>
          </w:tcPr>
          <w:p w14:paraId="69052EAB" w14:textId="77777777" w:rsidR="005505BA" w:rsidRDefault="005505BA" w:rsidP="00D0734F">
            <w:pPr>
              <w:pStyle w:val="TAH"/>
              <w:rPr>
                <w:rFonts w:eastAsia="Yu Mincho"/>
                <w:sz w:val="16"/>
                <w:szCs w:val="16"/>
              </w:rPr>
            </w:pPr>
            <w:r>
              <w:rPr>
                <w:rFonts w:eastAsia="Yu Mincho"/>
                <w:sz w:val="16"/>
                <w:szCs w:val="16"/>
              </w:rPr>
              <w:t>90</w:t>
            </w:r>
          </w:p>
          <w:p w14:paraId="06DC3D14" w14:textId="77777777" w:rsidR="005505BA" w:rsidRPr="00B237A0" w:rsidRDefault="005505BA" w:rsidP="00D0734F">
            <w:pPr>
              <w:pStyle w:val="TAH"/>
              <w:rPr>
                <w:rFonts w:eastAsia="Yu Mincho"/>
                <w:sz w:val="16"/>
                <w:szCs w:val="16"/>
              </w:rPr>
            </w:pPr>
            <w:r w:rsidRPr="00B237A0">
              <w:rPr>
                <w:rFonts w:eastAsia="Yu Mincho"/>
                <w:sz w:val="16"/>
                <w:szCs w:val="16"/>
              </w:rPr>
              <w:t>MHz</w:t>
            </w:r>
          </w:p>
        </w:tc>
        <w:tc>
          <w:tcPr>
            <w:tcW w:w="403" w:type="pct"/>
            <w:shd w:val="clear" w:color="auto" w:fill="auto"/>
            <w:tcMar>
              <w:top w:w="15" w:type="dxa"/>
              <w:left w:w="81" w:type="dxa"/>
              <w:bottom w:w="0" w:type="dxa"/>
              <w:right w:w="81" w:type="dxa"/>
            </w:tcMar>
            <w:hideMark/>
          </w:tcPr>
          <w:p w14:paraId="4A1FCB68" w14:textId="77777777" w:rsidR="005505BA" w:rsidRPr="00B237A0" w:rsidRDefault="005505BA" w:rsidP="00D0734F">
            <w:pPr>
              <w:pStyle w:val="TAH"/>
              <w:rPr>
                <w:rFonts w:eastAsia="Yu Mincho"/>
                <w:sz w:val="16"/>
                <w:szCs w:val="16"/>
              </w:rPr>
            </w:pPr>
            <w:r w:rsidRPr="00B237A0">
              <w:rPr>
                <w:rFonts w:eastAsia="Yu Mincho"/>
                <w:sz w:val="16"/>
                <w:szCs w:val="16"/>
              </w:rPr>
              <w:t>100 MHz</w:t>
            </w:r>
          </w:p>
        </w:tc>
      </w:tr>
      <w:tr w:rsidR="005505BA" w:rsidRPr="008C4DFC" w14:paraId="4139E7E7" w14:textId="77777777" w:rsidTr="00D0734F">
        <w:tc>
          <w:tcPr>
            <w:tcW w:w="294" w:type="pct"/>
            <w:vMerge/>
            <w:vAlign w:val="center"/>
            <w:hideMark/>
          </w:tcPr>
          <w:p w14:paraId="4EDF2EE3" w14:textId="77777777" w:rsidR="005505BA" w:rsidRPr="008C4DFC" w:rsidRDefault="005505BA" w:rsidP="00D0734F">
            <w:pPr>
              <w:pStyle w:val="TAH"/>
              <w:rPr>
                <w:rFonts w:eastAsia="Yu Mincho"/>
              </w:rPr>
            </w:pPr>
          </w:p>
        </w:tc>
        <w:tc>
          <w:tcPr>
            <w:tcW w:w="358" w:type="pct"/>
            <w:shd w:val="clear" w:color="auto" w:fill="auto"/>
            <w:tcMar>
              <w:top w:w="15" w:type="dxa"/>
              <w:left w:w="81" w:type="dxa"/>
              <w:bottom w:w="0" w:type="dxa"/>
              <w:right w:w="81" w:type="dxa"/>
            </w:tcMar>
            <w:hideMark/>
          </w:tcPr>
          <w:p w14:paraId="6316AA1B" w14:textId="77777777" w:rsidR="005505BA" w:rsidRPr="008C4DFC" w:rsidRDefault="005505BA" w:rsidP="00D0734F">
            <w:pPr>
              <w:pStyle w:val="TAH"/>
              <w:rPr>
                <w:rFonts w:eastAsia="Yu Mincho"/>
              </w:rPr>
            </w:pPr>
            <w:r w:rsidRPr="008C4DFC">
              <w:rPr>
                <w:rFonts w:eastAsia="Yu Mincho"/>
              </w:rPr>
              <w:t>N</w:t>
            </w:r>
            <w:r w:rsidRPr="008C4DFC">
              <w:rPr>
                <w:rFonts w:eastAsia="Yu Mincho"/>
                <w:vertAlign w:val="subscript"/>
              </w:rPr>
              <w:t>RB</w:t>
            </w:r>
          </w:p>
        </w:tc>
        <w:tc>
          <w:tcPr>
            <w:tcW w:w="358" w:type="pct"/>
            <w:shd w:val="clear" w:color="auto" w:fill="auto"/>
            <w:tcMar>
              <w:top w:w="15" w:type="dxa"/>
              <w:left w:w="81" w:type="dxa"/>
              <w:bottom w:w="0" w:type="dxa"/>
              <w:right w:w="81" w:type="dxa"/>
            </w:tcMar>
            <w:hideMark/>
          </w:tcPr>
          <w:p w14:paraId="7788C05F" w14:textId="77777777" w:rsidR="005505BA" w:rsidRPr="008C4DFC" w:rsidRDefault="005505BA" w:rsidP="00D0734F">
            <w:pPr>
              <w:pStyle w:val="TAH"/>
              <w:rPr>
                <w:rFonts w:eastAsia="Yu Mincho"/>
              </w:rPr>
            </w:pPr>
            <w:r w:rsidRPr="008C4DFC">
              <w:rPr>
                <w:rFonts w:eastAsia="Yu Mincho"/>
              </w:rPr>
              <w:t>N</w:t>
            </w:r>
            <w:r w:rsidRPr="008C4DFC">
              <w:rPr>
                <w:rFonts w:eastAsia="Yu Mincho"/>
                <w:vertAlign w:val="subscript"/>
              </w:rPr>
              <w:t>RB</w:t>
            </w:r>
          </w:p>
        </w:tc>
        <w:tc>
          <w:tcPr>
            <w:tcW w:w="359" w:type="pct"/>
            <w:shd w:val="clear" w:color="auto" w:fill="auto"/>
            <w:tcMar>
              <w:top w:w="15" w:type="dxa"/>
              <w:left w:w="81" w:type="dxa"/>
              <w:bottom w:w="0" w:type="dxa"/>
              <w:right w:w="81" w:type="dxa"/>
            </w:tcMar>
            <w:hideMark/>
          </w:tcPr>
          <w:p w14:paraId="5448F24C" w14:textId="77777777" w:rsidR="005505BA" w:rsidRPr="008C4DFC" w:rsidRDefault="005505BA" w:rsidP="00D0734F">
            <w:pPr>
              <w:pStyle w:val="TAH"/>
              <w:rPr>
                <w:rFonts w:eastAsia="Yu Mincho"/>
              </w:rPr>
            </w:pPr>
            <w:r w:rsidRPr="008C4DFC">
              <w:rPr>
                <w:rFonts w:eastAsia="Yu Mincho"/>
              </w:rPr>
              <w:t>N</w:t>
            </w:r>
            <w:r w:rsidRPr="008C4DFC">
              <w:rPr>
                <w:rFonts w:eastAsia="Yu Mincho"/>
                <w:vertAlign w:val="subscript"/>
              </w:rPr>
              <w:t>RB</w:t>
            </w:r>
          </w:p>
        </w:tc>
        <w:tc>
          <w:tcPr>
            <w:tcW w:w="358" w:type="pct"/>
          </w:tcPr>
          <w:p w14:paraId="0D843C22" w14:textId="77777777" w:rsidR="005505BA" w:rsidRPr="008C4DFC" w:rsidRDefault="005505BA" w:rsidP="00D0734F">
            <w:pPr>
              <w:pStyle w:val="TAH"/>
              <w:rPr>
                <w:rFonts w:eastAsia="Yu Mincho"/>
              </w:rPr>
            </w:pPr>
            <w:r w:rsidRPr="008C4DFC">
              <w:rPr>
                <w:rFonts w:eastAsia="Yu Mincho"/>
              </w:rPr>
              <w:t>N</w:t>
            </w:r>
            <w:r w:rsidRPr="008C4DFC">
              <w:rPr>
                <w:rFonts w:eastAsia="Yu Mincho"/>
                <w:vertAlign w:val="subscript"/>
              </w:rPr>
              <w:t>RB</w:t>
            </w:r>
          </w:p>
        </w:tc>
        <w:tc>
          <w:tcPr>
            <w:tcW w:w="358" w:type="pct"/>
            <w:shd w:val="clear" w:color="auto" w:fill="auto"/>
            <w:tcMar>
              <w:top w:w="15" w:type="dxa"/>
              <w:left w:w="81" w:type="dxa"/>
              <w:bottom w:w="0" w:type="dxa"/>
              <w:right w:w="81" w:type="dxa"/>
            </w:tcMar>
            <w:hideMark/>
          </w:tcPr>
          <w:p w14:paraId="250394C2" w14:textId="77777777" w:rsidR="005505BA" w:rsidRPr="008C4DFC" w:rsidRDefault="005505BA" w:rsidP="00D0734F">
            <w:pPr>
              <w:pStyle w:val="TAH"/>
              <w:rPr>
                <w:rFonts w:eastAsia="Yu Mincho"/>
              </w:rPr>
            </w:pPr>
            <w:r w:rsidRPr="008C4DFC">
              <w:rPr>
                <w:rFonts w:eastAsia="Yu Mincho"/>
              </w:rPr>
              <w:t>N</w:t>
            </w:r>
            <w:r w:rsidRPr="008C4DFC">
              <w:rPr>
                <w:rFonts w:eastAsia="Yu Mincho"/>
                <w:vertAlign w:val="subscript"/>
              </w:rPr>
              <w:t>RB</w:t>
            </w:r>
          </w:p>
        </w:tc>
        <w:tc>
          <w:tcPr>
            <w:tcW w:w="359" w:type="pct"/>
            <w:shd w:val="clear" w:color="auto" w:fill="auto"/>
            <w:tcMar>
              <w:top w:w="15" w:type="dxa"/>
              <w:left w:w="81" w:type="dxa"/>
              <w:bottom w:w="0" w:type="dxa"/>
              <w:right w:w="81" w:type="dxa"/>
            </w:tcMar>
            <w:hideMark/>
          </w:tcPr>
          <w:p w14:paraId="156E96FE" w14:textId="77777777" w:rsidR="005505BA" w:rsidRPr="008C4DFC" w:rsidRDefault="005505BA" w:rsidP="00D0734F">
            <w:pPr>
              <w:pStyle w:val="TAH"/>
              <w:rPr>
                <w:rFonts w:eastAsia="Yu Mincho"/>
              </w:rPr>
            </w:pPr>
            <w:r w:rsidRPr="008C4DFC">
              <w:rPr>
                <w:rFonts w:eastAsia="Yu Mincho"/>
              </w:rPr>
              <w:t>N</w:t>
            </w:r>
            <w:r w:rsidRPr="008C4DFC">
              <w:rPr>
                <w:rFonts w:eastAsia="Yu Mincho"/>
                <w:vertAlign w:val="subscript"/>
              </w:rPr>
              <w:t>RB</w:t>
            </w:r>
          </w:p>
        </w:tc>
        <w:tc>
          <w:tcPr>
            <w:tcW w:w="358" w:type="pct"/>
            <w:shd w:val="clear" w:color="auto" w:fill="auto"/>
            <w:tcMar>
              <w:top w:w="15" w:type="dxa"/>
              <w:left w:w="81" w:type="dxa"/>
              <w:bottom w:w="0" w:type="dxa"/>
              <w:right w:w="81" w:type="dxa"/>
            </w:tcMar>
            <w:hideMark/>
          </w:tcPr>
          <w:p w14:paraId="4EA350CF" w14:textId="77777777" w:rsidR="005505BA" w:rsidRPr="008C4DFC" w:rsidRDefault="005505BA" w:rsidP="00D0734F">
            <w:pPr>
              <w:pStyle w:val="TAH"/>
              <w:rPr>
                <w:rFonts w:eastAsia="Yu Mincho"/>
              </w:rPr>
            </w:pPr>
            <w:r w:rsidRPr="008C4DFC">
              <w:rPr>
                <w:rFonts w:eastAsia="Yu Mincho"/>
              </w:rPr>
              <w:t>N</w:t>
            </w:r>
            <w:r w:rsidRPr="008C4DFC">
              <w:rPr>
                <w:rFonts w:eastAsia="Yu Mincho"/>
                <w:vertAlign w:val="subscript"/>
              </w:rPr>
              <w:t>RB</w:t>
            </w:r>
          </w:p>
        </w:tc>
        <w:tc>
          <w:tcPr>
            <w:tcW w:w="359" w:type="pct"/>
            <w:shd w:val="clear" w:color="auto" w:fill="auto"/>
            <w:tcMar>
              <w:top w:w="15" w:type="dxa"/>
              <w:left w:w="81" w:type="dxa"/>
              <w:bottom w:w="0" w:type="dxa"/>
              <w:right w:w="81" w:type="dxa"/>
            </w:tcMar>
            <w:hideMark/>
          </w:tcPr>
          <w:p w14:paraId="6A5FFA6D" w14:textId="77777777" w:rsidR="005505BA" w:rsidRPr="008C4DFC" w:rsidRDefault="005505BA" w:rsidP="00D0734F">
            <w:pPr>
              <w:pStyle w:val="TAH"/>
              <w:rPr>
                <w:rFonts w:eastAsia="Yu Mincho"/>
              </w:rPr>
            </w:pPr>
            <w:r w:rsidRPr="008C4DFC">
              <w:rPr>
                <w:rFonts w:eastAsia="Yu Mincho"/>
              </w:rPr>
              <w:t>N</w:t>
            </w:r>
            <w:r w:rsidRPr="008C4DFC">
              <w:rPr>
                <w:rFonts w:eastAsia="Yu Mincho"/>
                <w:vertAlign w:val="subscript"/>
              </w:rPr>
              <w:t>RB</w:t>
            </w:r>
          </w:p>
        </w:tc>
        <w:tc>
          <w:tcPr>
            <w:tcW w:w="358" w:type="pct"/>
            <w:shd w:val="clear" w:color="auto" w:fill="auto"/>
            <w:tcMar>
              <w:top w:w="15" w:type="dxa"/>
              <w:left w:w="81" w:type="dxa"/>
              <w:bottom w:w="0" w:type="dxa"/>
              <w:right w:w="81" w:type="dxa"/>
            </w:tcMar>
            <w:hideMark/>
          </w:tcPr>
          <w:p w14:paraId="7F1710A5" w14:textId="77777777" w:rsidR="005505BA" w:rsidRPr="008C4DFC" w:rsidRDefault="005505BA" w:rsidP="00D0734F">
            <w:pPr>
              <w:pStyle w:val="TAH"/>
              <w:rPr>
                <w:rFonts w:eastAsia="Yu Mincho"/>
              </w:rPr>
            </w:pPr>
            <w:r w:rsidRPr="008C4DFC">
              <w:rPr>
                <w:rFonts w:eastAsia="Yu Mincho"/>
              </w:rPr>
              <w:t>N</w:t>
            </w:r>
            <w:r w:rsidRPr="008C4DFC">
              <w:rPr>
                <w:rFonts w:eastAsia="Yu Mincho"/>
                <w:vertAlign w:val="subscript"/>
              </w:rPr>
              <w:t>RB</w:t>
            </w:r>
          </w:p>
        </w:tc>
        <w:tc>
          <w:tcPr>
            <w:tcW w:w="358" w:type="pct"/>
          </w:tcPr>
          <w:p w14:paraId="32E67D1B" w14:textId="77777777" w:rsidR="005505BA" w:rsidRPr="008C4DFC" w:rsidRDefault="005505BA" w:rsidP="00D0734F">
            <w:pPr>
              <w:pStyle w:val="TAH"/>
              <w:rPr>
                <w:rFonts w:eastAsia="Yu Mincho"/>
              </w:rPr>
            </w:pPr>
            <w:r w:rsidRPr="008C4DFC">
              <w:rPr>
                <w:rFonts w:eastAsia="Yu Mincho"/>
              </w:rPr>
              <w:t>N</w:t>
            </w:r>
            <w:r w:rsidRPr="008C4DFC">
              <w:rPr>
                <w:rFonts w:eastAsia="Yu Mincho"/>
                <w:vertAlign w:val="subscript"/>
              </w:rPr>
              <w:t>RB</w:t>
            </w:r>
          </w:p>
        </w:tc>
        <w:tc>
          <w:tcPr>
            <w:tcW w:w="359" w:type="pct"/>
            <w:shd w:val="clear" w:color="auto" w:fill="auto"/>
            <w:tcMar>
              <w:top w:w="15" w:type="dxa"/>
              <w:left w:w="81" w:type="dxa"/>
              <w:bottom w:w="0" w:type="dxa"/>
              <w:right w:w="81" w:type="dxa"/>
            </w:tcMar>
            <w:hideMark/>
          </w:tcPr>
          <w:p w14:paraId="4F5A55B1" w14:textId="77777777" w:rsidR="005505BA" w:rsidRPr="008C4DFC" w:rsidRDefault="005505BA" w:rsidP="00D0734F">
            <w:pPr>
              <w:pStyle w:val="TAH"/>
              <w:rPr>
                <w:rFonts w:eastAsia="Yu Mincho"/>
              </w:rPr>
            </w:pPr>
            <w:r w:rsidRPr="008C4DFC">
              <w:rPr>
                <w:rFonts w:eastAsia="Yu Mincho"/>
              </w:rPr>
              <w:t>N</w:t>
            </w:r>
            <w:r w:rsidRPr="008C4DFC">
              <w:rPr>
                <w:rFonts w:eastAsia="Yu Mincho"/>
                <w:vertAlign w:val="subscript"/>
              </w:rPr>
              <w:t>RB</w:t>
            </w:r>
          </w:p>
        </w:tc>
        <w:tc>
          <w:tcPr>
            <w:tcW w:w="358" w:type="pct"/>
          </w:tcPr>
          <w:p w14:paraId="57963BD2" w14:textId="77777777" w:rsidR="005505BA" w:rsidRPr="008C4DFC" w:rsidRDefault="005505BA" w:rsidP="00D0734F">
            <w:pPr>
              <w:pStyle w:val="TAH"/>
              <w:rPr>
                <w:rFonts w:eastAsia="Yu Mincho"/>
              </w:rPr>
            </w:pPr>
            <w:r w:rsidRPr="008C4DFC">
              <w:rPr>
                <w:rFonts w:eastAsia="Yu Mincho"/>
              </w:rPr>
              <w:t>N</w:t>
            </w:r>
            <w:r w:rsidRPr="008C4DFC">
              <w:rPr>
                <w:rFonts w:eastAsia="Yu Mincho"/>
                <w:vertAlign w:val="subscript"/>
              </w:rPr>
              <w:t>RB</w:t>
            </w:r>
          </w:p>
        </w:tc>
        <w:tc>
          <w:tcPr>
            <w:tcW w:w="403" w:type="pct"/>
            <w:shd w:val="clear" w:color="auto" w:fill="auto"/>
            <w:tcMar>
              <w:top w:w="15" w:type="dxa"/>
              <w:left w:w="81" w:type="dxa"/>
              <w:bottom w:w="0" w:type="dxa"/>
              <w:right w:w="81" w:type="dxa"/>
            </w:tcMar>
            <w:hideMark/>
          </w:tcPr>
          <w:p w14:paraId="3981BCEF" w14:textId="77777777" w:rsidR="005505BA" w:rsidRPr="008C4DFC" w:rsidRDefault="005505BA" w:rsidP="00D0734F">
            <w:pPr>
              <w:pStyle w:val="TAH"/>
              <w:rPr>
                <w:rFonts w:eastAsia="Yu Mincho"/>
              </w:rPr>
            </w:pPr>
            <w:r w:rsidRPr="008C4DFC">
              <w:rPr>
                <w:rFonts w:eastAsia="Yu Mincho"/>
              </w:rPr>
              <w:t>N</w:t>
            </w:r>
            <w:r w:rsidRPr="008C4DFC">
              <w:rPr>
                <w:rFonts w:eastAsia="Yu Mincho"/>
                <w:vertAlign w:val="subscript"/>
              </w:rPr>
              <w:t>RB</w:t>
            </w:r>
          </w:p>
        </w:tc>
      </w:tr>
      <w:tr w:rsidR="005505BA" w:rsidRPr="008C4DFC" w14:paraId="0CDB4EAF" w14:textId="77777777" w:rsidTr="00D0734F">
        <w:tc>
          <w:tcPr>
            <w:tcW w:w="294" w:type="pct"/>
            <w:shd w:val="clear" w:color="auto" w:fill="auto"/>
            <w:tcMar>
              <w:top w:w="15" w:type="dxa"/>
              <w:left w:w="81" w:type="dxa"/>
              <w:bottom w:w="0" w:type="dxa"/>
              <w:right w:w="81" w:type="dxa"/>
            </w:tcMar>
            <w:hideMark/>
          </w:tcPr>
          <w:p w14:paraId="658262E8" w14:textId="77777777" w:rsidR="005505BA" w:rsidRPr="008C4DFC" w:rsidRDefault="005505BA" w:rsidP="00D0734F">
            <w:pPr>
              <w:pStyle w:val="TAC"/>
              <w:rPr>
                <w:rFonts w:eastAsia="Yu Mincho"/>
              </w:rPr>
            </w:pPr>
            <w:r w:rsidRPr="008C4DFC">
              <w:rPr>
                <w:rFonts w:eastAsia="Yu Mincho"/>
              </w:rPr>
              <w:t>15</w:t>
            </w:r>
          </w:p>
        </w:tc>
        <w:tc>
          <w:tcPr>
            <w:tcW w:w="358" w:type="pct"/>
            <w:shd w:val="clear" w:color="auto" w:fill="auto"/>
            <w:tcMar>
              <w:top w:w="15" w:type="dxa"/>
              <w:left w:w="81" w:type="dxa"/>
              <w:bottom w:w="0" w:type="dxa"/>
              <w:right w:w="81" w:type="dxa"/>
            </w:tcMar>
            <w:hideMark/>
          </w:tcPr>
          <w:p w14:paraId="56193DE4" w14:textId="77777777" w:rsidR="005505BA" w:rsidRPr="008C4DFC" w:rsidRDefault="005505BA" w:rsidP="00D0734F">
            <w:pPr>
              <w:pStyle w:val="TAC"/>
              <w:rPr>
                <w:rFonts w:eastAsia="Yu Mincho"/>
              </w:rPr>
            </w:pPr>
            <w:r w:rsidRPr="008C4DFC">
              <w:rPr>
                <w:rFonts w:eastAsia="Yu Mincho"/>
              </w:rPr>
              <w:t>25</w:t>
            </w:r>
          </w:p>
        </w:tc>
        <w:tc>
          <w:tcPr>
            <w:tcW w:w="358" w:type="pct"/>
            <w:shd w:val="clear" w:color="auto" w:fill="auto"/>
            <w:tcMar>
              <w:top w:w="15" w:type="dxa"/>
              <w:left w:w="81" w:type="dxa"/>
              <w:bottom w:w="0" w:type="dxa"/>
              <w:right w:w="81" w:type="dxa"/>
            </w:tcMar>
            <w:hideMark/>
          </w:tcPr>
          <w:p w14:paraId="216824FA" w14:textId="77777777" w:rsidR="005505BA" w:rsidRPr="008C4DFC" w:rsidRDefault="005505BA" w:rsidP="00D0734F">
            <w:pPr>
              <w:pStyle w:val="TAC"/>
              <w:rPr>
                <w:rFonts w:eastAsia="Yu Mincho"/>
              </w:rPr>
            </w:pPr>
            <w:r w:rsidRPr="008C4DFC">
              <w:rPr>
                <w:rFonts w:eastAsia="Yu Mincho"/>
              </w:rPr>
              <w:t>52</w:t>
            </w:r>
          </w:p>
        </w:tc>
        <w:tc>
          <w:tcPr>
            <w:tcW w:w="359" w:type="pct"/>
            <w:shd w:val="clear" w:color="auto" w:fill="auto"/>
            <w:tcMar>
              <w:top w:w="15" w:type="dxa"/>
              <w:left w:w="81" w:type="dxa"/>
              <w:bottom w:w="0" w:type="dxa"/>
              <w:right w:w="81" w:type="dxa"/>
            </w:tcMar>
            <w:hideMark/>
          </w:tcPr>
          <w:p w14:paraId="335F59CC" w14:textId="77777777" w:rsidR="005505BA" w:rsidRPr="008C4DFC" w:rsidRDefault="005505BA" w:rsidP="00D0734F">
            <w:pPr>
              <w:pStyle w:val="TAC"/>
              <w:rPr>
                <w:rFonts w:eastAsia="Yu Mincho"/>
              </w:rPr>
            </w:pPr>
            <w:r w:rsidRPr="008C4DFC">
              <w:rPr>
                <w:rFonts w:eastAsia="Yu Mincho"/>
              </w:rPr>
              <w:t>79</w:t>
            </w:r>
          </w:p>
        </w:tc>
        <w:tc>
          <w:tcPr>
            <w:tcW w:w="358" w:type="pct"/>
          </w:tcPr>
          <w:p w14:paraId="6C04ABD1" w14:textId="77777777" w:rsidR="005505BA" w:rsidRPr="008C4DFC" w:rsidRDefault="005505BA" w:rsidP="00D0734F">
            <w:pPr>
              <w:pStyle w:val="TAC"/>
              <w:rPr>
                <w:rFonts w:eastAsia="Yu Mincho"/>
              </w:rPr>
            </w:pPr>
            <w:r w:rsidRPr="008C4DFC">
              <w:t>[160]</w:t>
            </w:r>
          </w:p>
        </w:tc>
        <w:tc>
          <w:tcPr>
            <w:tcW w:w="358" w:type="pct"/>
            <w:shd w:val="clear" w:color="auto" w:fill="auto"/>
            <w:tcMar>
              <w:top w:w="15" w:type="dxa"/>
              <w:left w:w="81" w:type="dxa"/>
              <w:bottom w:w="0" w:type="dxa"/>
              <w:right w:w="81" w:type="dxa"/>
            </w:tcMar>
            <w:hideMark/>
          </w:tcPr>
          <w:p w14:paraId="0A40606C" w14:textId="77777777" w:rsidR="005505BA" w:rsidRPr="008C4DFC" w:rsidRDefault="005505BA" w:rsidP="00D0734F">
            <w:pPr>
              <w:pStyle w:val="TAC"/>
              <w:rPr>
                <w:rFonts w:eastAsia="Yu Mincho"/>
              </w:rPr>
            </w:pPr>
            <w:r w:rsidRPr="008C4DFC">
              <w:rPr>
                <w:rFonts w:eastAsia="Yu Mincho"/>
              </w:rPr>
              <w:t>106</w:t>
            </w:r>
          </w:p>
        </w:tc>
        <w:tc>
          <w:tcPr>
            <w:tcW w:w="359" w:type="pct"/>
            <w:shd w:val="clear" w:color="auto" w:fill="auto"/>
            <w:tcMar>
              <w:top w:w="15" w:type="dxa"/>
              <w:left w:w="81" w:type="dxa"/>
              <w:bottom w:w="0" w:type="dxa"/>
              <w:right w:w="81" w:type="dxa"/>
            </w:tcMar>
            <w:hideMark/>
          </w:tcPr>
          <w:p w14:paraId="62BFCD7F" w14:textId="77777777" w:rsidR="005505BA" w:rsidRPr="008C4DFC" w:rsidRDefault="005505BA" w:rsidP="00D0734F">
            <w:pPr>
              <w:pStyle w:val="TAC"/>
              <w:rPr>
                <w:rFonts w:eastAsia="Yu Mincho"/>
              </w:rPr>
            </w:pPr>
            <w:r w:rsidRPr="008C4DFC">
              <w:rPr>
                <w:rFonts w:eastAsia="Yu Mincho"/>
              </w:rPr>
              <w:t>133</w:t>
            </w:r>
          </w:p>
        </w:tc>
        <w:tc>
          <w:tcPr>
            <w:tcW w:w="358" w:type="pct"/>
            <w:shd w:val="clear" w:color="auto" w:fill="auto"/>
            <w:tcMar>
              <w:top w:w="15" w:type="dxa"/>
              <w:left w:w="81" w:type="dxa"/>
              <w:bottom w:w="0" w:type="dxa"/>
              <w:right w:w="81" w:type="dxa"/>
            </w:tcMar>
            <w:hideMark/>
          </w:tcPr>
          <w:p w14:paraId="733B7F2A" w14:textId="77777777" w:rsidR="005505BA" w:rsidRPr="008C4DFC" w:rsidRDefault="005505BA" w:rsidP="00D0734F">
            <w:pPr>
              <w:pStyle w:val="TAC"/>
              <w:rPr>
                <w:rFonts w:eastAsia="Yu Mincho"/>
              </w:rPr>
            </w:pPr>
            <w:r w:rsidRPr="008C4DFC">
              <w:rPr>
                <w:rFonts w:eastAsia="Yu Mincho"/>
              </w:rPr>
              <w:t>216</w:t>
            </w:r>
          </w:p>
        </w:tc>
        <w:tc>
          <w:tcPr>
            <w:tcW w:w="359" w:type="pct"/>
            <w:shd w:val="clear" w:color="auto" w:fill="auto"/>
            <w:tcMar>
              <w:top w:w="15" w:type="dxa"/>
              <w:left w:w="81" w:type="dxa"/>
              <w:bottom w:w="0" w:type="dxa"/>
              <w:right w:w="81" w:type="dxa"/>
            </w:tcMar>
            <w:hideMark/>
          </w:tcPr>
          <w:p w14:paraId="4C8A5C07" w14:textId="77777777" w:rsidR="005505BA" w:rsidRPr="008C4DFC" w:rsidRDefault="005505BA" w:rsidP="00D0734F">
            <w:pPr>
              <w:pStyle w:val="TAC"/>
              <w:rPr>
                <w:rFonts w:eastAsia="Yu Mincho"/>
              </w:rPr>
            </w:pPr>
            <w:r w:rsidRPr="008C4DFC">
              <w:rPr>
                <w:rFonts w:eastAsia="Yu Mincho"/>
              </w:rPr>
              <w:t>270</w:t>
            </w:r>
          </w:p>
        </w:tc>
        <w:tc>
          <w:tcPr>
            <w:tcW w:w="358" w:type="pct"/>
            <w:shd w:val="clear" w:color="auto" w:fill="auto"/>
            <w:tcMar>
              <w:top w:w="15" w:type="dxa"/>
              <w:left w:w="81" w:type="dxa"/>
              <w:bottom w:w="0" w:type="dxa"/>
              <w:right w:w="81" w:type="dxa"/>
            </w:tcMar>
            <w:hideMark/>
          </w:tcPr>
          <w:p w14:paraId="72F9566D" w14:textId="77777777" w:rsidR="005505BA" w:rsidRPr="008C4DFC" w:rsidRDefault="005505BA" w:rsidP="00D0734F">
            <w:pPr>
              <w:pStyle w:val="TAC"/>
              <w:rPr>
                <w:rFonts w:eastAsia="Yu Mincho"/>
              </w:rPr>
            </w:pPr>
            <w:r w:rsidRPr="008C4DFC">
              <w:rPr>
                <w:rFonts w:eastAsia="Yu Mincho"/>
              </w:rPr>
              <w:t>N.A</w:t>
            </w:r>
          </w:p>
        </w:tc>
        <w:tc>
          <w:tcPr>
            <w:tcW w:w="358" w:type="pct"/>
          </w:tcPr>
          <w:p w14:paraId="6275844A" w14:textId="77777777" w:rsidR="005505BA" w:rsidRPr="008C4DFC" w:rsidRDefault="005505BA" w:rsidP="00D0734F">
            <w:pPr>
              <w:pStyle w:val="TAC"/>
              <w:rPr>
                <w:rFonts w:eastAsia="Yu Mincho"/>
              </w:rPr>
            </w:pPr>
            <w:r w:rsidRPr="008C4DFC">
              <w:t>N.A</w:t>
            </w:r>
          </w:p>
        </w:tc>
        <w:tc>
          <w:tcPr>
            <w:tcW w:w="359" w:type="pct"/>
            <w:shd w:val="clear" w:color="auto" w:fill="auto"/>
            <w:tcMar>
              <w:top w:w="15" w:type="dxa"/>
              <w:left w:w="81" w:type="dxa"/>
              <w:bottom w:w="0" w:type="dxa"/>
              <w:right w:w="81" w:type="dxa"/>
            </w:tcMar>
            <w:hideMark/>
          </w:tcPr>
          <w:p w14:paraId="5160EBEA" w14:textId="77777777" w:rsidR="005505BA" w:rsidRPr="008C4DFC" w:rsidRDefault="005505BA" w:rsidP="00D0734F">
            <w:pPr>
              <w:pStyle w:val="TAC"/>
              <w:rPr>
                <w:rFonts w:eastAsia="Yu Mincho"/>
              </w:rPr>
            </w:pPr>
            <w:r w:rsidRPr="008C4DFC">
              <w:rPr>
                <w:rFonts w:eastAsia="Yu Mincho"/>
              </w:rPr>
              <w:t>N.A</w:t>
            </w:r>
          </w:p>
        </w:tc>
        <w:tc>
          <w:tcPr>
            <w:tcW w:w="358" w:type="pct"/>
          </w:tcPr>
          <w:p w14:paraId="0E475278" w14:textId="77777777" w:rsidR="005505BA" w:rsidRPr="008C4DFC" w:rsidRDefault="005505BA" w:rsidP="00D0734F">
            <w:pPr>
              <w:pStyle w:val="TAC"/>
              <w:rPr>
                <w:rFonts w:eastAsia="Yu Mincho"/>
              </w:rPr>
            </w:pPr>
            <w:r w:rsidRPr="008C4DFC">
              <w:t>N.A</w:t>
            </w:r>
          </w:p>
        </w:tc>
        <w:tc>
          <w:tcPr>
            <w:tcW w:w="403" w:type="pct"/>
            <w:shd w:val="clear" w:color="auto" w:fill="auto"/>
            <w:tcMar>
              <w:top w:w="15" w:type="dxa"/>
              <w:left w:w="81" w:type="dxa"/>
              <w:bottom w:w="0" w:type="dxa"/>
              <w:right w:w="81" w:type="dxa"/>
            </w:tcMar>
            <w:hideMark/>
          </w:tcPr>
          <w:p w14:paraId="61336CA1" w14:textId="77777777" w:rsidR="005505BA" w:rsidRPr="008C4DFC" w:rsidRDefault="005505BA" w:rsidP="00D0734F">
            <w:pPr>
              <w:pStyle w:val="TAC"/>
              <w:rPr>
                <w:rFonts w:eastAsia="Yu Mincho"/>
              </w:rPr>
            </w:pPr>
            <w:r w:rsidRPr="008C4DFC">
              <w:rPr>
                <w:rFonts w:eastAsia="Yu Mincho"/>
              </w:rPr>
              <w:t>N.A</w:t>
            </w:r>
          </w:p>
        </w:tc>
      </w:tr>
      <w:tr w:rsidR="005505BA" w:rsidRPr="008C4DFC" w14:paraId="3396DBF8" w14:textId="77777777" w:rsidTr="00D0734F">
        <w:tc>
          <w:tcPr>
            <w:tcW w:w="294" w:type="pct"/>
            <w:shd w:val="clear" w:color="auto" w:fill="auto"/>
            <w:tcMar>
              <w:top w:w="15" w:type="dxa"/>
              <w:left w:w="81" w:type="dxa"/>
              <w:bottom w:w="0" w:type="dxa"/>
              <w:right w:w="81" w:type="dxa"/>
            </w:tcMar>
            <w:hideMark/>
          </w:tcPr>
          <w:p w14:paraId="54663C28" w14:textId="77777777" w:rsidR="005505BA" w:rsidRPr="008C4DFC" w:rsidRDefault="005505BA" w:rsidP="00D0734F">
            <w:pPr>
              <w:pStyle w:val="TAC"/>
              <w:rPr>
                <w:rFonts w:eastAsia="Yu Mincho"/>
              </w:rPr>
            </w:pPr>
            <w:r w:rsidRPr="008C4DFC">
              <w:rPr>
                <w:rFonts w:eastAsia="Yu Mincho"/>
              </w:rPr>
              <w:t>30</w:t>
            </w:r>
          </w:p>
        </w:tc>
        <w:tc>
          <w:tcPr>
            <w:tcW w:w="358" w:type="pct"/>
            <w:shd w:val="clear" w:color="auto" w:fill="auto"/>
            <w:tcMar>
              <w:top w:w="15" w:type="dxa"/>
              <w:left w:w="81" w:type="dxa"/>
              <w:bottom w:w="0" w:type="dxa"/>
              <w:right w:w="81" w:type="dxa"/>
            </w:tcMar>
            <w:hideMark/>
          </w:tcPr>
          <w:p w14:paraId="711EA74A" w14:textId="77777777" w:rsidR="005505BA" w:rsidRPr="008C4DFC" w:rsidRDefault="005505BA" w:rsidP="00D0734F">
            <w:pPr>
              <w:pStyle w:val="TAC"/>
              <w:rPr>
                <w:rFonts w:eastAsia="Yu Mincho"/>
              </w:rPr>
            </w:pPr>
            <w:r w:rsidRPr="008C4DFC">
              <w:rPr>
                <w:rFonts w:eastAsia="Yu Mincho"/>
              </w:rPr>
              <w:t>11</w:t>
            </w:r>
          </w:p>
        </w:tc>
        <w:tc>
          <w:tcPr>
            <w:tcW w:w="358" w:type="pct"/>
            <w:shd w:val="clear" w:color="auto" w:fill="auto"/>
            <w:tcMar>
              <w:top w:w="15" w:type="dxa"/>
              <w:left w:w="81" w:type="dxa"/>
              <w:bottom w:w="0" w:type="dxa"/>
              <w:right w:w="81" w:type="dxa"/>
            </w:tcMar>
            <w:hideMark/>
          </w:tcPr>
          <w:p w14:paraId="4004BD24" w14:textId="77777777" w:rsidR="005505BA" w:rsidRPr="008C4DFC" w:rsidRDefault="005505BA" w:rsidP="00D0734F">
            <w:pPr>
              <w:pStyle w:val="TAC"/>
              <w:rPr>
                <w:rFonts w:eastAsia="Yu Mincho"/>
              </w:rPr>
            </w:pPr>
            <w:r w:rsidRPr="008C4DFC">
              <w:rPr>
                <w:rFonts w:eastAsia="Yu Mincho"/>
              </w:rPr>
              <w:t>24</w:t>
            </w:r>
          </w:p>
        </w:tc>
        <w:tc>
          <w:tcPr>
            <w:tcW w:w="359" w:type="pct"/>
            <w:shd w:val="clear" w:color="auto" w:fill="auto"/>
            <w:tcMar>
              <w:top w:w="15" w:type="dxa"/>
              <w:left w:w="81" w:type="dxa"/>
              <w:bottom w:w="0" w:type="dxa"/>
              <w:right w:w="81" w:type="dxa"/>
            </w:tcMar>
            <w:hideMark/>
          </w:tcPr>
          <w:p w14:paraId="10D8E047" w14:textId="77777777" w:rsidR="005505BA" w:rsidRPr="008C4DFC" w:rsidRDefault="005505BA" w:rsidP="00D0734F">
            <w:pPr>
              <w:pStyle w:val="TAC"/>
              <w:rPr>
                <w:rFonts w:eastAsia="Yu Mincho"/>
              </w:rPr>
            </w:pPr>
            <w:r w:rsidRPr="008C4DFC">
              <w:rPr>
                <w:rFonts w:eastAsia="Yu Mincho"/>
              </w:rPr>
              <w:t>38</w:t>
            </w:r>
          </w:p>
        </w:tc>
        <w:tc>
          <w:tcPr>
            <w:tcW w:w="358" w:type="pct"/>
          </w:tcPr>
          <w:p w14:paraId="6B20C13B" w14:textId="77777777" w:rsidR="005505BA" w:rsidRPr="008C4DFC" w:rsidRDefault="005505BA" w:rsidP="00D0734F">
            <w:pPr>
              <w:pStyle w:val="TAC"/>
              <w:rPr>
                <w:rFonts w:eastAsia="Yu Mincho"/>
              </w:rPr>
            </w:pPr>
            <w:r w:rsidRPr="008C4DFC">
              <w:t>[78]</w:t>
            </w:r>
          </w:p>
        </w:tc>
        <w:tc>
          <w:tcPr>
            <w:tcW w:w="358" w:type="pct"/>
            <w:shd w:val="clear" w:color="auto" w:fill="auto"/>
            <w:tcMar>
              <w:top w:w="15" w:type="dxa"/>
              <w:left w:w="81" w:type="dxa"/>
              <w:bottom w:w="0" w:type="dxa"/>
              <w:right w:w="81" w:type="dxa"/>
            </w:tcMar>
            <w:hideMark/>
          </w:tcPr>
          <w:p w14:paraId="62A1F289" w14:textId="77777777" w:rsidR="005505BA" w:rsidRPr="008C4DFC" w:rsidRDefault="005505BA" w:rsidP="00D0734F">
            <w:pPr>
              <w:pStyle w:val="TAC"/>
              <w:rPr>
                <w:rFonts w:eastAsia="Yu Mincho"/>
              </w:rPr>
            </w:pPr>
            <w:r w:rsidRPr="008C4DFC">
              <w:rPr>
                <w:rFonts w:eastAsia="Yu Mincho"/>
              </w:rPr>
              <w:t>51</w:t>
            </w:r>
          </w:p>
        </w:tc>
        <w:tc>
          <w:tcPr>
            <w:tcW w:w="359" w:type="pct"/>
            <w:shd w:val="clear" w:color="auto" w:fill="auto"/>
            <w:tcMar>
              <w:top w:w="15" w:type="dxa"/>
              <w:left w:w="81" w:type="dxa"/>
              <w:bottom w:w="0" w:type="dxa"/>
              <w:right w:w="81" w:type="dxa"/>
            </w:tcMar>
            <w:hideMark/>
          </w:tcPr>
          <w:p w14:paraId="79E26694" w14:textId="77777777" w:rsidR="005505BA" w:rsidRPr="008C4DFC" w:rsidRDefault="005505BA" w:rsidP="00D0734F">
            <w:pPr>
              <w:pStyle w:val="TAC"/>
              <w:rPr>
                <w:rFonts w:eastAsia="Yu Mincho"/>
              </w:rPr>
            </w:pPr>
            <w:r w:rsidRPr="008C4DFC">
              <w:rPr>
                <w:rFonts w:eastAsia="Yu Mincho"/>
              </w:rPr>
              <w:t>65</w:t>
            </w:r>
          </w:p>
        </w:tc>
        <w:tc>
          <w:tcPr>
            <w:tcW w:w="358" w:type="pct"/>
            <w:shd w:val="clear" w:color="auto" w:fill="auto"/>
            <w:tcMar>
              <w:top w:w="15" w:type="dxa"/>
              <w:left w:w="81" w:type="dxa"/>
              <w:bottom w:w="0" w:type="dxa"/>
              <w:right w:w="81" w:type="dxa"/>
            </w:tcMar>
            <w:hideMark/>
          </w:tcPr>
          <w:p w14:paraId="7D8642C8" w14:textId="77777777" w:rsidR="005505BA" w:rsidRPr="008C4DFC" w:rsidRDefault="005505BA" w:rsidP="00D0734F">
            <w:pPr>
              <w:pStyle w:val="TAC"/>
              <w:rPr>
                <w:rFonts w:eastAsia="Yu Mincho"/>
              </w:rPr>
            </w:pPr>
            <w:r w:rsidRPr="008C4DFC">
              <w:rPr>
                <w:rFonts w:eastAsia="Yu Mincho"/>
              </w:rPr>
              <w:t>106</w:t>
            </w:r>
          </w:p>
        </w:tc>
        <w:tc>
          <w:tcPr>
            <w:tcW w:w="359" w:type="pct"/>
            <w:shd w:val="clear" w:color="auto" w:fill="auto"/>
            <w:tcMar>
              <w:top w:w="15" w:type="dxa"/>
              <w:left w:w="81" w:type="dxa"/>
              <w:bottom w:w="0" w:type="dxa"/>
              <w:right w:w="81" w:type="dxa"/>
            </w:tcMar>
            <w:hideMark/>
          </w:tcPr>
          <w:p w14:paraId="22BCFF26" w14:textId="77777777" w:rsidR="005505BA" w:rsidRPr="008C4DFC" w:rsidRDefault="005505BA" w:rsidP="00D0734F">
            <w:pPr>
              <w:pStyle w:val="TAC"/>
              <w:rPr>
                <w:rFonts w:eastAsia="Yu Mincho"/>
              </w:rPr>
            </w:pPr>
            <w:r w:rsidRPr="008C4DFC">
              <w:rPr>
                <w:rFonts w:eastAsia="Yu Mincho"/>
              </w:rPr>
              <w:t>133</w:t>
            </w:r>
          </w:p>
        </w:tc>
        <w:tc>
          <w:tcPr>
            <w:tcW w:w="358" w:type="pct"/>
            <w:shd w:val="clear" w:color="auto" w:fill="auto"/>
            <w:tcMar>
              <w:top w:w="15" w:type="dxa"/>
              <w:left w:w="81" w:type="dxa"/>
              <w:bottom w:w="0" w:type="dxa"/>
              <w:right w:w="81" w:type="dxa"/>
            </w:tcMar>
            <w:hideMark/>
          </w:tcPr>
          <w:p w14:paraId="47951E76" w14:textId="77777777" w:rsidR="005505BA" w:rsidRPr="008C4DFC" w:rsidRDefault="005505BA" w:rsidP="00D0734F">
            <w:pPr>
              <w:pStyle w:val="TAC"/>
              <w:rPr>
                <w:rFonts w:eastAsia="Yu Mincho"/>
              </w:rPr>
            </w:pPr>
            <w:r w:rsidRPr="008C4DFC">
              <w:rPr>
                <w:rFonts w:eastAsia="Yu Mincho"/>
              </w:rPr>
              <w:t>162</w:t>
            </w:r>
          </w:p>
        </w:tc>
        <w:tc>
          <w:tcPr>
            <w:tcW w:w="358" w:type="pct"/>
          </w:tcPr>
          <w:p w14:paraId="3EBE5D8C" w14:textId="77777777" w:rsidR="005505BA" w:rsidRPr="008C4DFC" w:rsidRDefault="005505BA" w:rsidP="00D0734F">
            <w:pPr>
              <w:pStyle w:val="TAC"/>
              <w:rPr>
                <w:rFonts w:eastAsia="Yu Mincho"/>
              </w:rPr>
            </w:pPr>
            <w:r w:rsidRPr="008C4DFC">
              <w:t>[189]</w:t>
            </w:r>
          </w:p>
        </w:tc>
        <w:tc>
          <w:tcPr>
            <w:tcW w:w="359" w:type="pct"/>
            <w:shd w:val="clear" w:color="auto" w:fill="auto"/>
            <w:tcMar>
              <w:top w:w="15" w:type="dxa"/>
              <w:left w:w="81" w:type="dxa"/>
              <w:bottom w:w="0" w:type="dxa"/>
              <w:right w:w="81" w:type="dxa"/>
            </w:tcMar>
            <w:hideMark/>
          </w:tcPr>
          <w:p w14:paraId="2817A50B" w14:textId="77777777" w:rsidR="005505BA" w:rsidRPr="008C4DFC" w:rsidRDefault="005505BA" w:rsidP="00D0734F">
            <w:pPr>
              <w:pStyle w:val="TAC"/>
              <w:rPr>
                <w:rFonts w:eastAsia="Yu Mincho"/>
              </w:rPr>
            </w:pPr>
            <w:r w:rsidRPr="008C4DFC">
              <w:rPr>
                <w:rFonts w:eastAsia="Yu Mincho"/>
              </w:rPr>
              <w:t>217</w:t>
            </w:r>
          </w:p>
        </w:tc>
        <w:tc>
          <w:tcPr>
            <w:tcW w:w="358" w:type="pct"/>
          </w:tcPr>
          <w:p w14:paraId="2E236107" w14:textId="77777777" w:rsidR="005505BA" w:rsidRPr="008C4DFC" w:rsidRDefault="005505BA" w:rsidP="00D0734F">
            <w:pPr>
              <w:pStyle w:val="TAC"/>
              <w:rPr>
                <w:rFonts w:eastAsia="Yu Mincho"/>
              </w:rPr>
            </w:pPr>
            <w:r w:rsidRPr="008C4DFC">
              <w:t>[245]</w:t>
            </w:r>
          </w:p>
        </w:tc>
        <w:tc>
          <w:tcPr>
            <w:tcW w:w="403" w:type="pct"/>
            <w:shd w:val="clear" w:color="auto" w:fill="auto"/>
            <w:tcMar>
              <w:top w:w="15" w:type="dxa"/>
              <w:left w:w="81" w:type="dxa"/>
              <w:bottom w:w="0" w:type="dxa"/>
              <w:right w:w="81" w:type="dxa"/>
            </w:tcMar>
            <w:hideMark/>
          </w:tcPr>
          <w:p w14:paraId="1E4E0EB4" w14:textId="77777777" w:rsidR="005505BA" w:rsidRPr="008C4DFC" w:rsidRDefault="005505BA" w:rsidP="00D0734F">
            <w:pPr>
              <w:pStyle w:val="TAC"/>
              <w:rPr>
                <w:rFonts w:eastAsia="Yu Mincho"/>
              </w:rPr>
            </w:pPr>
            <w:r w:rsidRPr="008C4DFC">
              <w:rPr>
                <w:rFonts w:eastAsia="Yu Mincho"/>
              </w:rPr>
              <w:t>273</w:t>
            </w:r>
          </w:p>
        </w:tc>
      </w:tr>
      <w:tr w:rsidR="005505BA" w:rsidRPr="008C4DFC" w14:paraId="1C903EA3" w14:textId="77777777" w:rsidTr="00D0734F">
        <w:tc>
          <w:tcPr>
            <w:tcW w:w="294" w:type="pct"/>
            <w:shd w:val="clear" w:color="auto" w:fill="auto"/>
            <w:tcMar>
              <w:top w:w="15" w:type="dxa"/>
              <w:left w:w="81" w:type="dxa"/>
              <w:bottom w:w="0" w:type="dxa"/>
              <w:right w:w="81" w:type="dxa"/>
            </w:tcMar>
            <w:hideMark/>
          </w:tcPr>
          <w:p w14:paraId="3D8184FF" w14:textId="77777777" w:rsidR="005505BA" w:rsidRPr="008C4DFC" w:rsidRDefault="005505BA" w:rsidP="00D0734F">
            <w:pPr>
              <w:pStyle w:val="TAC"/>
              <w:rPr>
                <w:rFonts w:eastAsia="Yu Mincho"/>
              </w:rPr>
            </w:pPr>
            <w:r w:rsidRPr="008C4DFC">
              <w:rPr>
                <w:rFonts w:eastAsia="Yu Mincho"/>
              </w:rPr>
              <w:lastRenderedPageBreak/>
              <w:t>60</w:t>
            </w:r>
          </w:p>
        </w:tc>
        <w:tc>
          <w:tcPr>
            <w:tcW w:w="358" w:type="pct"/>
            <w:shd w:val="clear" w:color="auto" w:fill="auto"/>
            <w:tcMar>
              <w:top w:w="15" w:type="dxa"/>
              <w:left w:w="81" w:type="dxa"/>
              <w:bottom w:w="0" w:type="dxa"/>
              <w:right w:w="81" w:type="dxa"/>
            </w:tcMar>
            <w:hideMark/>
          </w:tcPr>
          <w:p w14:paraId="2CD8048D" w14:textId="77777777" w:rsidR="005505BA" w:rsidRPr="008C4DFC" w:rsidRDefault="005505BA" w:rsidP="00D0734F">
            <w:pPr>
              <w:pStyle w:val="TAC"/>
              <w:rPr>
                <w:rFonts w:eastAsia="Yu Mincho"/>
              </w:rPr>
            </w:pPr>
            <w:r w:rsidRPr="008C4DFC">
              <w:rPr>
                <w:rFonts w:eastAsia="Yu Mincho"/>
              </w:rPr>
              <w:t>N.A</w:t>
            </w:r>
          </w:p>
        </w:tc>
        <w:tc>
          <w:tcPr>
            <w:tcW w:w="358" w:type="pct"/>
            <w:shd w:val="clear" w:color="auto" w:fill="auto"/>
            <w:tcMar>
              <w:top w:w="15" w:type="dxa"/>
              <w:left w:w="81" w:type="dxa"/>
              <w:bottom w:w="0" w:type="dxa"/>
              <w:right w:w="81" w:type="dxa"/>
            </w:tcMar>
            <w:hideMark/>
          </w:tcPr>
          <w:p w14:paraId="76336DDC" w14:textId="77777777" w:rsidR="005505BA" w:rsidRPr="008C4DFC" w:rsidRDefault="005505BA" w:rsidP="00D0734F">
            <w:pPr>
              <w:pStyle w:val="TAC"/>
              <w:rPr>
                <w:rFonts w:eastAsia="Yu Mincho"/>
              </w:rPr>
            </w:pPr>
            <w:r w:rsidRPr="008C4DFC">
              <w:rPr>
                <w:rFonts w:eastAsia="Yu Mincho"/>
              </w:rPr>
              <w:t>11</w:t>
            </w:r>
          </w:p>
        </w:tc>
        <w:tc>
          <w:tcPr>
            <w:tcW w:w="359" w:type="pct"/>
            <w:shd w:val="clear" w:color="auto" w:fill="auto"/>
            <w:tcMar>
              <w:top w:w="15" w:type="dxa"/>
              <w:left w:w="81" w:type="dxa"/>
              <w:bottom w:w="0" w:type="dxa"/>
              <w:right w:w="81" w:type="dxa"/>
            </w:tcMar>
            <w:hideMark/>
          </w:tcPr>
          <w:p w14:paraId="2E0A8C8E" w14:textId="77777777" w:rsidR="005505BA" w:rsidRPr="008C4DFC" w:rsidRDefault="005505BA" w:rsidP="00D0734F">
            <w:pPr>
              <w:pStyle w:val="TAC"/>
              <w:rPr>
                <w:rFonts w:eastAsia="Yu Mincho"/>
              </w:rPr>
            </w:pPr>
            <w:r w:rsidRPr="008C4DFC">
              <w:rPr>
                <w:rFonts w:eastAsia="Yu Mincho"/>
              </w:rPr>
              <w:t>18</w:t>
            </w:r>
          </w:p>
        </w:tc>
        <w:tc>
          <w:tcPr>
            <w:tcW w:w="358" w:type="pct"/>
          </w:tcPr>
          <w:p w14:paraId="65BEF255" w14:textId="77777777" w:rsidR="005505BA" w:rsidRPr="008C4DFC" w:rsidRDefault="005505BA" w:rsidP="00D0734F">
            <w:pPr>
              <w:pStyle w:val="TAC"/>
              <w:rPr>
                <w:rFonts w:eastAsia="Yu Mincho"/>
              </w:rPr>
            </w:pPr>
            <w:r w:rsidRPr="008C4DFC">
              <w:t>[38]</w:t>
            </w:r>
          </w:p>
        </w:tc>
        <w:tc>
          <w:tcPr>
            <w:tcW w:w="358" w:type="pct"/>
            <w:shd w:val="clear" w:color="auto" w:fill="auto"/>
            <w:tcMar>
              <w:top w:w="15" w:type="dxa"/>
              <w:left w:w="81" w:type="dxa"/>
              <w:bottom w:w="0" w:type="dxa"/>
              <w:right w:w="81" w:type="dxa"/>
            </w:tcMar>
            <w:hideMark/>
          </w:tcPr>
          <w:p w14:paraId="6963A368" w14:textId="77777777" w:rsidR="005505BA" w:rsidRPr="008C4DFC" w:rsidRDefault="005505BA" w:rsidP="00D0734F">
            <w:pPr>
              <w:pStyle w:val="TAC"/>
              <w:rPr>
                <w:rFonts w:eastAsia="Yu Mincho"/>
              </w:rPr>
            </w:pPr>
            <w:r w:rsidRPr="008C4DFC">
              <w:rPr>
                <w:rFonts w:eastAsia="Yu Mincho"/>
              </w:rPr>
              <w:t>24</w:t>
            </w:r>
          </w:p>
        </w:tc>
        <w:tc>
          <w:tcPr>
            <w:tcW w:w="359" w:type="pct"/>
            <w:shd w:val="clear" w:color="auto" w:fill="auto"/>
            <w:tcMar>
              <w:top w:w="15" w:type="dxa"/>
              <w:left w:w="81" w:type="dxa"/>
              <w:bottom w:w="0" w:type="dxa"/>
              <w:right w:w="81" w:type="dxa"/>
            </w:tcMar>
            <w:hideMark/>
          </w:tcPr>
          <w:p w14:paraId="2E80C8A4" w14:textId="77777777" w:rsidR="005505BA" w:rsidRPr="008C4DFC" w:rsidRDefault="005505BA" w:rsidP="00D0734F">
            <w:pPr>
              <w:pStyle w:val="TAC"/>
              <w:rPr>
                <w:rFonts w:eastAsia="Yu Mincho"/>
              </w:rPr>
            </w:pPr>
            <w:r w:rsidRPr="008C4DFC">
              <w:rPr>
                <w:rFonts w:eastAsia="Yu Mincho"/>
              </w:rPr>
              <w:t>31</w:t>
            </w:r>
          </w:p>
        </w:tc>
        <w:tc>
          <w:tcPr>
            <w:tcW w:w="358" w:type="pct"/>
            <w:shd w:val="clear" w:color="auto" w:fill="auto"/>
            <w:tcMar>
              <w:top w:w="15" w:type="dxa"/>
              <w:left w:w="81" w:type="dxa"/>
              <w:bottom w:w="0" w:type="dxa"/>
              <w:right w:w="81" w:type="dxa"/>
            </w:tcMar>
            <w:hideMark/>
          </w:tcPr>
          <w:p w14:paraId="1D9DF8B9" w14:textId="77777777" w:rsidR="005505BA" w:rsidRPr="008C4DFC" w:rsidRDefault="005505BA" w:rsidP="00D0734F">
            <w:pPr>
              <w:pStyle w:val="TAC"/>
              <w:rPr>
                <w:rFonts w:eastAsia="Yu Mincho"/>
              </w:rPr>
            </w:pPr>
            <w:r w:rsidRPr="008C4DFC">
              <w:rPr>
                <w:rFonts w:eastAsia="Yu Mincho"/>
              </w:rPr>
              <w:t>51</w:t>
            </w:r>
          </w:p>
        </w:tc>
        <w:tc>
          <w:tcPr>
            <w:tcW w:w="359" w:type="pct"/>
            <w:shd w:val="clear" w:color="auto" w:fill="auto"/>
            <w:tcMar>
              <w:top w:w="15" w:type="dxa"/>
              <w:left w:w="81" w:type="dxa"/>
              <w:bottom w:w="0" w:type="dxa"/>
              <w:right w:w="81" w:type="dxa"/>
            </w:tcMar>
            <w:hideMark/>
          </w:tcPr>
          <w:p w14:paraId="505B8D13" w14:textId="77777777" w:rsidR="005505BA" w:rsidRPr="008C4DFC" w:rsidRDefault="005505BA" w:rsidP="00D0734F">
            <w:pPr>
              <w:pStyle w:val="TAC"/>
              <w:rPr>
                <w:rFonts w:eastAsia="Yu Mincho"/>
              </w:rPr>
            </w:pPr>
            <w:r w:rsidRPr="008C4DFC">
              <w:rPr>
                <w:rFonts w:eastAsia="Yu Mincho"/>
              </w:rPr>
              <w:t>65</w:t>
            </w:r>
          </w:p>
        </w:tc>
        <w:tc>
          <w:tcPr>
            <w:tcW w:w="358" w:type="pct"/>
            <w:shd w:val="clear" w:color="auto" w:fill="auto"/>
            <w:tcMar>
              <w:top w:w="15" w:type="dxa"/>
              <w:left w:w="81" w:type="dxa"/>
              <w:bottom w:w="0" w:type="dxa"/>
              <w:right w:w="81" w:type="dxa"/>
            </w:tcMar>
            <w:hideMark/>
          </w:tcPr>
          <w:p w14:paraId="633FF0C2" w14:textId="77777777" w:rsidR="005505BA" w:rsidRPr="008C4DFC" w:rsidRDefault="005505BA" w:rsidP="00D0734F">
            <w:pPr>
              <w:pStyle w:val="TAC"/>
              <w:rPr>
                <w:rFonts w:eastAsia="Yu Mincho"/>
              </w:rPr>
            </w:pPr>
            <w:r w:rsidRPr="008C4DFC">
              <w:rPr>
                <w:rFonts w:eastAsia="Yu Mincho"/>
              </w:rPr>
              <w:t>79</w:t>
            </w:r>
          </w:p>
        </w:tc>
        <w:tc>
          <w:tcPr>
            <w:tcW w:w="358" w:type="pct"/>
          </w:tcPr>
          <w:p w14:paraId="27044108" w14:textId="77777777" w:rsidR="005505BA" w:rsidRPr="008C4DFC" w:rsidRDefault="005505BA" w:rsidP="00D0734F">
            <w:pPr>
              <w:pStyle w:val="TAC"/>
              <w:rPr>
                <w:rFonts w:eastAsia="Yu Mincho"/>
              </w:rPr>
            </w:pPr>
            <w:r w:rsidRPr="008C4DFC">
              <w:t>[93]</w:t>
            </w:r>
          </w:p>
        </w:tc>
        <w:tc>
          <w:tcPr>
            <w:tcW w:w="359" w:type="pct"/>
            <w:shd w:val="clear" w:color="auto" w:fill="auto"/>
            <w:tcMar>
              <w:top w:w="15" w:type="dxa"/>
              <w:left w:w="81" w:type="dxa"/>
              <w:bottom w:w="0" w:type="dxa"/>
              <w:right w:w="81" w:type="dxa"/>
            </w:tcMar>
            <w:hideMark/>
          </w:tcPr>
          <w:p w14:paraId="693FA1BA" w14:textId="77777777" w:rsidR="005505BA" w:rsidRPr="008C4DFC" w:rsidRDefault="005505BA" w:rsidP="00D0734F">
            <w:pPr>
              <w:pStyle w:val="TAC"/>
              <w:rPr>
                <w:rFonts w:eastAsia="Yu Mincho"/>
              </w:rPr>
            </w:pPr>
            <w:r w:rsidRPr="008C4DFC">
              <w:rPr>
                <w:rFonts w:eastAsia="Yu Mincho"/>
              </w:rPr>
              <w:t>107</w:t>
            </w:r>
          </w:p>
        </w:tc>
        <w:tc>
          <w:tcPr>
            <w:tcW w:w="358" w:type="pct"/>
          </w:tcPr>
          <w:p w14:paraId="492C43E5" w14:textId="77777777" w:rsidR="005505BA" w:rsidRPr="008C4DFC" w:rsidRDefault="005505BA" w:rsidP="00D0734F">
            <w:pPr>
              <w:pStyle w:val="TAC"/>
              <w:rPr>
                <w:rFonts w:eastAsia="Yu Mincho"/>
              </w:rPr>
            </w:pPr>
            <w:r w:rsidRPr="008C4DFC">
              <w:t>[121]</w:t>
            </w:r>
          </w:p>
        </w:tc>
        <w:tc>
          <w:tcPr>
            <w:tcW w:w="403" w:type="pct"/>
            <w:shd w:val="clear" w:color="auto" w:fill="auto"/>
            <w:tcMar>
              <w:top w:w="15" w:type="dxa"/>
              <w:left w:w="81" w:type="dxa"/>
              <w:bottom w:w="0" w:type="dxa"/>
              <w:right w:w="81" w:type="dxa"/>
            </w:tcMar>
            <w:hideMark/>
          </w:tcPr>
          <w:p w14:paraId="4235948A" w14:textId="77777777" w:rsidR="005505BA" w:rsidRPr="008C4DFC" w:rsidRDefault="005505BA" w:rsidP="00D0734F">
            <w:pPr>
              <w:pStyle w:val="TAC"/>
              <w:rPr>
                <w:rFonts w:eastAsia="Yu Mincho"/>
              </w:rPr>
            </w:pPr>
            <w:r w:rsidRPr="008C4DFC">
              <w:rPr>
                <w:rFonts w:eastAsia="Yu Mincho"/>
              </w:rPr>
              <w:t>135</w:t>
            </w:r>
          </w:p>
        </w:tc>
      </w:tr>
    </w:tbl>
    <w:p w14:paraId="64BFB826" w14:textId="77777777" w:rsidR="005505BA" w:rsidRPr="008C4DFC" w:rsidRDefault="005505BA" w:rsidP="005505BA"/>
    <w:p w14:paraId="2A0867D7" w14:textId="77777777" w:rsidR="005505BA" w:rsidRPr="00BA6E96" w:rsidRDefault="005505BA" w:rsidP="00BA6E96">
      <w:pPr>
        <w:jc w:val="center"/>
        <w:rPr>
          <w:b/>
          <w:lang w:eastAsia="zh-CN"/>
        </w:rPr>
      </w:pPr>
      <w:r w:rsidRPr="00BA6E96">
        <w:rPr>
          <w:b/>
        </w:rPr>
        <w:t>Table 5.3.2-2: Maximum transmission bandwidth configuration N</w:t>
      </w:r>
      <w:r w:rsidRPr="00BA6E96">
        <w:rPr>
          <w:b/>
          <w:vertAlign w:val="subscript"/>
        </w:rPr>
        <w:t>RB</w:t>
      </w:r>
      <w:r w:rsidRPr="00BA6E96">
        <w:rPr>
          <w:b/>
        </w:rPr>
        <w:t xml:space="preserve"> for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6"/>
        <w:gridCol w:w="1056"/>
        <w:gridCol w:w="1057"/>
        <w:gridCol w:w="1057"/>
        <w:gridCol w:w="1054"/>
      </w:tblGrid>
      <w:tr w:rsidR="005505BA" w:rsidRPr="008C4DFC" w14:paraId="44DDDC02" w14:textId="77777777" w:rsidTr="00D0734F">
        <w:trPr>
          <w:jc w:val="center"/>
        </w:trPr>
        <w:tc>
          <w:tcPr>
            <w:tcW w:w="1060" w:type="dxa"/>
            <w:vMerge w:val="restart"/>
            <w:shd w:val="clear" w:color="auto" w:fill="auto"/>
            <w:tcMar>
              <w:top w:w="15" w:type="dxa"/>
              <w:left w:w="81" w:type="dxa"/>
              <w:bottom w:w="0" w:type="dxa"/>
              <w:right w:w="81" w:type="dxa"/>
            </w:tcMar>
            <w:hideMark/>
          </w:tcPr>
          <w:p w14:paraId="1F847B60" w14:textId="77777777" w:rsidR="005505BA" w:rsidRPr="008C4DFC" w:rsidRDefault="005505BA" w:rsidP="00D0734F">
            <w:pPr>
              <w:pStyle w:val="TAH"/>
              <w:rPr>
                <w:rFonts w:eastAsia="Yu Mincho"/>
              </w:rPr>
            </w:pPr>
            <w:r w:rsidRPr="008C4DFC">
              <w:rPr>
                <w:rFonts w:eastAsia="Yu Mincho"/>
              </w:rPr>
              <w:t>SCS [kHz]</w:t>
            </w:r>
          </w:p>
        </w:tc>
        <w:tc>
          <w:tcPr>
            <w:tcW w:w="1060" w:type="dxa"/>
            <w:shd w:val="clear" w:color="auto" w:fill="auto"/>
            <w:tcMar>
              <w:top w:w="15" w:type="dxa"/>
              <w:left w:w="81" w:type="dxa"/>
              <w:bottom w:w="0" w:type="dxa"/>
              <w:right w:w="81" w:type="dxa"/>
            </w:tcMar>
            <w:hideMark/>
          </w:tcPr>
          <w:p w14:paraId="387DC44D" w14:textId="77777777" w:rsidR="005505BA" w:rsidRPr="008C4DFC" w:rsidRDefault="005505BA" w:rsidP="00D0734F">
            <w:pPr>
              <w:pStyle w:val="TAH"/>
              <w:rPr>
                <w:rFonts w:eastAsia="Yu Mincho"/>
              </w:rPr>
            </w:pPr>
            <w:r w:rsidRPr="008C4DFC">
              <w:rPr>
                <w:rFonts w:eastAsia="Yu Mincho"/>
              </w:rPr>
              <w:t>50MHz</w:t>
            </w:r>
          </w:p>
        </w:tc>
        <w:tc>
          <w:tcPr>
            <w:tcW w:w="1060" w:type="dxa"/>
            <w:shd w:val="clear" w:color="auto" w:fill="auto"/>
            <w:tcMar>
              <w:top w:w="15" w:type="dxa"/>
              <w:left w:w="81" w:type="dxa"/>
              <w:bottom w:w="0" w:type="dxa"/>
              <w:right w:w="81" w:type="dxa"/>
            </w:tcMar>
            <w:hideMark/>
          </w:tcPr>
          <w:p w14:paraId="4BE0A12D" w14:textId="77777777" w:rsidR="005505BA" w:rsidRPr="008C4DFC" w:rsidRDefault="005505BA" w:rsidP="00D0734F">
            <w:pPr>
              <w:pStyle w:val="TAH"/>
              <w:rPr>
                <w:rFonts w:eastAsia="Yu Mincho"/>
              </w:rPr>
            </w:pPr>
            <w:r w:rsidRPr="008C4DFC">
              <w:rPr>
                <w:rFonts w:eastAsia="Yu Mincho"/>
              </w:rPr>
              <w:t>100MHz</w:t>
            </w:r>
          </w:p>
        </w:tc>
        <w:tc>
          <w:tcPr>
            <w:tcW w:w="1060" w:type="dxa"/>
            <w:shd w:val="clear" w:color="auto" w:fill="auto"/>
            <w:tcMar>
              <w:top w:w="15" w:type="dxa"/>
              <w:left w:w="81" w:type="dxa"/>
              <w:bottom w:w="0" w:type="dxa"/>
              <w:right w:w="81" w:type="dxa"/>
            </w:tcMar>
            <w:hideMark/>
          </w:tcPr>
          <w:p w14:paraId="03942813" w14:textId="77777777" w:rsidR="005505BA" w:rsidRPr="008C4DFC" w:rsidRDefault="005505BA" w:rsidP="00D0734F">
            <w:pPr>
              <w:pStyle w:val="TAH"/>
              <w:rPr>
                <w:rFonts w:eastAsia="Yu Mincho"/>
              </w:rPr>
            </w:pPr>
            <w:r w:rsidRPr="008C4DFC">
              <w:rPr>
                <w:rFonts w:eastAsia="Yu Mincho"/>
              </w:rPr>
              <w:t>200MHz</w:t>
            </w:r>
          </w:p>
        </w:tc>
        <w:tc>
          <w:tcPr>
            <w:tcW w:w="1060" w:type="dxa"/>
            <w:shd w:val="clear" w:color="auto" w:fill="auto"/>
            <w:tcMar>
              <w:top w:w="15" w:type="dxa"/>
              <w:left w:w="81" w:type="dxa"/>
              <w:bottom w:w="0" w:type="dxa"/>
              <w:right w:w="81" w:type="dxa"/>
            </w:tcMar>
            <w:hideMark/>
          </w:tcPr>
          <w:p w14:paraId="65D20384" w14:textId="77777777" w:rsidR="005505BA" w:rsidRPr="008C4DFC" w:rsidRDefault="005505BA" w:rsidP="00D0734F">
            <w:pPr>
              <w:pStyle w:val="TAH"/>
              <w:rPr>
                <w:rFonts w:eastAsia="Yu Mincho"/>
              </w:rPr>
            </w:pPr>
            <w:r w:rsidRPr="008C4DFC">
              <w:rPr>
                <w:rFonts w:eastAsia="Yu Mincho"/>
              </w:rPr>
              <w:t>400 MHz</w:t>
            </w:r>
          </w:p>
        </w:tc>
      </w:tr>
      <w:tr w:rsidR="005505BA" w:rsidRPr="008C4DFC" w14:paraId="492ECCAA" w14:textId="77777777" w:rsidTr="00D0734F">
        <w:trPr>
          <w:jc w:val="center"/>
        </w:trPr>
        <w:tc>
          <w:tcPr>
            <w:tcW w:w="0" w:type="auto"/>
            <w:vMerge/>
            <w:vAlign w:val="center"/>
            <w:hideMark/>
          </w:tcPr>
          <w:p w14:paraId="0E4E18A3" w14:textId="77777777" w:rsidR="005505BA" w:rsidRPr="008C4DFC" w:rsidRDefault="005505BA" w:rsidP="00D0734F">
            <w:pPr>
              <w:pStyle w:val="TAH"/>
              <w:rPr>
                <w:rFonts w:eastAsia="Yu Mincho"/>
              </w:rPr>
            </w:pPr>
          </w:p>
        </w:tc>
        <w:tc>
          <w:tcPr>
            <w:tcW w:w="1060" w:type="dxa"/>
            <w:shd w:val="clear" w:color="auto" w:fill="auto"/>
            <w:tcMar>
              <w:top w:w="15" w:type="dxa"/>
              <w:left w:w="81" w:type="dxa"/>
              <w:bottom w:w="0" w:type="dxa"/>
              <w:right w:w="81" w:type="dxa"/>
            </w:tcMar>
            <w:hideMark/>
          </w:tcPr>
          <w:p w14:paraId="6513EBDF" w14:textId="77777777" w:rsidR="005505BA" w:rsidRPr="008C4DFC" w:rsidRDefault="005505BA" w:rsidP="00D0734F">
            <w:pPr>
              <w:pStyle w:val="TAH"/>
              <w:rPr>
                <w:rFonts w:eastAsia="Yu Mincho"/>
              </w:rPr>
            </w:pPr>
            <w:r w:rsidRPr="008C4DFC">
              <w:rPr>
                <w:rFonts w:eastAsia="Yu Mincho"/>
              </w:rPr>
              <w:t>N</w:t>
            </w:r>
            <w:r w:rsidRPr="008C4DFC">
              <w:rPr>
                <w:rFonts w:eastAsia="Yu Mincho"/>
                <w:vertAlign w:val="subscript"/>
              </w:rPr>
              <w:t>RB</w:t>
            </w:r>
          </w:p>
        </w:tc>
        <w:tc>
          <w:tcPr>
            <w:tcW w:w="1060" w:type="dxa"/>
            <w:shd w:val="clear" w:color="auto" w:fill="auto"/>
            <w:tcMar>
              <w:top w:w="15" w:type="dxa"/>
              <w:left w:w="81" w:type="dxa"/>
              <w:bottom w:w="0" w:type="dxa"/>
              <w:right w:w="81" w:type="dxa"/>
            </w:tcMar>
            <w:hideMark/>
          </w:tcPr>
          <w:p w14:paraId="484CAEDD" w14:textId="77777777" w:rsidR="005505BA" w:rsidRPr="008C4DFC" w:rsidRDefault="005505BA" w:rsidP="00D0734F">
            <w:pPr>
              <w:pStyle w:val="TAH"/>
              <w:rPr>
                <w:rFonts w:eastAsia="Yu Mincho"/>
              </w:rPr>
            </w:pPr>
            <w:r w:rsidRPr="008C4DFC">
              <w:rPr>
                <w:rFonts w:eastAsia="Yu Mincho"/>
              </w:rPr>
              <w:t>N</w:t>
            </w:r>
            <w:r w:rsidRPr="008C4DFC">
              <w:rPr>
                <w:rFonts w:eastAsia="Yu Mincho"/>
                <w:vertAlign w:val="subscript"/>
              </w:rPr>
              <w:t>RB</w:t>
            </w:r>
          </w:p>
        </w:tc>
        <w:tc>
          <w:tcPr>
            <w:tcW w:w="1060" w:type="dxa"/>
            <w:shd w:val="clear" w:color="auto" w:fill="auto"/>
            <w:tcMar>
              <w:top w:w="15" w:type="dxa"/>
              <w:left w:w="81" w:type="dxa"/>
              <w:bottom w:w="0" w:type="dxa"/>
              <w:right w:w="81" w:type="dxa"/>
            </w:tcMar>
            <w:hideMark/>
          </w:tcPr>
          <w:p w14:paraId="40DD40DB" w14:textId="77777777" w:rsidR="005505BA" w:rsidRPr="008C4DFC" w:rsidRDefault="005505BA" w:rsidP="00D0734F">
            <w:pPr>
              <w:pStyle w:val="TAH"/>
              <w:rPr>
                <w:rFonts w:eastAsia="Yu Mincho"/>
              </w:rPr>
            </w:pPr>
            <w:r w:rsidRPr="008C4DFC">
              <w:rPr>
                <w:rFonts w:eastAsia="Yu Mincho"/>
              </w:rPr>
              <w:t>N</w:t>
            </w:r>
            <w:r w:rsidRPr="008C4DFC">
              <w:rPr>
                <w:rFonts w:eastAsia="Yu Mincho"/>
                <w:vertAlign w:val="subscript"/>
              </w:rPr>
              <w:t>RB</w:t>
            </w:r>
          </w:p>
        </w:tc>
        <w:tc>
          <w:tcPr>
            <w:tcW w:w="1060" w:type="dxa"/>
            <w:shd w:val="clear" w:color="auto" w:fill="auto"/>
            <w:tcMar>
              <w:top w:w="15" w:type="dxa"/>
              <w:left w:w="81" w:type="dxa"/>
              <w:bottom w:w="0" w:type="dxa"/>
              <w:right w:w="81" w:type="dxa"/>
            </w:tcMar>
            <w:hideMark/>
          </w:tcPr>
          <w:p w14:paraId="030DF2F8" w14:textId="77777777" w:rsidR="005505BA" w:rsidRPr="008C4DFC" w:rsidRDefault="005505BA" w:rsidP="00D0734F">
            <w:pPr>
              <w:pStyle w:val="TAH"/>
              <w:rPr>
                <w:rFonts w:eastAsia="Yu Mincho"/>
              </w:rPr>
            </w:pPr>
            <w:r w:rsidRPr="008C4DFC">
              <w:rPr>
                <w:rFonts w:eastAsia="Yu Mincho"/>
              </w:rPr>
              <w:t>N</w:t>
            </w:r>
            <w:r w:rsidRPr="008C4DFC">
              <w:rPr>
                <w:rFonts w:eastAsia="Yu Mincho"/>
                <w:vertAlign w:val="subscript"/>
              </w:rPr>
              <w:t>RB</w:t>
            </w:r>
          </w:p>
        </w:tc>
      </w:tr>
      <w:tr w:rsidR="005505BA" w:rsidRPr="008C4DFC" w14:paraId="7ECA7649" w14:textId="77777777" w:rsidTr="00D0734F">
        <w:trPr>
          <w:jc w:val="center"/>
        </w:trPr>
        <w:tc>
          <w:tcPr>
            <w:tcW w:w="1060" w:type="dxa"/>
            <w:shd w:val="clear" w:color="auto" w:fill="auto"/>
            <w:tcMar>
              <w:top w:w="15" w:type="dxa"/>
              <w:left w:w="81" w:type="dxa"/>
              <w:bottom w:w="0" w:type="dxa"/>
              <w:right w:w="81" w:type="dxa"/>
            </w:tcMar>
            <w:hideMark/>
          </w:tcPr>
          <w:p w14:paraId="236E74EC" w14:textId="77777777" w:rsidR="005505BA" w:rsidRPr="008C4DFC" w:rsidRDefault="005505BA" w:rsidP="00D0734F">
            <w:pPr>
              <w:pStyle w:val="TAC"/>
              <w:rPr>
                <w:rFonts w:eastAsia="Yu Mincho"/>
              </w:rPr>
            </w:pPr>
            <w:r w:rsidRPr="008C4DFC">
              <w:rPr>
                <w:rFonts w:eastAsia="Yu Mincho"/>
              </w:rPr>
              <w:t>60</w:t>
            </w:r>
          </w:p>
        </w:tc>
        <w:tc>
          <w:tcPr>
            <w:tcW w:w="1060" w:type="dxa"/>
            <w:shd w:val="clear" w:color="auto" w:fill="auto"/>
            <w:tcMar>
              <w:top w:w="15" w:type="dxa"/>
              <w:left w:w="81" w:type="dxa"/>
              <w:bottom w:w="0" w:type="dxa"/>
              <w:right w:w="81" w:type="dxa"/>
            </w:tcMar>
            <w:hideMark/>
          </w:tcPr>
          <w:p w14:paraId="5F884013" w14:textId="77777777" w:rsidR="005505BA" w:rsidRPr="008C4DFC" w:rsidRDefault="005505BA" w:rsidP="00D0734F">
            <w:pPr>
              <w:pStyle w:val="TAC"/>
              <w:rPr>
                <w:rFonts w:eastAsia="Yu Mincho"/>
              </w:rPr>
            </w:pPr>
            <w:r w:rsidRPr="008C4DFC">
              <w:rPr>
                <w:rFonts w:eastAsia="Yu Mincho"/>
              </w:rPr>
              <w:t>66</w:t>
            </w:r>
          </w:p>
        </w:tc>
        <w:tc>
          <w:tcPr>
            <w:tcW w:w="1060" w:type="dxa"/>
            <w:shd w:val="clear" w:color="auto" w:fill="auto"/>
            <w:tcMar>
              <w:top w:w="15" w:type="dxa"/>
              <w:left w:w="81" w:type="dxa"/>
              <w:bottom w:w="0" w:type="dxa"/>
              <w:right w:w="81" w:type="dxa"/>
            </w:tcMar>
            <w:hideMark/>
          </w:tcPr>
          <w:p w14:paraId="090EF78A" w14:textId="77777777" w:rsidR="005505BA" w:rsidRPr="008C4DFC" w:rsidRDefault="005505BA" w:rsidP="00D0734F">
            <w:pPr>
              <w:pStyle w:val="TAC"/>
              <w:rPr>
                <w:rFonts w:eastAsia="Yu Mincho"/>
              </w:rPr>
            </w:pPr>
            <w:r w:rsidRPr="008C4DFC">
              <w:rPr>
                <w:rFonts w:eastAsia="Yu Mincho"/>
              </w:rPr>
              <w:t>132</w:t>
            </w:r>
          </w:p>
        </w:tc>
        <w:tc>
          <w:tcPr>
            <w:tcW w:w="1060" w:type="dxa"/>
            <w:shd w:val="clear" w:color="auto" w:fill="auto"/>
            <w:tcMar>
              <w:top w:w="15" w:type="dxa"/>
              <w:left w:w="81" w:type="dxa"/>
              <w:bottom w:w="0" w:type="dxa"/>
              <w:right w:w="81" w:type="dxa"/>
            </w:tcMar>
            <w:hideMark/>
          </w:tcPr>
          <w:p w14:paraId="1E3B2C6C" w14:textId="77777777" w:rsidR="005505BA" w:rsidRPr="008C4DFC" w:rsidRDefault="005505BA" w:rsidP="00D0734F">
            <w:pPr>
              <w:pStyle w:val="TAC"/>
              <w:rPr>
                <w:rFonts w:eastAsia="Yu Mincho"/>
              </w:rPr>
            </w:pPr>
            <w:r w:rsidRPr="008C4DFC">
              <w:rPr>
                <w:rFonts w:eastAsia="Yu Mincho"/>
              </w:rPr>
              <w:t>264</w:t>
            </w:r>
          </w:p>
        </w:tc>
        <w:tc>
          <w:tcPr>
            <w:tcW w:w="1060" w:type="dxa"/>
            <w:shd w:val="clear" w:color="auto" w:fill="auto"/>
            <w:tcMar>
              <w:top w:w="15" w:type="dxa"/>
              <w:left w:w="81" w:type="dxa"/>
              <w:bottom w:w="0" w:type="dxa"/>
              <w:right w:w="81" w:type="dxa"/>
            </w:tcMar>
            <w:hideMark/>
          </w:tcPr>
          <w:p w14:paraId="5F23E30E" w14:textId="77777777" w:rsidR="005505BA" w:rsidRPr="008C4DFC" w:rsidRDefault="005505BA" w:rsidP="00D0734F">
            <w:pPr>
              <w:pStyle w:val="TAC"/>
              <w:rPr>
                <w:rFonts w:eastAsia="Yu Mincho"/>
              </w:rPr>
            </w:pPr>
            <w:r w:rsidRPr="008C4DFC">
              <w:rPr>
                <w:rFonts w:eastAsia="Yu Mincho"/>
              </w:rPr>
              <w:t>N.A</w:t>
            </w:r>
          </w:p>
        </w:tc>
      </w:tr>
      <w:tr w:rsidR="005505BA" w:rsidRPr="008C4DFC" w14:paraId="42CC811E" w14:textId="77777777" w:rsidTr="00D0734F">
        <w:trPr>
          <w:jc w:val="center"/>
        </w:trPr>
        <w:tc>
          <w:tcPr>
            <w:tcW w:w="1060" w:type="dxa"/>
            <w:shd w:val="clear" w:color="auto" w:fill="auto"/>
            <w:tcMar>
              <w:top w:w="15" w:type="dxa"/>
              <w:left w:w="81" w:type="dxa"/>
              <w:bottom w:w="0" w:type="dxa"/>
              <w:right w:w="81" w:type="dxa"/>
            </w:tcMar>
            <w:hideMark/>
          </w:tcPr>
          <w:p w14:paraId="3828C56E" w14:textId="77777777" w:rsidR="005505BA" w:rsidRPr="008C4DFC" w:rsidRDefault="005505BA" w:rsidP="00D0734F">
            <w:pPr>
              <w:pStyle w:val="TAC"/>
              <w:rPr>
                <w:rFonts w:eastAsia="Yu Mincho"/>
              </w:rPr>
            </w:pPr>
            <w:r w:rsidRPr="008C4DFC">
              <w:rPr>
                <w:rFonts w:eastAsia="Yu Mincho"/>
              </w:rPr>
              <w:t>120</w:t>
            </w:r>
          </w:p>
        </w:tc>
        <w:tc>
          <w:tcPr>
            <w:tcW w:w="1060" w:type="dxa"/>
            <w:shd w:val="clear" w:color="auto" w:fill="auto"/>
            <w:tcMar>
              <w:top w:w="15" w:type="dxa"/>
              <w:left w:w="81" w:type="dxa"/>
              <w:bottom w:w="0" w:type="dxa"/>
              <w:right w:w="81" w:type="dxa"/>
            </w:tcMar>
            <w:hideMark/>
          </w:tcPr>
          <w:p w14:paraId="0F2AF0FE" w14:textId="77777777" w:rsidR="005505BA" w:rsidRPr="008C4DFC" w:rsidRDefault="005505BA" w:rsidP="00D0734F">
            <w:pPr>
              <w:pStyle w:val="TAC"/>
              <w:rPr>
                <w:rFonts w:eastAsia="Yu Mincho"/>
              </w:rPr>
            </w:pPr>
            <w:r w:rsidRPr="008C4DFC">
              <w:rPr>
                <w:rFonts w:eastAsia="Yu Mincho"/>
              </w:rPr>
              <w:t>32</w:t>
            </w:r>
          </w:p>
        </w:tc>
        <w:tc>
          <w:tcPr>
            <w:tcW w:w="1060" w:type="dxa"/>
            <w:shd w:val="clear" w:color="auto" w:fill="auto"/>
            <w:tcMar>
              <w:top w:w="15" w:type="dxa"/>
              <w:left w:w="81" w:type="dxa"/>
              <w:bottom w:w="0" w:type="dxa"/>
              <w:right w:w="81" w:type="dxa"/>
            </w:tcMar>
            <w:hideMark/>
          </w:tcPr>
          <w:p w14:paraId="7D6C068E" w14:textId="77777777" w:rsidR="005505BA" w:rsidRPr="008C4DFC" w:rsidRDefault="005505BA" w:rsidP="00D0734F">
            <w:pPr>
              <w:pStyle w:val="TAC"/>
              <w:rPr>
                <w:rFonts w:eastAsia="Yu Mincho"/>
              </w:rPr>
            </w:pPr>
            <w:r w:rsidRPr="008C4DFC">
              <w:rPr>
                <w:rFonts w:eastAsia="Yu Mincho"/>
              </w:rPr>
              <w:t>66</w:t>
            </w:r>
          </w:p>
        </w:tc>
        <w:tc>
          <w:tcPr>
            <w:tcW w:w="1060" w:type="dxa"/>
            <w:shd w:val="clear" w:color="auto" w:fill="auto"/>
            <w:tcMar>
              <w:top w:w="15" w:type="dxa"/>
              <w:left w:w="81" w:type="dxa"/>
              <w:bottom w:w="0" w:type="dxa"/>
              <w:right w:w="81" w:type="dxa"/>
            </w:tcMar>
            <w:hideMark/>
          </w:tcPr>
          <w:p w14:paraId="34445DF6" w14:textId="77777777" w:rsidR="005505BA" w:rsidRPr="008C4DFC" w:rsidRDefault="005505BA" w:rsidP="00D0734F">
            <w:pPr>
              <w:pStyle w:val="TAC"/>
              <w:rPr>
                <w:rFonts w:eastAsia="Yu Mincho"/>
              </w:rPr>
            </w:pPr>
            <w:r w:rsidRPr="008C4DFC">
              <w:rPr>
                <w:rFonts w:eastAsia="Yu Mincho"/>
              </w:rPr>
              <w:t>132</w:t>
            </w:r>
          </w:p>
        </w:tc>
        <w:tc>
          <w:tcPr>
            <w:tcW w:w="1060" w:type="dxa"/>
            <w:shd w:val="clear" w:color="auto" w:fill="auto"/>
            <w:tcMar>
              <w:top w:w="15" w:type="dxa"/>
              <w:left w:w="81" w:type="dxa"/>
              <w:bottom w:w="0" w:type="dxa"/>
              <w:right w:w="81" w:type="dxa"/>
            </w:tcMar>
            <w:hideMark/>
          </w:tcPr>
          <w:p w14:paraId="3DD58141" w14:textId="77777777" w:rsidR="005505BA" w:rsidRPr="008C4DFC" w:rsidRDefault="005505BA" w:rsidP="00D0734F">
            <w:pPr>
              <w:pStyle w:val="TAC"/>
              <w:rPr>
                <w:rFonts w:eastAsia="Yu Mincho"/>
              </w:rPr>
            </w:pPr>
            <w:r w:rsidRPr="008C4DFC">
              <w:rPr>
                <w:rFonts w:eastAsia="Yu Mincho"/>
              </w:rPr>
              <w:t>264</w:t>
            </w:r>
          </w:p>
        </w:tc>
      </w:tr>
    </w:tbl>
    <w:p w14:paraId="3A8221F5" w14:textId="77777777" w:rsidR="005505BA" w:rsidRDefault="005505BA" w:rsidP="005505BA">
      <w:pPr>
        <w:rPr>
          <w:lang w:val="en-GB"/>
        </w:rPr>
      </w:pPr>
    </w:p>
    <w:p w14:paraId="2D5D877A" w14:textId="77777777" w:rsidR="005505BA" w:rsidRDefault="005505BA" w:rsidP="005505BA">
      <w:pPr>
        <w:rPr>
          <w:lang w:val="en-GB"/>
        </w:rPr>
      </w:pPr>
      <w:r>
        <w:rPr>
          <w:lang w:val="en-GB"/>
        </w:rPr>
        <w:t>If we analyse the prevalence of odd bundle sizes in cases where one would like to maximize the spectral efficiency, we see that many issues may arise. The following two tables below provide bundle sizes for confirmed values in the above Table 5.3.2-1 for L=2 and L=4.</w:t>
      </w:r>
    </w:p>
    <w:p w14:paraId="78231421" w14:textId="77777777" w:rsidR="005505BA" w:rsidRDefault="005505BA" w:rsidP="005505BA">
      <w:pPr>
        <w:rPr>
          <w:lang w:val="en-GB"/>
        </w:rPr>
      </w:pPr>
    </w:p>
    <w:tbl>
      <w:tblPr>
        <w:tblW w:w="9954" w:type="dxa"/>
        <w:tblInd w:w="-10" w:type="dxa"/>
        <w:tblLook w:val="04A0" w:firstRow="1" w:lastRow="0" w:firstColumn="1" w:lastColumn="0" w:noHBand="0" w:noVBand="1"/>
      </w:tblPr>
      <w:tblGrid>
        <w:gridCol w:w="711"/>
        <w:gridCol w:w="711"/>
        <w:gridCol w:w="711"/>
        <w:gridCol w:w="711"/>
        <w:gridCol w:w="711"/>
        <w:gridCol w:w="711"/>
        <w:gridCol w:w="711"/>
        <w:gridCol w:w="711"/>
        <w:gridCol w:w="711"/>
        <w:gridCol w:w="711"/>
        <w:gridCol w:w="711"/>
        <w:gridCol w:w="711"/>
        <w:gridCol w:w="711"/>
        <w:gridCol w:w="711"/>
      </w:tblGrid>
      <w:tr w:rsidR="005505BA" w:rsidRPr="00D935A4" w14:paraId="6430A4CE" w14:textId="77777777" w:rsidTr="00D0734F">
        <w:trPr>
          <w:trHeight w:val="318"/>
        </w:trPr>
        <w:tc>
          <w:tcPr>
            <w:tcW w:w="711" w:type="dxa"/>
            <w:tcBorders>
              <w:top w:val="single" w:sz="8" w:space="0" w:color="auto"/>
              <w:left w:val="single" w:sz="8" w:space="0" w:color="auto"/>
              <w:bottom w:val="nil"/>
              <w:right w:val="nil"/>
            </w:tcBorders>
            <w:shd w:val="clear" w:color="auto" w:fill="auto"/>
            <w:noWrap/>
            <w:vAlign w:val="bottom"/>
            <w:hideMark/>
          </w:tcPr>
          <w:p w14:paraId="74C83AC2" w14:textId="77777777" w:rsidR="005505BA" w:rsidRPr="00D935A4" w:rsidRDefault="005505BA" w:rsidP="00D0734F">
            <w:pPr>
              <w:overflowPunct/>
              <w:autoSpaceDE/>
              <w:autoSpaceDN/>
              <w:adjustRightInd/>
              <w:spacing w:after="0"/>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L=2</w:t>
            </w:r>
          </w:p>
        </w:tc>
        <w:tc>
          <w:tcPr>
            <w:tcW w:w="711"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40831F96"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b/>
                <w:bCs/>
                <w:color w:val="FF0000"/>
                <w:sz w:val="22"/>
                <w:szCs w:val="22"/>
              </w:rPr>
            </w:pPr>
            <w:r w:rsidRPr="00D935A4">
              <w:rPr>
                <w:rFonts w:ascii="Calibri" w:eastAsia="Times New Roman" w:hAnsi="Calibri" w:cs="Calibri"/>
                <w:b/>
                <w:bCs/>
                <w:color w:val="FF0000"/>
                <w:sz w:val="22"/>
                <w:szCs w:val="22"/>
              </w:rPr>
              <w:t>13</w:t>
            </w:r>
          </w:p>
        </w:tc>
        <w:tc>
          <w:tcPr>
            <w:tcW w:w="711" w:type="dxa"/>
            <w:tcBorders>
              <w:top w:val="single" w:sz="8" w:space="0" w:color="auto"/>
              <w:left w:val="nil"/>
              <w:bottom w:val="single" w:sz="4" w:space="0" w:color="auto"/>
              <w:right w:val="single" w:sz="4" w:space="0" w:color="auto"/>
            </w:tcBorders>
            <w:shd w:val="clear" w:color="auto" w:fill="auto"/>
            <w:noWrap/>
            <w:vAlign w:val="bottom"/>
            <w:hideMark/>
          </w:tcPr>
          <w:p w14:paraId="015F81C2"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26</w:t>
            </w:r>
          </w:p>
        </w:tc>
        <w:tc>
          <w:tcPr>
            <w:tcW w:w="711" w:type="dxa"/>
            <w:tcBorders>
              <w:top w:val="single" w:sz="8" w:space="0" w:color="auto"/>
              <w:left w:val="nil"/>
              <w:bottom w:val="single" w:sz="4" w:space="0" w:color="auto"/>
              <w:right w:val="single" w:sz="4" w:space="0" w:color="auto"/>
            </w:tcBorders>
            <w:shd w:val="clear" w:color="auto" w:fill="auto"/>
            <w:noWrap/>
            <w:vAlign w:val="bottom"/>
            <w:hideMark/>
          </w:tcPr>
          <w:p w14:paraId="48018ECC"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40</w:t>
            </w:r>
          </w:p>
        </w:tc>
        <w:tc>
          <w:tcPr>
            <w:tcW w:w="711" w:type="dxa"/>
            <w:tcBorders>
              <w:top w:val="single" w:sz="8" w:space="0" w:color="auto"/>
              <w:left w:val="nil"/>
              <w:bottom w:val="single" w:sz="4" w:space="0" w:color="auto"/>
              <w:right w:val="single" w:sz="4" w:space="0" w:color="auto"/>
            </w:tcBorders>
            <w:shd w:val="clear" w:color="auto" w:fill="auto"/>
            <w:noWrap/>
            <w:vAlign w:val="bottom"/>
            <w:hideMark/>
          </w:tcPr>
          <w:p w14:paraId="7ECFFF19" w14:textId="77777777" w:rsidR="005505BA" w:rsidRPr="00D935A4" w:rsidRDefault="005505BA" w:rsidP="00D0734F">
            <w:pPr>
              <w:overflowPunct/>
              <w:autoSpaceDE/>
              <w:autoSpaceDN/>
              <w:adjustRightInd/>
              <w:spacing w:after="0"/>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 </w:t>
            </w:r>
          </w:p>
        </w:tc>
        <w:tc>
          <w:tcPr>
            <w:tcW w:w="711" w:type="dxa"/>
            <w:tcBorders>
              <w:top w:val="single" w:sz="8" w:space="0" w:color="auto"/>
              <w:left w:val="nil"/>
              <w:bottom w:val="single" w:sz="4" w:space="0" w:color="auto"/>
              <w:right w:val="single" w:sz="4" w:space="0" w:color="auto"/>
            </w:tcBorders>
            <w:shd w:val="clear" w:color="auto" w:fill="auto"/>
            <w:noWrap/>
            <w:vAlign w:val="bottom"/>
            <w:hideMark/>
          </w:tcPr>
          <w:p w14:paraId="0C7A6955"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b/>
                <w:bCs/>
                <w:color w:val="FF0000"/>
                <w:sz w:val="22"/>
                <w:szCs w:val="22"/>
              </w:rPr>
            </w:pPr>
            <w:r w:rsidRPr="00D935A4">
              <w:rPr>
                <w:rFonts w:ascii="Calibri" w:eastAsia="Times New Roman" w:hAnsi="Calibri" w:cs="Calibri"/>
                <w:b/>
                <w:bCs/>
                <w:color w:val="FF0000"/>
                <w:sz w:val="22"/>
                <w:szCs w:val="22"/>
              </w:rPr>
              <w:t>53</w:t>
            </w:r>
          </w:p>
        </w:tc>
        <w:tc>
          <w:tcPr>
            <w:tcW w:w="711" w:type="dxa"/>
            <w:tcBorders>
              <w:top w:val="single" w:sz="8" w:space="0" w:color="auto"/>
              <w:left w:val="nil"/>
              <w:bottom w:val="single" w:sz="4" w:space="0" w:color="auto"/>
              <w:right w:val="single" w:sz="4" w:space="0" w:color="auto"/>
            </w:tcBorders>
            <w:shd w:val="clear" w:color="auto" w:fill="auto"/>
            <w:noWrap/>
            <w:vAlign w:val="bottom"/>
            <w:hideMark/>
          </w:tcPr>
          <w:p w14:paraId="4F27901C"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67</w:t>
            </w:r>
          </w:p>
        </w:tc>
        <w:tc>
          <w:tcPr>
            <w:tcW w:w="711" w:type="dxa"/>
            <w:tcBorders>
              <w:top w:val="single" w:sz="8" w:space="0" w:color="auto"/>
              <w:left w:val="nil"/>
              <w:bottom w:val="single" w:sz="4" w:space="0" w:color="auto"/>
              <w:right w:val="single" w:sz="4" w:space="0" w:color="auto"/>
            </w:tcBorders>
            <w:shd w:val="clear" w:color="auto" w:fill="auto"/>
            <w:noWrap/>
            <w:vAlign w:val="bottom"/>
            <w:hideMark/>
          </w:tcPr>
          <w:p w14:paraId="3BD05EC9"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108</w:t>
            </w:r>
          </w:p>
        </w:tc>
        <w:tc>
          <w:tcPr>
            <w:tcW w:w="711" w:type="dxa"/>
            <w:tcBorders>
              <w:top w:val="single" w:sz="8" w:space="0" w:color="auto"/>
              <w:left w:val="nil"/>
              <w:bottom w:val="single" w:sz="4" w:space="0" w:color="auto"/>
              <w:right w:val="single" w:sz="4" w:space="0" w:color="auto"/>
            </w:tcBorders>
            <w:shd w:val="clear" w:color="auto" w:fill="auto"/>
            <w:noWrap/>
            <w:vAlign w:val="bottom"/>
            <w:hideMark/>
          </w:tcPr>
          <w:p w14:paraId="43D10BFA"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b/>
                <w:bCs/>
                <w:color w:val="FF0000"/>
                <w:sz w:val="22"/>
                <w:szCs w:val="22"/>
              </w:rPr>
            </w:pPr>
            <w:r w:rsidRPr="00D935A4">
              <w:rPr>
                <w:rFonts w:ascii="Calibri" w:eastAsia="Times New Roman" w:hAnsi="Calibri" w:cs="Calibri"/>
                <w:b/>
                <w:bCs/>
                <w:color w:val="FF0000"/>
                <w:sz w:val="22"/>
                <w:szCs w:val="22"/>
              </w:rPr>
              <w:t>135</w:t>
            </w:r>
          </w:p>
        </w:tc>
        <w:tc>
          <w:tcPr>
            <w:tcW w:w="711" w:type="dxa"/>
            <w:tcBorders>
              <w:top w:val="single" w:sz="8" w:space="0" w:color="auto"/>
              <w:left w:val="nil"/>
              <w:bottom w:val="single" w:sz="4" w:space="0" w:color="auto"/>
              <w:right w:val="single" w:sz="4" w:space="0" w:color="auto"/>
            </w:tcBorders>
            <w:shd w:val="clear" w:color="auto" w:fill="auto"/>
            <w:noWrap/>
            <w:vAlign w:val="bottom"/>
            <w:hideMark/>
          </w:tcPr>
          <w:p w14:paraId="45C5502F" w14:textId="77777777" w:rsidR="005505BA" w:rsidRPr="00D935A4" w:rsidRDefault="005505BA" w:rsidP="00D0734F">
            <w:pPr>
              <w:overflowPunct/>
              <w:autoSpaceDE/>
              <w:autoSpaceDN/>
              <w:adjustRightInd/>
              <w:spacing w:after="0"/>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 </w:t>
            </w:r>
          </w:p>
        </w:tc>
        <w:tc>
          <w:tcPr>
            <w:tcW w:w="711" w:type="dxa"/>
            <w:tcBorders>
              <w:top w:val="single" w:sz="8" w:space="0" w:color="auto"/>
              <w:left w:val="nil"/>
              <w:bottom w:val="single" w:sz="4" w:space="0" w:color="auto"/>
              <w:right w:val="single" w:sz="4" w:space="0" w:color="auto"/>
            </w:tcBorders>
            <w:shd w:val="clear" w:color="auto" w:fill="auto"/>
            <w:noWrap/>
            <w:vAlign w:val="bottom"/>
            <w:hideMark/>
          </w:tcPr>
          <w:p w14:paraId="3DA1F729" w14:textId="77777777" w:rsidR="005505BA" w:rsidRPr="00D935A4" w:rsidRDefault="005505BA" w:rsidP="00D0734F">
            <w:pPr>
              <w:overflowPunct/>
              <w:autoSpaceDE/>
              <w:autoSpaceDN/>
              <w:adjustRightInd/>
              <w:spacing w:after="0"/>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 </w:t>
            </w:r>
          </w:p>
        </w:tc>
        <w:tc>
          <w:tcPr>
            <w:tcW w:w="711" w:type="dxa"/>
            <w:tcBorders>
              <w:top w:val="single" w:sz="8" w:space="0" w:color="auto"/>
              <w:left w:val="nil"/>
              <w:bottom w:val="single" w:sz="4" w:space="0" w:color="auto"/>
              <w:right w:val="single" w:sz="4" w:space="0" w:color="auto"/>
            </w:tcBorders>
            <w:shd w:val="clear" w:color="auto" w:fill="auto"/>
            <w:noWrap/>
            <w:vAlign w:val="bottom"/>
            <w:hideMark/>
          </w:tcPr>
          <w:p w14:paraId="0993C2CE" w14:textId="77777777" w:rsidR="005505BA" w:rsidRPr="00D935A4" w:rsidRDefault="005505BA" w:rsidP="00D0734F">
            <w:pPr>
              <w:overflowPunct/>
              <w:autoSpaceDE/>
              <w:autoSpaceDN/>
              <w:adjustRightInd/>
              <w:spacing w:after="0"/>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 </w:t>
            </w:r>
          </w:p>
        </w:tc>
        <w:tc>
          <w:tcPr>
            <w:tcW w:w="711" w:type="dxa"/>
            <w:tcBorders>
              <w:top w:val="single" w:sz="8" w:space="0" w:color="auto"/>
              <w:left w:val="nil"/>
              <w:bottom w:val="single" w:sz="4" w:space="0" w:color="auto"/>
              <w:right w:val="single" w:sz="4" w:space="0" w:color="auto"/>
            </w:tcBorders>
            <w:shd w:val="clear" w:color="auto" w:fill="auto"/>
            <w:noWrap/>
            <w:vAlign w:val="bottom"/>
            <w:hideMark/>
          </w:tcPr>
          <w:p w14:paraId="04A50353" w14:textId="77777777" w:rsidR="005505BA" w:rsidRPr="00D935A4" w:rsidRDefault="005505BA" w:rsidP="00D0734F">
            <w:pPr>
              <w:overflowPunct/>
              <w:autoSpaceDE/>
              <w:autoSpaceDN/>
              <w:adjustRightInd/>
              <w:spacing w:after="0"/>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 </w:t>
            </w:r>
          </w:p>
        </w:tc>
        <w:tc>
          <w:tcPr>
            <w:tcW w:w="711" w:type="dxa"/>
            <w:tcBorders>
              <w:top w:val="single" w:sz="8" w:space="0" w:color="auto"/>
              <w:left w:val="nil"/>
              <w:bottom w:val="single" w:sz="4" w:space="0" w:color="auto"/>
              <w:right w:val="single" w:sz="8" w:space="0" w:color="auto"/>
            </w:tcBorders>
            <w:shd w:val="clear" w:color="auto" w:fill="auto"/>
            <w:noWrap/>
            <w:vAlign w:val="bottom"/>
            <w:hideMark/>
          </w:tcPr>
          <w:p w14:paraId="497D3A41" w14:textId="77777777" w:rsidR="005505BA" w:rsidRPr="00D935A4" w:rsidRDefault="005505BA" w:rsidP="00D0734F">
            <w:pPr>
              <w:overflowPunct/>
              <w:autoSpaceDE/>
              <w:autoSpaceDN/>
              <w:adjustRightInd/>
              <w:spacing w:after="0"/>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 </w:t>
            </w:r>
          </w:p>
        </w:tc>
      </w:tr>
      <w:tr w:rsidR="005505BA" w:rsidRPr="00D935A4" w14:paraId="431649DE" w14:textId="77777777" w:rsidTr="00D0734F">
        <w:trPr>
          <w:trHeight w:val="318"/>
        </w:trPr>
        <w:tc>
          <w:tcPr>
            <w:tcW w:w="711" w:type="dxa"/>
            <w:tcBorders>
              <w:top w:val="nil"/>
              <w:left w:val="single" w:sz="8" w:space="0" w:color="auto"/>
              <w:bottom w:val="nil"/>
              <w:right w:val="nil"/>
            </w:tcBorders>
            <w:shd w:val="clear" w:color="auto" w:fill="auto"/>
            <w:noWrap/>
            <w:vAlign w:val="bottom"/>
            <w:hideMark/>
          </w:tcPr>
          <w:p w14:paraId="392F60D5" w14:textId="77777777" w:rsidR="005505BA" w:rsidRPr="00D935A4" w:rsidRDefault="005505BA" w:rsidP="00D0734F">
            <w:pPr>
              <w:overflowPunct/>
              <w:autoSpaceDE/>
              <w:autoSpaceDN/>
              <w:adjustRightInd/>
              <w:spacing w:after="0"/>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 </w:t>
            </w:r>
          </w:p>
        </w:tc>
        <w:tc>
          <w:tcPr>
            <w:tcW w:w="711" w:type="dxa"/>
            <w:tcBorders>
              <w:top w:val="nil"/>
              <w:left w:val="single" w:sz="4" w:space="0" w:color="auto"/>
              <w:bottom w:val="single" w:sz="4" w:space="0" w:color="auto"/>
              <w:right w:val="single" w:sz="4" w:space="0" w:color="auto"/>
            </w:tcBorders>
            <w:shd w:val="clear" w:color="auto" w:fill="auto"/>
            <w:noWrap/>
            <w:vAlign w:val="bottom"/>
            <w:hideMark/>
          </w:tcPr>
          <w:p w14:paraId="69A297BB"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6</w:t>
            </w:r>
          </w:p>
        </w:tc>
        <w:tc>
          <w:tcPr>
            <w:tcW w:w="711" w:type="dxa"/>
            <w:tcBorders>
              <w:top w:val="nil"/>
              <w:left w:val="nil"/>
              <w:bottom w:val="single" w:sz="4" w:space="0" w:color="auto"/>
              <w:right w:val="single" w:sz="4" w:space="0" w:color="auto"/>
            </w:tcBorders>
            <w:shd w:val="clear" w:color="auto" w:fill="auto"/>
            <w:noWrap/>
            <w:vAlign w:val="bottom"/>
            <w:hideMark/>
          </w:tcPr>
          <w:p w14:paraId="1DA3BE4C"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12</w:t>
            </w:r>
          </w:p>
        </w:tc>
        <w:tc>
          <w:tcPr>
            <w:tcW w:w="711" w:type="dxa"/>
            <w:tcBorders>
              <w:top w:val="nil"/>
              <w:left w:val="nil"/>
              <w:bottom w:val="single" w:sz="4" w:space="0" w:color="auto"/>
              <w:right w:val="single" w:sz="4" w:space="0" w:color="auto"/>
            </w:tcBorders>
            <w:shd w:val="clear" w:color="auto" w:fill="auto"/>
            <w:noWrap/>
            <w:vAlign w:val="bottom"/>
            <w:hideMark/>
          </w:tcPr>
          <w:p w14:paraId="2DC82986"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b/>
                <w:bCs/>
                <w:color w:val="FF0000"/>
                <w:sz w:val="22"/>
                <w:szCs w:val="22"/>
              </w:rPr>
            </w:pPr>
            <w:r w:rsidRPr="00D935A4">
              <w:rPr>
                <w:rFonts w:ascii="Calibri" w:eastAsia="Times New Roman" w:hAnsi="Calibri" w:cs="Calibri"/>
                <w:b/>
                <w:bCs/>
                <w:color w:val="FF0000"/>
                <w:sz w:val="22"/>
                <w:szCs w:val="22"/>
              </w:rPr>
              <w:t>19</w:t>
            </w:r>
          </w:p>
        </w:tc>
        <w:tc>
          <w:tcPr>
            <w:tcW w:w="711" w:type="dxa"/>
            <w:tcBorders>
              <w:top w:val="nil"/>
              <w:left w:val="nil"/>
              <w:bottom w:val="single" w:sz="4" w:space="0" w:color="auto"/>
              <w:right w:val="single" w:sz="4" w:space="0" w:color="auto"/>
            </w:tcBorders>
            <w:shd w:val="clear" w:color="auto" w:fill="auto"/>
            <w:noWrap/>
            <w:vAlign w:val="bottom"/>
            <w:hideMark/>
          </w:tcPr>
          <w:p w14:paraId="72EDD131" w14:textId="77777777" w:rsidR="005505BA" w:rsidRPr="00D935A4" w:rsidRDefault="005505BA" w:rsidP="00D0734F">
            <w:pPr>
              <w:overflowPunct/>
              <w:autoSpaceDE/>
              <w:autoSpaceDN/>
              <w:adjustRightInd/>
              <w:spacing w:after="0"/>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 </w:t>
            </w:r>
          </w:p>
        </w:tc>
        <w:tc>
          <w:tcPr>
            <w:tcW w:w="711" w:type="dxa"/>
            <w:tcBorders>
              <w:top w:val="nil"/>
              <w:left w:val="nil"/>
              <w:bottom w:val="single" w:sz="4" w:space="0" w:color="auto"/>
              <w:right w:val="single" w:sz="4" w:space="0" w:color="auto"/>
            </w:tcBorders>
            <w:shd w:val="clear" w:color="auto" w:fill="auto"/>
            <w:noWrap/>
            <w:vAlign w:val="bottom"/>
            <w:hideMark/>
          </w:tcPr>
          <w:p w14:paraId="287F4B00"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26</w:t>
            </w:r>
          </w:p>
        </w:tc>
        <w:tc>
          <w:tcPr>
            <w:tcW w:w="711" w:type="dxa"/>
            <w:tcBorders>
              <w:top w:val="nil"/>
              <w:left w:val="nil"/>
              <w:bottom w:val="single" w:sz="4" w:space="0" w:color="auto"/>
              <w:right w:val="single" w:sz="4" w:space="0" w:color="auto"/>
            </w:tcBorders>
            <w:shd w:val="clear" w:color="auto" w:fill="auto"/>
            <w:noWrap/>
            <w:vAlign w:val="bottom"/>
            <w:hideMark/>
          </w:tcPr>
          <w:p w14:paraId="366CFEC4"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b/>
                <w:bCs/>
                <w:color w:val="FF0000"/>
                <w:sz w:val="22"/>
                <w:szCs w:val="22"/>
              </w:rPr>
            </w:pPr>
            <w:r w:rsidRPr="00D935A4">
              <w:rPr>
                <w:rFonts w:ascii="Calibri" w:eastAsia="Times New Roman" w:hAnsi="Calibri" w:cs="Calibri"/>
                <w:b/>
                <w:bCs/>
                <w:color w:val="FF0000"/>
                <w:sz w:val="22"/>
                <w:szCs w:val="22"/>
              </w:rPr>
              <w:t>33</w:t>
            </w:r>
          </w:p>
        </w:tc>
        <w:tc>
          <w:tcPr>
            <w:tcW w:w="711" w:type="dxa"/>
            <w:tcBorders>
              <w:top w:val="nil"/>
              <w:left w:val="nil"/>
              <w:bottom w:val="single" w:sz="4" w:space="0" w:color="auto"/>
              <w:right w:val="single" w:sz="4" w:space="0" w:color="auto"/>
            </w:tcBorders>
            <w:shd w:val="clear" w:color="auto" w:fill="auto"/>
            <w:noWrap/>
            <w:vAlign w:val="bottom"/>
            <w:hideMark/>
          </w:tcPr>
          <w:p w14:paraId="0E766EC9"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b/>
                <w:bCs/>
                <w:color w:val="FF0000"/>
                <w:sz w:val="22"/>
                <w:szCs w:val="22"/>
              </w:rPr>
            </w:pPr>
            <w:r w:rsidRPr="00D935A4">
              <w:rPr>
                <w:rFonts w:ascii="Calibri" w:eastAsia="Times New Roman" w:hAnsi="Calibri" w:cs="Calibri"/>
                <w:b/>
                <w:bCs/>
                <w:color w:val="FF0000"/>
                <w:sz w:val="22"/>
                <w:szCs w:val="22"/>
              </w:rPr>
              <w:t>53</w:t>
            </w:r>
          </w:p>
        </w:tc>
        <w:tc>
          <w:tcPr>
            <w:tcW w:w="711" w:type="dxa"/>
            <w:tcBorders>
              <w:top w:val="nil"/>
              <w:left w:val="nil"/>
              <w:bottom w:val="single" w:sz="4" w:space="0" w:color="auto"/>
              <w:right w:val="single" w:sz="4" w:space="0" w:color="auto"/>
            </w:tcBorders>
            <w:shd w:val="clear" w:color="auto" w:fill="auto"/>
            <w:noWrap/>
            <w:vAlign w:val="bottom"/>
            <w:hideMark/>
          </w:tcPr>
          <w:p w14:paraId="7084D6BB"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67</w:t>
            </w:r>
          </w:p>
        </w:tc>
        <w:tc>
          <w:tcPr>
            <w:tcW w:w="711" w:type="dxa"/>
            <w:tcBorders>
              <w:top w:val="nil"/>
              <w:left w:val="nil"/>
              <w:bottom w:val="single" w:sz="4" w:space="0" w:color="auto"/>
              <w:right w:val="single" w:sz="4" w:space="0" w:color="auto"/>
            </w:tcBorders>
            <w:shd w:val="clear" w:color="auto" w:fill="auto"/>
            <w:noWrap/>
            <w:vAlign w:val="bottom"/>
            <w:hideMark/>
          </w:tcPr>
          <w:p w14:paraId="332EA93D"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b/>
                <w:bCs/>
                <w:color w:val="FF0000"/>
                <w:sz w:val="22"/>
                <w:szCs w:val="22"/>
              </w:rPr>
            </w:pPr>
            <w:r w:rsidRPr="00D935A4">
              <w:rPr>
                <w:rFonts w:ascii="Calibri" w:eastAsia="Times New Roman" w:hAnsi="Calibri" w:cs="Calibri"/>
                <w:b/>
                <w:bCs/>
                <w:color w:val="FF0000"/>
                <w:sz w:val="22"/>
                <w:szCs w:val="22"/>
              </w:rPr>
              <w:t>81</w:t>
            </w:r>
          </w:p>
        </w:tc>
        <w:tc>
          <w:tcPr>
            <w:tcW w:w="711" w:type="dxa"/>
            <w:tcBorders>
              <w:top w:val="nil"/>
              <w:left w:val="nil"/>
              <w:bottom w:val="single" w:sz="4" w:space="0" w:color="auto"/>
              <w:right w:val="single" w:sz="4" w:space="0" w:color="auto"/>
            </w:tcBorders>
            <w:shd w:val="clear" w:color="auto" w:fill="auto"/>
            <w:noWrap/>
            <w:vAlign w:val="bottom"/>
            <w:hideMark/>
          </w:tcPr>
          <w:p w14:paraId="201F52D1" w14:textId="77777777" w:rsidR="005505BA" w:rsidRPr="00D935A4" w:rsidRDefault="005505BA" w:rsidP="00D0734F">
            <w:pPr>
              <w:overflowPunct/>
              <w:autoSpaceDE/>
              <w:autoSpaceDN/>
              <w:adjustRightInd/>
              <w:spacing w:after="0"/>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 </w:t>
            </w:r>
          </w:p>
        </w:tc>
        <w:tc>
          <w:tcPr>
            <w:tcW w:w="711" w:type="dxa"/>
            <w:tcBorders>
              <w:top w:val="nil"/>
              <w:left w:val="nil"/>
              <w:bottom w:val="single" w:sz="4" w:space="0" w:color="auto"/>
              <w:right w:val="single" w:sz="4" w:space="0" w:color="auto"/>
            </w:tcBorders>
            <w:shd w:val="clear" w:color="auto" w:fill="auto"/>
            <w:noWrap/>
            <w:vAlign w:val="bottom"/>
            <w:hideMark/>
          </w:tcPr>
          <w:p w14:paraId="6CB8E49B"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b/>
                <w:bCs/>
                <w:color w:val="FF0000"/>
                <w:sz w:val="22"/>
                <w:szCs w:val="22"/>
              </w:rPr>
            </w:pPr>
            <w:r w:rsidRPr="00D935A4">
              <w:rPr>
                <w:rFonts w:ascii="Calibri" w:eastAsia="Times New Roman" w:hAnsi="Calibri" w:cs="Calibri"/>
                <w:b/>
                <w:bCs/>
                <w:color w:val="FF0000"/>
                <w:sz w:val="22"/>
                <w:szCs w:val="22"/>
              </w:rPr>
              <w:t>109</w:t>
            </w:r>
          </w:p>
        </w:tc>
        <w:tc>
          <w:tcPr>
            <w:tcW w:w="711" w:type="dxa"/>
            <w:tcBorders>
              <w:top w:val="nil"/>
              <w:left w:val="nil"/>
              <w:bottom w:val="single" w:sz="4" w:space="0" w:color="auto"/>
              <w:right w:val="single" w:sz="4" w:space="0" w:color="auto"/>
            </w:tcBorders>
            <w:shd w:val="clear" w:color="auto" w:fill="auto"/>
            <w:noWrap/>
            <w:vAlign w:val="bottom"/>
            <w:hideMark/>
          </w:tcPr>
          <w:p w14:paraId="0C26EF7E" w14:textId="77777777" w:rsidR="005505BA" w:rsidRPr="00D935A4" w:rsidRDefault="005505BA" w:rsidP="00D0734F">
            <w:pPr>
              <w:overflowPunct/>
              <w:autoSpaceDE/>
              <w:autoSpaceDN/>
              <w:adjustRightInd/>
              <w:spacing w:after="0"/>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 </w:t>
            </w:r>
          </w:p>
        </w:tc>
        <w:tc>
          <w:tcPr>
            <w:tcW w:w="711" w:type="dxa"/>
            <w:tcBorders>
              <w:top w:val="nil"/>
              <w:left w:val="nil"/>
              <w:bottom w:val="single" w:sz="4" w:space="0" w:color="auto"/>
              <w:right w:val="single" w:sz="8" w:space="0" w:color="auto"/>
            </w:tcBorders>
            <w:shd w:val="clear" w:color="auto" w:fill="auto"/>
            <w:noWrap/>
            <w:vAlign w:val="bottom"/>
            <w:hideMark/>
          </w:tcPr>
          <w:p w14:paraId="4CBE7EE1"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b/>
                <w:bCs/>
                <w:color w:val="FF0000"/>
                <w:sz w:val="22"/>
                <w:szCs w:val="22"/>
              </w:rPr>
            </w:pPr>
            <w:r w:rsidRPr="00D935A4">
              <w:rPr>
                <w:rFonts w:ascii="Calibri" w:eastAsia="Times New Roman" w:hAnsi="Calibri" w:cs="Calibri"/>
                <w:b/>
                <w:bCs/>
                <w:color w:val="FF0000"/>
                <w:sz w:val="22"/>
                <w:szCs w:val="22"/>
              </w:rPr>
              <w:t>137</w:t>
            </w:r>
          </w:p>
        </w:tc>
      </w:tr>
      <w:tr w:rsidR="005505BA" w:rsidRPr="00D935A4" w14:paraId="5817E101" w14:textId="77777777" w:rsidTr="00D0734F">
        <w:trPr>
          <w:trHeight w:val="334"/>
        </w:trPr>
        <w:tc>
          <w:tcPr>
            <w:tcW w:w="711" w:type="dxa"/>
            <w:tcBorders>
              <w:top w:val="nil"/>
              <w:left w:val="single" w:sz="8" w:space="0" w:color="auto"/>
              <w:bottom w:val="single" w:sz="8" w:space="0" w:color="auto"/>
              <w:right w:val="nil"/>
            </w:tcBorders>
            <w:shd w:val="clear" w:color="auto" w:fill="auto"/>
            <w:noWrap/>
            <w:vAlign w:val="bottom"/>
            <w:hideMark/>
          </w:tcPr>
          <w:p w14:paraId="491C921B" w14:textId="77777777" w:rsidR="005505BA" w:rsidRPr="00D935A4" w:rsidRDefault="005505BA" w:rsidP="00D0734F">
            <w:pPr>
              <w:overflowPunct/>
              <w:autoSpaceDE/>
              <w:autoSpaceDN/>
              <w:adjustRightInd/>
              <w:spacing w:after="0"/>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 </w:t>
            </w:r>
          </w:p>
        </w:tc>
        <w:tc>
          <w:tcPr>
            <w:tcW w:w="711" w:type="dxa"/>
            <w:tcBorders>
              <w:top w:val="nil"/>
              <w:left w:val="single" w:sz="4" w:space="0" w:color="auto"/>
              <w:bottom w:val="single" w:sz="8" w:space="0" w:color="auto"/>
              <w:right w:val="single" w:sz="4" w:space="0" w:color="auto"/>
            </w:tcBorders>
            <w:shd w:val="clear" w:color="auto" w:fill="auto"/>
            <w:noWrap/>
            <w:vAlign w:val="bottom"/>
            <w:hideMark/>
          </w:tcPr>
          <w:p w14:paraId="681DE215" w14:textId="77777777" w:rsidR="005505BA" w:rsidRPr="00D935A4" w:rsidRDefault="005505BA" w:rsidP="00D0734F">
            <w:pPr>
              <w:overflowPunct/>
              <w:autoSpaceDE/>
              <w:autoSpaceDN/>
              <w:adjustRightInd/>
              <w:spacing w:after="0"/>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 </w:t>
            </w:r>
          </w:p>
        </w:tc>
        <w:tc>
          <w:tcPr>
            <w:tcW w:w="711" w:type="dxa"/>
            <w:tcBorders>
              <w:top w:val="nil"/>
              <w:left w:val="nil"/>
              <w:bottom w:val="single" w:sz="8" w:space="0" w:color="auto"/>
              <w:right w:val="single" w:sz="4" w:space="0" w:color="auto"/>
            </w:tcBorders>
            <w:shd w:val="clear" w:color="auto" w:fill="auto"/>
            <w:noWrap/>
            <w:vAlign w:val="bottom"/>
            <w:hideMark/>
          </w:tcPr>
          <w:p w14:paraId="5D773C62"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6</w:t>
            </w:r>
          </w:p>
        </w:tc>
        <w:tc>
          <w:tcPr>
            <w:tcW w:w="711" w:type="dxa"/>
            <w:tcBorders>
              <w:top w:val="nil"/>
              <w:left w:val="nil"/>
              <w:bottom w:val="single" w:sz="8" w:space="0" w:color="auto"/>
              <w:right w:val="single" w:sz="4" w:space="0" w:color="auto"/>
            </w:tcBorders>
            <w:shd w:val="clear" w:color="auto" w:fill="auto"/>
            <w:noWrap/>
            <w:vAlign w:val="bottom"/>
            <w:hideMark/>
          </w:tcPr>
          <w:p w14:paraId="42546600"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b/>
                <w:bCs/>
                <w:color w:val="FF0000"/>
                <w:sz w:val="22"/>
                <w:szCs w:val="22"/>
              </w:rPr>
            </w:pPr>
            <w:r w:rsidRPr="00D935A4">
              <w:rPr>
                <w:rFonts w:ascii="Calibri" w:eastAsia="Times New Roman" w:hAnsi="Calibri" w:cs="Calibri"/>
                <w:b/>
                <w:bCs/>
                <w:color w:val="FF0000"/>
                <w:sz w:val="22"/>
                <w:szCs w:val="22"/>
              </w:rPr>
              <w:t>9</w:t>
            </w:r>
          </w:p>
        </w:tc>
        <w:tc>
          <w:tcPr>
            <w:tcW w:w="711" w:type="dxa"/>
            <w:tcBorders>
              <w:top w:val="nil"/>
              <w:left w:val="nil"/>
              <w:bottom w:val="single" w:sz="8" w:space="0" w:color="auto"/>
              <w:right w:val="single" w:sz="4" w:space="0" w:color="auto"/>
            </w:tcBorders>
            <w:shd w:val="clear" w:color="auto" w:fill="auto"/>
            <w:noWrap/>
            <w:vAlign w:val="bottom"/>
            <w:hideMark/>
          </w:tcPr>
          <w:p w14:paraId="3AD9E524" w14:textId="77777777" w:rsidR="005505BA" w:rsidRPr="00D935A4" w:rsidRDefault="005505BA" w:rsidP="00D0734F">
            <w:pPr>
              <w:overflowPunct/>
              <w:autoSpaceDE/>
              <w:autoSpaceDN/>
              <w:adjustRightInd/>
              <w:spacing w:after="0"/>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 </w:t>
            </w:r>
          </w:p>
        </w:tc>
        <w:tc>
          <w:tcPr>
            <w:tcW w:w="711" w:type="dxa"/>
            <w:tcBorders>
              <w:top w:val="nil"/>
              <w:left w:val="nil"/>
              <w:bottom w:val="single" w:sz="8" w:space="0" w:color="auto"/>
              <w:right w:val="single" w:sz="4" w:space="0" w:color="auto"/>
            </w:tcBorders>
            <w:shd w:val="clear" w:color="auto" w:fill="auto"/>
            <w:noWrap/>
            <w:vAlign w:val="bottom"/>
            <w:hideMark/>
          </w:tcPr>
          <w:p w14:paraId="5438796F"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12</w:t>
            </w:r>
          </w:p>
        </w:tc>
        <w:tc>
          <w:tcPr>
            <w:tcW w:w="711" w:type="dxa"/>
            <w:tcBorders>
              <w:top w:val="nil"/>
              <w:left w:val="nil"/>
              <w:bottom w:val="single" w:sz="8" w:space="0" w:color="auto"/>
              <w:right w:val="single" w:sz="4" w:space="0" w:color="auto"/>
            </w:tcBorders>
            <w:shd w:val="clear" w:color="auto" w:fill="auto"/>
            <w:noWrap/>
            <w:vAlign w:val="bottom"/>
            <w:hideMark/>
          </w:tcPr>
          <w:p w14:paraId="15976B9F"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16</w:t>
            </w:r>
          </w:p>
        </w:tc>
        <w:tc>
          <w:tcPr>
            <w:tcW w:w="711" w:type="dxa"/>
            <w:tcBorders>
              <w:top w:val="nil"/>
              <w:left w:val="nil"/>
              <w:bottom w:val="single" w:sz="8" w:space="0" w:color="auto"/>
              <w:right w:val="single" w:sz="4" w:space="0" w:color="auto"/>
            </w:tcBorders>
            <w:shd w:val="clear" w:color="auto" w:fill="auto"/>
            <w:noWrap/>
            <w:vAlign w:val="bottom"/>
            <w:hideMark/>
          </w:tcPr>
          <w:p w14:paraId="6D08737F"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26</w:t>
            </w:r>
          </w:p>
        </w:tc>
        <w:tc>
          <w:tcPr>
            <w:tcW w:w="711" w:type="dxa"/>
            <w:tcBorders>
              <w:top w:val="nil"/>
              <w:left w:val="nil"/>
              <w:bottom w:val="single" w:sz="8" w:space="0" w:color="auto"/>
              <w:right w:val="single" w:sz="4" w:space="0" w:color="auto"/>
            </w:tcBorders>
            <w:shd w:val="clear" w:color="auto" w:fill="auto"/>
            <w:noWrap/>
            <w:vAlign w:val="bottom"/>
            <w:hideMark/>
          </w:tcPr>
          <w:p w14:paraId="7843CCF0"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b/>
                <w:bCs/>
                <w:color w:val="FF0000"/>
                <w:sz w:val="22"/>
                <w:szCs w:val="22"/>
              </w:rPr>
            </w:pPr>
            <w:r w:rsidRPr="00D935A4">
              <w:rPr>
                <w:rFonts w:ascii="Calibri" w:eastAsia="Times New Roman" w:hAnsi="Calibri" w:cs="Calibri"/>
                <w:b/>
                <w:bCs/>
                <w:color w:val="FF0000"/>
                <w:sz w:val="22"/>
                <w:szCs w:val="22"/>
              </w:rPr>
              <w:t>33</w:t>
            </w:r>
          </w:p>
        </w:tc>
        <w:tc>
          <w:tcPr>
            <w:tcW w:w="711" w:type="dxa"/>
            <w:tcBorders>
              <w:top w:val="nil"/>
              <w:left w:val="nil"/>
              <w:bottom w:val="single" w:sz="8" w:space="0" w:color="auto"/>
              <w:right w:val="single" w:sz="4" w:space="0" w:color="auto"/>
            </w:tcBorders>
            <w:shd w:val="clear" w:color="auto" w:fill="auto"/>
            <w:noWrap/>
            <w:vAlign w:val="bottom"/>
            <w:hideMark/>
          </w:tcPr>
          <w:p w14:paraId="5C1A127D"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40</w:t>
            </w:r>
          </w:p>
        </w:tc>
        <w:tc>
          <w:tcPr>
            <w:tcW w:w="711" w:type="dxa"/>
            <w:tcBorders>
              <w:top w:val="nil"/>
              <w:left w:val="nil"/>
              <w:bottom w:val="single" w:sz="8" w:space="0" w:color="auto"/>
              <w:right w:val="single" w:sz="4" w:space="0" w:color="auto"/>
            </w:tcBorders>
            <w:shd w:val="clear" w:color="auto" w:fill="auto"/>
            <w:noWrap/>
            <w:vAlign w:val="bottom"/>
            <w:hideMark/>
          </w:tcPr>
          <w:p w14:paraId="6F4436A0" w14:textId="77777777" w:rsidR="005505BA" w:rsidRPr="00D935A4" w:rsidRDefault="005505BA" w:rsidP="00D0734F">
            <w:pPr>
              <w:overflowPunct/>
              <w:autoSpaceDE/>
              <w:autoSpaceDN/>
              <w:adjustRightInd/>
              <w:spacing w:after="0"/>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 </w:t>
            </w:r>
          </w:p>
        </w:tc>
        <w:tc>
          <w:tcPr>
            <w:tcW w:w="711" w:type="dxa"/>
            <w:tcBorders>
              <w:top w:val="nil"/>
              <w:left w:val="nil"/>
              <w:bottom w:val="single" w:sz="8" w:space="0" w:color="auto"/>
              <w:right w:val="single" w:sz="4" w:space="0" w:color="auto"/>
            </w:tcBorders>
            <w:shd w:val="clear" w:color="auto" w:fill="auto"/>
            <w:noWrap/>
            <w:vAlign w:val="bottom"/>
            <w:hideMark/>
          </w:tcPr>
          <w:p w14:paraId="26F08393"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54</w:t>
            </w:r>
          </w:p>
        </w:tc>
        <w:tc>
          <w:tcPr>
            <w:tcW w:w="711" w:type="dxa"/>
            <w:tcBorders>
              <w:top w:val="nil"/>
              <w:left w:val="nil"/>
              <w:bottom w:val="single" w:sz="8" w:space="0" w:color="auto"/>
              <w:right w:val="single" w:sz="4" w:space="0" w:color="auto"/>
            </w:tcBorders>
            <w:shd w:val="clear" w:color="auto" w:fill="auto"/>
            <w:noWrap/>
            <w:vAlign w:val="bottom"/>
            <w:hideMark/>
          </w:tcPr>
          <w:p w14:paraId="73F46428" w14:textId="77777777" w:rsidR="005505BA" w:rsidRPr="00D935A4" w:rsidRDefault="005505BA" w:rsidP="00D0734F">
            <w:pPr>
              <w:overflowPunct/>
              <w:autoSpaceDE/>
              <w:autoSpaceDN/>
              <w:adjustRightInd/>
              <w:spacing w:after="0"/>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 </w:t>
            </w:r>
          </w:p>
        </w:tc>
        <w:tc>
          <w:tcPr>
            <w:tcW w:w="711" w:type="dxa"/>
            <w:tcBorders>
              <w:top w:val="nil"/>
              <w:left w:val="nil"/>
              <w:bottom w:val="single" w:sz="8" w:space="0" w:color="auto"/>
              <w:right w:val="single" w:sz="8" w:space="0" w:color="auto"/>
            </w:tcBorders>
            <w:shd w:val="clear" w:color="auto" w:fill="auto"/>
            <w:noWrap/>
            <w:vAlign w:val="bottom"/>
            <w:hideMark/>
          </w:tcPr>
          <w:p w14:paraId="01B356DC"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68</w:t>
            </w:r>
          </w:p>
        </w:tc>
      </w:tr>
    </w:tbl>
    <w:p w14:paraId="271FCE37" w14:textId="77777777" w:rsidR="005505BA" w:rsidRDefault="005505BA" w:rsidP="005505BA">
      <w:pPr>
        <w:rPr>
          <w:lang w:val="en-GB"/>
        </w:rPr>
      </w:pPr>
    </w:p>
    <w:tbl>
      <w:tblPr>
        <w:tblW w:w="9982" w:type="dxa"/>
        <w:tblInd w:w="-10" w:type="dxa"/>
        <w:tblLook w:val="04A0" w:firstRow="1" w:lastRow="0" w:firstColumn="1" w:lastColumn="0" w:noHBand="0" w:noVBand="1"/>
      </w:tblPr>
      <w:tblGrid>
        <w:gridCol w:w="713"/>
        <w:gridCol w:w="713"/>
        <w:gridCol w:w="713"/>
        <w:gridCol w:w="713"/>
        <w:gridCol w:w="713"/>
        <w:gridCol w:w="713"/>
        <w:gridCol w:w="713"/>
        <w:gridCol w:w="713"/>
        <w:gridCol w:w="713"/>
        <w:gridCol w:w="713"/>
        <w:gridCol w:w="713"/>
        <w:gridCol w:w="713"/>
        <w:gridCol w:w="713"/>
        <w:gridCol w:w="713"/>
      </w:tblGrid>
      <w:tr w:rsidR="005505BA" w:rsidRPr="00D935A4" w14:paraId="3234FD44" w14:textId="77777777" w:rsidTr="00D0734F">
        <w:trPr>
          <w:trHeight w:val="304"/>
        </w:trPr>
        <w:tc>
          <w:tcPr>
            <w:tcW w:w="713" w:type="dxa"/>
            <w:tcBorders>
              <w:top w:val="single" w:sz="8" w:space="0" w:color="auto"/>
              <w:left w:val="single" w:sz="8" w:space="0" w:color="auto"/>
              <w:bottom w:val="nil"/>
              <w:right w:val="nil"/>
            </w:tcBorders>
            <w:shd w:val="clear" w:color="auto" w:fill="auto"/>
            <w:noWrap/>
            <w:vAlign w:val="bottom"/>
            <w:hideMark/>
          </w:tcPr>
          <w:p w14:paraId="0A36DF36" w14:textId="77777777" w:rsidR="005505BA" w:rsidRPr="00D935A4" w:rsidRDefault="005505BA" w:rsidP="00D0734F">
            <w:pPr>
              <w:overflowPunct/>
              <w:autoSpaceDE/>
              <w:autoSpaceDN/>
              <w:adjustRightInd/>
              <w:spacing w:after="0"/>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L=4</w:t>
            </w:r>
          </w:p>
        </w:tc>
        <w:tc>
          <w:tcPr>
            <w:tcW w:w="713"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761DDC2D"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7</w:t>
            </w:r>
          </w:p>
        </w:tc>
        <w:tc>
          <w:tcPr>
            <w:tcW w:w="713" w:type="dxa"/>
            <w:tcBorders>
              <w:top w:val="single" w:sz="8" w:space="0" w:color="auto"/>
              <w:left w:val="nil"/>
              <w:bottom w:val="single" w:sz="4" w:space="0" w:color="auto"/>
              <w:right w:val="single" w:sz="4" w:space="0" w:color="auto"/>
            </w:tcBorders>
            <w:shd w:val="clear" w:color="auto" w:fill="auto"/>
            <w:noWrap/>
            <w:vAlign w:val="bottom"/>
            <w:hideMark/>
          </w:tcPr>
          <w:p w14:paraId="7294A813"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13</w:t>
            </w:r>
          </w:p>
        </w:tc>
        <w:tc>
          <w:tcPr>
            <w:tcW w:w="713" w:type="dxa"/>
            <w:tcBorders>
              <w:top w:val="single" w:sz="8" w:space="0" w:color="auto"/>
              <w:left w:val="nil"/>
              <w:bottom w:val="single" w:sz="4" w:space="0" w:color="auto"/>
              <w:right w:val="single" w:sz="4" w:space="0" w:color="auto"/>
            </w:tcBorders>
            <w:shd w:val="clear" w:color="auto" w:fill="auto"/>
            <w:noWrap/>
            <w:vAlign w:val="bottom"/>
            <w:hideMark/>
          </w:tcPr>
          <w:p w14:paraId="4C00D950"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20</w:t>
            </w:r>
          </w:p>
        </w:tc>
        <w:tc>
          <w:tcPr>
            <w:tcW w:w="713" w:type="dxa"/>
            <w:tcBorders>
              <w:top w:val="single" w:sz="8" w:space="0" w:color="auto"/>
              <w:left w:val="nil"/>
              <w:bottom w:val="single" w:sz="4" w:space="0" w:color="auto"/>
              <w:right w:val="single" w:sz="4" w:space="0" w:color="auto"/>
            </w:tcBorders>
            <w:shd w:val="clear" w:color="auto" w:fill="auto"/>
            <w:noWrap/>
            <w:vAlign w:val="bottom"/>
            <w:hideMark/>
          </w:tcPr>
          <w:p w14:paraId="579DA801" w14:textId="77777777" w:rsidR="005505BA" w:rsidRPr="00D935A4" w:rsidRDefault="005505BA" w:rsidP="00D0734F">
            <w:pPr>
              <w:overflowPunct/>
              <w:autoSpaceDE/>
              <w:autoSpaceDN/>
              <w:adjustRightInd/>
              <w:spacing w:after="0"/>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 </w:t>
            </w:r>
          </w:p>
        </w:tc>
        <w:tc>
          <w:tcPr>
            <w:tcW w:w="713" w:type="dxa"/>
            <w:tcBorders>
              <w:top w:val="single" w:sz="8" w:space="0" w:color="auto"/>
              <w:left w:val="nil"/>
              <w:bottom w:val="single" w:sz="4" w:space="0" w:color="auto"/>
              <w:right w:val="single" w:sz="4" w:space="0" w:color="auto"/>
            </w:tcBorders>
            <w:shd w:val="clear" w:color="auto" w:fill="auto"/>
            <w:noWrap/>
            <w:vAlign w:val="bottom"/>
            <w:hideMark/>
          </w:tcPr>
          <w:p w14:paraId="56431550"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b/>
                <w:bCs/>
                <w:color w:val="FF0000"/>
                <w:sz w:val="22"/>
                <w:szCs w:val="22"/>
              </w:rPr>
            </w:pPr>
            <w:r w:rsidRPr="00D935A4">
              <w:rPr>
                <w:rFonts w:ascii="Calibri" w:eastAsia="Times New Roman" w:hAnsi="Calibri" w:cs="Calibri"/>
                <w:b/>
                <w:bCs/>
                <w:color w:val="FF0000"/>
                <w:sz w:val="22"/>
                <w:szCs w:val="22"/>
              </w:rPr>
              <w:t>27</w:t>
            </w:r>
          </w:p>
        </w:tc>
        <w:tc>
          <w:tcPr>
            <w:tcW w:w="713" w:type="dxa"/>
            <w:tcBorders>
              <w:top w:val="single" w:sz="8" w:space="0" w:color="auto"/>
              <w:left w:val="nil"/>
              <w:bottom w:val="single" w:sz="4" w:space="0" w:color="auto"/>
              <w:right w:val="single" w:sz="4" w:space="0" w:color="auto"/>
            </w:tcBorders>
            <w:shd w:val="clear" w:color="auto" w:fill="auto"/>
            <w:noWrap/>
            <w:vAlign w:val="bottom"/>
            <w:hideMark/>
          </w:tcPr>
          <w:p w14:paraId="66958DEE"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34</w:t>
            </w:r>
          </w:p>
        </w:tc>
        <w:tc>
          <w:tcPr>
            <w:tcW w:w="713" w:type="dxa"/>
            <w:tcBorders>
              <w:top w:val="single" w:sz="8" w:space="0" w:color="auto"/>
              <w:left w:val="nil"/>
              <w:bottom w:val="single" w:sz="4" w:space="0" w:color="auto"/>
              <w:right w:val="single" w:sz="4" w:space="0" w:color="auto"/>
            </w:tcBorders>
            <w:shd w:val="clear" w:color="auto" w:fill="auto"/>
            <w:noWrap/>
            <w:vAlign w:val="bottom"/>
            <w:hideMark/>
          </w:tcPr>
          <w:p w14:paraId="1272C492"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54</w:t>
            </w:r>
          </w:p>
        </w:tc>
        <w:tc>
          <w:tcPr>
            <w:tcW w:w="713" w:type="dxa"/>
            <w:tcBorders>
              <w:top w:val="single" w:sz="8" w:space="0" w:color="auto"/>
              <w:left w:val="nil"/>
              <w:bottom w:val="single" w:sz="4" w:space="0" w:color="auto"/>
              <w:right w:val="single" w:sz="4" w:space="0" w:color="auto"/>
            </w:tcBorders>
            <w:shd w:val="clear" w:color="auto" w:fill="auto"/>
            <w:noWrap/>
            <w:vAlign w:val="bottom"/>
            <w:hideMark/>
          </w:tcPr>
          <w:p w14:paraId="57EBD819"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68</w:t>
            </w:r>
          </w:p>
        </w:tc>
        <w:tc>
          <w:tcPr>
            <w:tcW w:w="713" w:type="dxa"/>
            <w:tcBorders>
              <w:top w:val="single" w:sz="8" w:space="0" w:color="auto"/>
              <w:left w:val="nil"/>
              <w:bottom w:val="single" w:sz="4" w:space="0" w:color="auto"/>
              <w:right w:val="single" w:sz="4" w:space="0" w:color="auto"/>
            </w:tcBorders>
            <w:shd w:val="clear" w:color="auto" w:fill="auto"/>
            <w:noWrap/>
            <w:vAlign w:val="bottom"/>
            <w:hideMark/>
          </w:tcPr>
          <w:p w14:paraId="0DCE26BB" w14:textId="77777777" w:rsidR="005505BA" w:rsidRPr="00D935A4" w:rsidRDefault="005505BA" w:rsidP="00D0734F">
            <w:pPr>
              <w:overflowPunct/>
              <w:autoSpaceDE/>
              <w:autoSpaceDN/>
              <w:adjustRightInd/>
              <w:spacing w:after="0"/>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 </w:t>
            </w:r>
          </w:p>
        </w:tc>
        <w:tc>
          <w:tcPr>
            <w:tcW w:w="713" w:type="dxa"/>
            <w:tcBorders>
              <w:top w:val="single" w:sz="8" w:space="0" w:color="auto"/>
              <w:left w:val="nil"/>
              <w:bottom w:val="single" w:sz="4" w:space="0" w:color="auto"/>
              <w:right w:val="single" w:sz="4" w:space="0" w:color="auto"/>
            </w:tcBorders>
            <w:shd w:val="clear" w:color="auto" w:fill="auto"/>
            <w:noWrap/>
            <w:vAlign w:val="bottom"/>
            <w:hideMark/>
          </w:tcPr>
          <w:p w14:paraId="38B079C6" w14:textId="77777777" w:rsidR="005505BA" w:rsidRPr="00D935A4" w:rsidRDefault="005505BA" w:rsidP="00D0734F">
            <w:pPr>
              <w:overflowPunct/>
              <w:autoSpaceDE/>
              <w:autoSpaceDN/>
              <w:adjustRightInd/>
              <w:spacing w:after="0"/>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 </w:t>
            </w:r>
          </w:p>
        </w:tc>
        <w:tc>
          <w:tcPr>
            <w:tcW w:w="713" w:type="dxa"/>
            <w:tcBorders>
              <w:top w:val="single" w:sz="8" w:space="0" w:color="auto"/>
              <w:left w:val="nil"/>
              <w:bottom w:val="single" w:sz="4" w:space="0" w:color="auto"/>
              <w:right w:val="single" w:sz="4" w:space="0" w:color="auto"/>
            </w:tcBorders>
            <w:shd w:val="clear" w:color="auto" w:fill="auto"/>
            <w:noWrap/>
            <w:vAlign w:val="bottom"/>
            <w:hideMark/>
          </w:tcPr>
          <w:p w14:paraId="653C705A" w14:textId="77777777" w:rsidR="005505BA" w:rsidRPr="00D935A4" w:rsidRDefault="005505BA" w:rsidP="00D0734F">
            <w:pPr>
              <w:overflowPunct/>
              <w:autoSpaceDE/>
              <w:autoSpaceDN/>
              <w:adjustRightInd/>
              <w:spacing w:after="0"/>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 </w:t>
            </w:r>
          </w:p>
        </w:tc>
        <w:tc>
          <w:tcPr>
            <w:tcW w:w="713" w:type="dxa"/>
            <w:tcBorders>
              <w:top w:val="single" w:sz="8" w:space="0" w:color="auto"/>
              <w:left w:val="nil"/>
              <w:bottom w:val="single" w:sz="4" w:space="0" w:color="auto"/>
              <w:right w:val="single" w:sz="4" w:space="0" w:color="auto"/>
            </w:tcBorders>
            <w:shd w:val="clear" w:color="auto" w:fill="auto"/>
            <w:noWrap/>
            <w:vAlign w:val="bottom"/>
            <w:hideMark/>
          </w:tcPr>
          <w:p w14:paraId="5AAF1B37" w14:textId="77777777" w:rsidR="005505BA" w:rsidRPr="00D935A4" w:rsidRDefault="005505BA" w:rsidP="00D0734F">
            <w:pPr>
              <w:overflowPunct/>
              <w:autoSpaceDE/>
              <w:autoSpaceDN/>
              <w:adjustRightInd/>
              <w:spacing w:after="0"/>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 </w:t>
            </w:r>
          </w:p>
        </w:tc>
        <w:tc>
          <w:tcPr>
            <w:tcW w:w="713" w:type="dxa"/>
            <w:tcBorders>
              <w:top w:val="single" w:sz="8" w:space="0" w:color="auto"/>
              <w:left w:val="nil"/>
              <w:bottom w:val="single" w:sz="4" w:space="0" w:color="auto"/>
              <w:right w:val="single" w:sz="8" w:space="0" w:color="auto"/>
            </w:tcBorders>
            <w:shd w:val="clear" w:color="auto" w:fill="auto"/>
            <w:noWrap/>
            <w:vAlign w:val="bottom"/>
            <w:hideMark/>
          </w:tcPr>
          <w:p w14:paraId="0AB3E3C0" w14:textId="77777777" w:rsidR="005505BA" w:rsidRPr="00D935A4" w:rsidRDefault="005505BA" w:rsidP="00D0734F">
            <w:pPr>
              <w:overflowPunct/>
              <w:autoSpaceDE/>
              <w:autoSpaceDN/>
              <w:adjustRightInd/>
              <w:spacing w:after="0"/>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 </w:t>
            </w:r>
          </w:p>
        </w:tc>
      </w:tr>
      <w:tr w:rsidR="005505BA" w:rsidRPr="00D935A4" w14:paraId="52F08EFC" w14:textId="77777777" w:rsidTr="00D0734F">
        <w:trPr>
          <w:trHeight w:val="304"/>
        </w:trPr>
        <w:tc>
          <w:tcPr>
            <w:tcW w:w="713" w:type="dxa"/>
            <w:tcBorders>
              <w:top w:val="nil"/>
              <w:left w:val="single" w:sz="8" w:space="0" w:color="auto"/>
              <w:bottom w:val="nil"/>
              <w:right w:val="nil"/>
            </w:tcBorders>
            <w:shd w:val="clear" w:color="auto" w:fill="auto"/>
            <w:noWrap/>
            <w:vAlign w:val="bottom"/>
            <w:hideMark/>
          </w:tcPr>
          <w:p w14:paraId="35E4DC3E" w14:textId="77777777" w:rsidR="005505BA" w:rsidRPr="00D935A4" w:rsidRDefault="005505BA" w:rsidP="00D0734F">
            <w:pPr>
              <w:overflowPunct/>
              <w:autoSpaceDE/>
              <w:autoSpaceDN/>
              <w:adjustRightInd/>
              <w:spacing w:after="0"/>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 </w:t>
            </w:r>
          </w:p>
        </w:tc>
        <w:tc>
          <w:tcPr>
            <w:tcW w:w="713" w:type="dxa"/>
            <w:tcBorders>
              <w:top w:val="nil"/>
              <w:left w:val="single" w:sz="4" w:space="0" w:color="auto"/>
              <w:bottom w:val="single" w:sz="4" w:space="0" w:color="auto"/>
              <w:right w:val="single" w:sz="4" w:space="0" w:color="auto"/>
            </w:tcBorders>
            <w:shd w:val="clear" w:color="auto" w:fill="auto"/>
            <w:noWrap/>
            <w:vAlign w:val="bottom"/>
            <w:hideMark/>
          </w:tcPr>
          <w:p w14:paraId="27E1F564"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3</w:t>
            </w:r>
          </w:p>
        </w:tc>
        <w:tc>
          <w:tcPr>
            <w:tcW w:w="713" w:type="dxa"/>
            <w:tcBorders>
              <w:top w:val="nil"/>
              <w:left w:val="nil"/>
              <w:bottom w:val="single" w:sz="4" w:space="0" w:color="auto"/>
              <w:right w:val="single" w:sz="4" w:space="0" w:color="auto"/>
            </w:tcBorders>
            <w:shd w:val="clear" w:color="auto" w:fill="auto"/>
            <w:noWrap/>
            <w:vAlign w:val="bottom"/>
            <w:hideMark/>
          </w:tcPr>
          <w:p w14:paraId="228FC004"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6</w:t>
            </w:r>
          </w:p>
        </w:tc>
        <w:tc>
          <w:tcPr>
            <w:tcW w:w="713" w:type="dxa"/>
            <w:tcBorders>
              <w:top w:val="nil"/>
              <w:left w:val="nil"/>
              <w:bottom w:val="single" w:sz="4" w:space="0" w:color="auto"/>
              <w:right w:val="single" w:sz="4" w:space="0" w:color="auto"/>
            </w:tcBorders>
            <w:shd w:val="clear" w:color="auto" w:fill="auto"/>
            <w:noWrap/>
            <w:vAlign w:val="bottom"/>
            <w:hideMark/>
          </w:tcPr>
          <w:p w14:paraId="7FC62640"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10</w:t>
            </w:r>
          </w:p>
        </w:tc>
        <w:tc>
          <w:tcPr>
            <w:tcW w:w="713" w:type="dxa"/>
            <w:tcBorders>
              <w:top w:val="nil"/>
              <w:left w:val="nil"/>
              <w:bottom w:val="single" w:sz="4" w:space="0" w:color="auto"/>
              <w:right w:val="single" w:sz="4" w:space="0" w:color="auto"/>
            </w:tcBorders>
            <w:shd w:val="clear" w:color="auto" w:fill="auto"/>
            <w:noWrap/>
            <w:vAlign w:val="bottom"/>
            <w:hideMark/>
          </w:tcPr>
          <w:p w14:paraId="6FB66C6B" w14:textId="77777777" w:rsidR="005505BA" w:rsidRPr="00D935A4" w:rsidRDefault="005505BA" w:rsidP="00D0734F">
            <w:pPr>
              <w:overflowPunct/>
              <w:autoSpaceDE/>
              <w:autoSpaceDN/>
              <w:adjustRightInd/>
              <w:spacing w:after="0"/>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 </w:t>
            </w:r>
          </w:p>
        </w:tc>
        <w:tc>
          <w:tcPr>
            <w:tcW w:w="713" w:type="dxa"/>
            <w:tcBorders>
              <w:top w:val="nil"/>
              <w:left w:val="nil"/>
              <w:bottom w:val="single" w:sz="4" w:space="0" w:color="auto"/>
              <w:right w:val="single" w:sz="4" w:space="0" w:color="auto"/>
            </w:tcBorders>
            <w:shd w:val="clear" w:color="auto" w:fill="auto"/>
            <w:noWrap/>
            <w:vAlign w:val="bottom"/>
            <w:hideMark/>
          </w:tcPr>
          <w:p w14:paraId="446A38C9"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b/>
                <w:bCs/>
                <w:color w:val="FF0000"/>
                <w:sz w:val="22"/>
                <w:szCs w:val="22"/>
              </w:rPr>
            </w:pPr>
            <w:r w:rsidRPr="00D935A4">
              <w:rPr>
                <w:rFonts w:ascii="Calibri" w:eastAsia="Times New Roman" w:hAnsi="Calibri" w:cs="Calibri"/>
                <w:b/>
                <w:bCs/>
                <w:color w:val="FF0000"/>
                <w:sz w:val="22"/>
                <w:szCs w:val="22"/>
              </w:rPr>
              <w:t>13</w:t>
            </w:r>
          </w:p>
        </w:tc>
        <w:tc>
          <w:tcPr>
            <w:tcW w:w="713" w:type="dxa"/>
            <w:tcBorders>
              <w:top w:val="nil"/>
              <w:left w:val="nil"/>
              <w:bottom w:val="single" w:sz="4" w:space="0" w:color="auto"/>
              <w:right w:val="single" w:sz="4" w:space="0" w:color="auto"/>
            </w:tcBorders>
            <w:shd w:val="clear" w:color="auto" w:fill="auto"/>
            <w:noWrap/>
            <w:vAlign w:val="bottom"/>
            <w:hideMark/>
          </w:tcPr>
          <w:p w14:paraId="3A1150DC"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b/>
                <w:bCs/>
                <w:color w:val="FF0000"/>
                <w:sz w:val="22"/>
                <w:szCs w:val="22"/>
              </w:rPr>
            </w:pPr>
            <w:r w:rsidRPr="00D935A4">
              <w:rPr>
                <w:rFonts w:ascii="Calibri" w:eastAsia="Times New Roman" w:hAnsi="Calibri" w:cs="Calibri"/>
                <w:b/>
                <w:bCs/>
                <w:color w:val="FF0000"/>
                <w:sz w:val="22"/>
                <w:szCs w:val="22"/>
              </w:rPr>
              <w:t>17</w:t>
            </w:r>
          </w:p>
        </w:tc>
        <w:tc>
          <w:tcPr>
            <w:tcW w:w="713" w:type="dxa"/>
            <w:tcBorders>
              <w:top w:val="nil"/>
              <w:left w:val="nil"/>
              <w:bottom w:val="single" w:sz="4" w:space="0" w:color="auto"/>
              <w:right w:val="single" w:sz="4" w:space="0" w:color="auto"/>
            </w:tcBorders>
            <w:shd w:val="clear" w:color="auto" w:fill="auto"/>
            <w:noWrap/>
            <w:vAlign w:val="bottom"/>
            <w:hideMark/>
          </w:tcPr>
          <w:p w14:paraId="4557D998"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b/>
                <w:bCs/>
                <w:color w:val="FF0000"/>
                <w:sz w:val="22"/>
                <w:szCs w:val="22"/>
              </w:rPr>
            </w:pPr>
            <w:r w:rsidRPr="00D935A4">
              <w:rPr>
                <w:rFonts w:ascii="Calibri" w:eastAsia="Times New Roman" w:hAnsi="Calibri" w:cs="Calibri"/>
                <w:b/>
                <w:bCs/>
                <w:color w:val="FF0000"/>
                <w:sz w:val="22"/>
                <w:szCs w:val="22"/>
              </w:rPr>
              <w:t>27</w:t>
            </w:r>
          </w:p>
        </w:tc>
        <w:tc>
          <w:tcPr>
            <w:tcW w:w="713" w:type="dxa"/>
            <w:tcBorders>
              <w:top w:val="nil"/>
              <w:left w:val="nil"/>
              <w:bottom w:val="single" w:sz="4" w:space="0" w:color="auto"/>
              <w:right w:val="single" w:sz="4" w:space="0" w:color="auto"/>
            </w:tcBorders>
            <w:shd w:val="clear" w:color="auto" w:fill="auto"/>
            <w:noWrap/>
            <w:vAlign w:val="bottom"/>
            <w:hideMark/>
          </w:tcPr>
          <w:p w14:paraId="5643759B"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34</w:t>
            </w:r>
          </w:p>
        </w:tc>
        <w:tc>
          <w:tcPr>
            <w:tcW w:w="713" w:type="dxa"/>
            <w:tcBorders>
              <w:top w:val="nil"/>
              <w:left w:val="nil"/>
              <w:bottom w:val="single" w:sz="4" w:space="0" w:color="auto"/>
              <w:right w:val="single" w:sz="4" w:space="0" w:color="auto"/>
            </w:tcBorders>
            <w:shd w:val="clear" w:color="auto" w:fill="auto"/>
            <w:noWrap/>
            <w:vAlign w:val="bottom"/>
            <w:hideMark/>
          </w:tcPr>
          <w:p w14:paraId="7503AFE5"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b/>
                <w:bCs/>
                <w:color w:val="FF0000"/>
                <w:sz w:val="22"/>
                <w:szCs w:val="22"/>
              </w:rPr>
            </w:pPr>
            <w:r w:rsidRPr="00D935A4">
              <w:rPr>
                <w:rFonts w:ascii="Calibri" w:eastAsia="Times New Roman" w:hAnsi="Calibri" w:cs="Calibri"/>
                <w:b/>
                <w:bCs/>
                <w:color w:val="FF0000"/>
                <w:sz w:val="22"/>
                <w:szCs w:val="22"/>
              </w:rPr>
              <w:t>41</w:t>
            </w:r>
          </w:p>
        </w:tc>
        <w:tc>
          <w:tcPr>
            <w:tcW w:w="713" w:type="dxa"/>
            <w:tcBorders>
              <w:top w:val="nil"/>
              <w:left w:val="nil"/>
              <w:bottom w:val="single" w:sz="4" w:space="0" w:color="auto"/>
              <w:right w:val="single" w:sz="4" w:space="0" w:color="auto"/>
            </w:tcBorders>
            <w:shd w:val="clear" w:color="auto" w:fill="auto"/>
            <w:noWrap/>
            <w:vAlign w:val="bottom"/>
            <w:hideMark/>
          </w:tcPr>
          <w:p w14:paraId="297FD64F" w14:textId="77777777" w:rsidR="005505BA" w:rsidRPr="00D935A4" w:rsidRDefault="005505BA" w:rsidP="00D0734F">
            <w:pPr>
              <w:overflowPunct/>
              <w:autoSpaceDE/>
              <w:autoSpaceDN/>
              <w:adjustRightInd/>
              <w:spacing w:after="0"/>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 </w:t>
            </w:r>
          </w:p>
        </w:tc>
        <w:tc>
          <w:tcPr>
            <w:tcW w:w="713" w:type="dxa"/>
            <w:tcBorders>
              <w:top w:val="nil"/>
              <w:left w:val="nil"/>
              <w:bottom w:val="single" w:sz="4" w:space="0" w:color="auto"/>
              <w:right w:val="single" w:sz="4" w:space="0" w:color="auto"/>
            </w:tcBorders>
            <w:shd w:val="clear" w:color="auto" w:fill="auto"/>
            <w:noWrap/>
            <w:vAlign w:val="bottom"/>
            <w:hideMark/>
          </w:tcPr>
          <w:p w14:paraId="284D60C1"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b/>
                <w:bCs/>
                <w:color w:val="FF0000"/>
                <w:sz w:val="22"/>
                <w:szCs w:val="22"/>
              </w:rPr>
            </w:pPr>
            <w:r w:rsidRPr="00D935A4">
              <w:rPr>
                <w:rFonts w:ascii="Calibri" w:eastAsia="Times New Roman" w:hAnsi="Calibri" w:cs="Calibri"/>
                <w:b/>
                <w:bCs/>
                <w:color w:val="FF0000"/>
                <w:sz w:val="22"/>
                <w:szCs w:val="22"/>
              </w:rPr>
              <w:t>55</w:t>
            </w:r>
          </w:p>
        </w:tc>
        <w:tc>
          <w:tcPr>
            <w:tcW w:w="713" w:type="dxa"/>
            <w:tcBorders>
              <w:top w:val="nil"/>
              <w:left w:val="nil"/>
              <w:bottom w:val="single" w:sz="4" w:space="0" w:color="auto"/>
              <w:right w:val="single" w:sz="4" w:space="0" w:color="auto"/>
            </w:tcBorders>
            <w:shd w:val="clear" w:color="auto" w:fill="auto"/>
            <w:noWrap/>
            <w:vAlign w:val="bottom"/>
            <w:hideMark/>
          </w:tcPr>
          <w:p w14:paraId="3B858D9A" w14:textId="77777777" w:rsidR="005505BA" w:rsidRPr="00D935A4" w:rsidRDefault="005505BA" w:rsidP="00D0734F">
            <w:pPr>
              <w:overflowPunct/>
              <w:autoSpaceDE/>
              <w:autoSpaceDN/>
              <w:adjustRightInd/>
              <w:spacing w:after="0"/>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 </w:t>
            </w:r>
          </w:p>
        </w:tc>
        <w:tc>
          <w:tcPr>
            <w:tcW w:w="713" w:type="dxa"/>
            <w:tcBorders>
              <w:top w:val="nil"/>
              <w:left w:val="nil"/>
              <w:bottom w:val="single" w:sz="4" w:space="0" w:color="auto"/>
              <w:right w:val="single" w:sz="8" w:space="0" w:color="auto"/>
            </w:tcBorders>
            <w:shd w:val="clear" w:color="auto" w:fill="auto"/>
            <w:noWrap/>
            <w:vAlign w:val="bottom"/>
            <w:hideMark/>
          </w:tcPr>
          <w:p w14:paraId="0D961D59"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b/>
                <w:bCs/>
                <w:color w:val="FF0000"/>
                <w:sz w:val="22"/>
                <w:szCs w:val="22"/>
              </w:rPr>
            </w:pPr>
            <w:r w:rsidRPr="00D935A4">
              <w:rPr>
                <w:rFonts w:ascii="Calibri" w:eastAsia="Times New Roman" w:hAnsi="Calibri" w:cs="Calibri"/>
                <w:b/>
                <w:bCs/>
                <w:color w:val="FF0000"/>
                <w:sz w:val="22"/>
                <w:szCs w:val="22"/>
              </w:rPr>
              <w:t>69</w:t>
            </w:r>
          </w:p>
        </w:tc>
      </w:tr>
      <w:tr w:rsidR="005505BA" w:rsidRPr="00D935A4" w14:paraId="256D859D" w14:textId="77777777" w:rsidTr="00D0734F">
        <w:trPr>
          <w:trHeight w:val="319"/>
        </w:trPr>
        <w:tc>
          <w:tcPr>
            <w:tcW w:w="713" w:type="dxa"/>
            <w:tcBorders>
              <w:top w:val="nil"/>
              <w:left w:val="single" w:sz="8" w:space="0" w:color="auto"/>
              <w:bottom w:val="single" w:sz="8" w:space="0" w:color="auto"/>
              <w:right w:val="nil"/>
            </w:tcBorders>
            <w:shd w:val="clear" w:color="auto" w:fill="auto"/>
            <w:noWrap/>
            <w:vAlign w:val="bottom"/>
            <w:hideMark/>
          </w:tcPr>
          <w:p w14:paraId="71AA4777" w14:textId="77777777" w:rsidR="005505BA" w:rsidRPr="00D935A4" w:rsidRDefault="005505BA" w:rsidP="00D0734F">
            <w:pPr>
              <w:overflowPunct/>
              <w:autoSpaceDE/>
              <w:autoSpaceDN/>
              <w:adjustRightInd/>
              <w:spacing w:after="0"/>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 </w:t>
            </w:r>
          </w:p>
        </w:tc>
        <w:tc>
          <w:tcPr>
            <w:tcW w:w="713" w:type="dxa"/>
            <w:tcBorders>
              <w:top w:val="nil"/>
              <w:left w:val="single" w:sz="4" w:space="0" w:color="auto"/>
              <w:bottom w:val="single" w:sz="8" w:space="0" w:color="auto"/>
              <w:right w:val="single" w:sz="4" w:space="0" w:color="auto"/>
            </w:tcBorders>
            <w:shd w:val="clear" w:color="auto" w:fill="auto"/>
            <w:noWrap/>
            <w:vAlign w:val="bottom"/>
            <w:hideMark/>
          </w:tcPr>
          <w:p w14:paraId="2C848BFB" w14:textId="77777777" w:rsidR="005505BA" w:rsidRPr="00D935A4" w:rsidRDefault="005505BA" w:rsidP="00D0734F">
            <w:pPr>
              <w:overflowPunct/>
              <w:autoSpaceDE/>
              <w:autoSpaceDN/>
              <w:adjustRightInd/>
              <w:spacing w:after="0"/>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 </w:t>
            </w:r>
          </w:p>
        </w:tc>
        <w:tc>
          <w:tcPr>
            <w:tcW w:w="713" w:type="dxa"/>
            <w:tcBorders>
              <w:top w:val="nil"/>
              <w:left w:val="nil"/>
              <w:bottom w:val="single" w:sz="8" w:space="0" w:color="auto"/>
              <w:right w:val="single" w:sz="4" w:space="0" w:color="auto"/>
            </w:tcBorders>
            <w:shd w:val="clear" w:color="auto" w:fill="auto"/>
            <w:noWrap/>
            <w:vAlign w:val="bottom"/>
            <w:hideMark/>
          </w:tcPr>
          <w:p w14:paraId="73FAD773"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b/>
                <w:bCs/>
                <w:color w:val="FF0000"/>
                <w:sz w:val="22"/>
                <w:szCs w:val="22"/>
              </w:rPr>
            </w:pPr>
            <w:r w:rsidRPr="00D935A4">
              <w:rPr>
                <w:rFonts w:ascii="Calibri" w:eastAsia="Times New Roman" w:hAnsi="Calibri" w:cs="Calibri"/>
                <w:b/>
                <w:bCs/>
                <w:color w:val="FF0000"/>
                <w:sz w:val="22"/>
                <w:szCs w:val="22"/>
              </w:rPr>
              <w:t>3</w:t>
            </w:r>
          </w:p>
        </w:tc>
        <w:tc>
          <w:tcPr>
            <w:tcW w:w="713" w:type="dxa"/>
            <w:tcBorders>
              <w:top w:val="nil"/>
              <w:left w:val="nil"/>
              <w:bottom w:val="single" w:sz="8" w:space="0" w:color="auto"/>
              <w:right w:val="single" w:sz="4" w:space="0" w:color="auto"/>
            </w:tcBorders>
            <w:shd w:val="clear" w:color="auto" w:fill="auto"/>
            <w:noWrap/>
            <w:vAlign w:val="bottom"/>
            <w:hideMark/>
          </w:tcPr>
          <w:p w14:paraId="79284A9D"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b/>
                <w:bCs/>
                <w:color w:val="FF0000"/>
                <w:sz w:val="22"/>
                <w:szCs w:val="22"/>
              </w:rPr>
            </w:pPr>
            <w:r w:rsidRPr="00D935A4">
              <w:rPr>
                <w:rFonts w:ascii="Calibri" w:eastAsia="Times New Roman" w:hAnsi="Calibri" w:cs="Calibri"/>
                <w:b/>
                <w:bCs/>
                <w:color w:val="FF0000"/>
                <w:sz w:val="22"/>
                <w:szCs w:val="22"/>
              </w:rPr>
              <w:t>5</w:t>
            </w:r>
          </w:p>
        </w:tc>
        <w:tc>
          <w:tcPr>
            <w:tcW w:w="713" w:type="dxa"/>
            <w:tcBorders>
              <w:top w:val="nil"/>
              <w:left w:val="nil"/>
              <w:bottom w:val="single" w:sz="8" w:space="0" w:color="auto"/>
              <w:right w:val="single" w:sz="4" w:space="0" w:color="auto"/>
            </w:tcBorders>
            <w:shd w:val="clear" w:color="auto" w:fill="auto"/>
            <w:noWrap/>
            <w:vAlign w:val="bottom"/>
            <w:hideMark/>
          </w:tcPr>
          <w:p w14:paraId="19C36259" w14:textId="77777777" w:rsidR="005505BA" w:rsidRPr="00D935A4" w:rsidRDefault="005505BA" w:rsidP="00D0734F">
            <w:pPr>
              <w:overflowPunct/>
              <w:autoSpaceDE/>
              <w:autoSpaceDN/>
              <w:adjustRightInd/>
              <w:spacing w:after="0"/>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 </w:t>
            </w:r>
          </w:p>
        </w:tc>
        <w:tc>
          <w:tcPr>
            <w:tcW w:w="713" w:type="dxa"/>
            <w:tcBorders>
              <w:top w:val="nil"/>
              <w:left w:val="nil"/>
              <w:bottom w:val="single" w:sz="8" w:space="0" w:color="auto"/>
              <w:right w:val="single" w:sz="4" w:space="0" w:color="auto"/>
            </w:tcBorders>
            <w:shd w:val="clear" w:color="auto" w:fill="auto"/>
            <w:noWrap/>
            <w:vAlign w:val="bottom"/>
            <w:hideMark/>
          </w:tcPr>
          <w:p w14:paraId="77A0A6CD"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6</w:t>
            </w:r>
          </w:p>
        </w:tc>
        <w:tc>
          <w:tcPr>
            <w:tcW w:w="713" w:type="dxa"/>
            <w:tcBorders>
              <w:top w:val="nil"/>
              <w:left w:val="nil"/>
              <w:bottom w:val="single" w:sz="8" w:space="0" w:color="auto"/>
              <w:right w:val="single" w:sz="4" w:space="0" w:color="auto"/>
            </w:tcBorders>
            <w:shd w:val="clear" w:color="auto" w:fill="auto"/>
            <w:noWrap/>
            <w:vAlign w:val="bottom"/>
            <w:hideMark/>
          </w:tcPr>
          <w:p w14:paraId="692C08B2"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8</w:t>
            </w:r>
          </w:p>
        </w:tc>
        <w:tc>
          <w:tcPr>
            <w:tcW w:w="713" w:type="dxa"/>
            <w:tcBorders>
              <w:top w:val="nil"/>
              <w:left w:val="nil"/>
              <w:bottom w:val="single" w:sz="8" w:space="0" w:color="auto"/>
              <w:right w:val="single" w:sz="4" w:space="0" w:color="auto"/>
            </w:tcBorders>
            <w:shd w:val="clear" w:color="auto" w:fill="auto"/>
            <w:noWrap/>
            <w:vAlign w:val="bottom"/>
            <w:hideMark/>
          </w:tcPr>
          <w:p w14:paraId="5956892D"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b/>
                <w:bCs/>
                <w:color w:val="FF0000"/>
                <w:sz w:val="22"/>
                <w:szCs w:val="22"/>
              </w:rPr>
            </w:pPr>
            <w:r w:rsidRPr="00D935A4">
              <w:rPr>
                <w:rFonts w:ascii="Calibri" w:eastAsia="Times New Roman" w:hAnsi="Calibri" w:cs="Calibri"/>
                <w:b/>
                <w:bCs/>
                <w:color w:val="FF0000"/>
                <w:sz w:val="22"/>
                <w:szCs w:val="22"/>
              </w:rPr>
              <w:t>13</w:t>
            </w:r>
          </w:p>
        </w:tc>
        <w:tc>
          <w:tcPr>
            <w:tcW w:w="713" w:type="dxa"/>
            <w:tcBorders>
              <w:top w:val="nil"/>
              <w:left w:val="nil"/>
              <w:bottom w:val="single" w:sz="8" w:space="0" w:color="auto"/>
              <w:right w:val="single" w:sz="4" w:space="0" w:color="auto"/>
            </w:tcBorders>
            <w:shd w:val="clear" w:color="auto" w:fill="auto"/>
            <w:noWrap/>
            <w:vAlign w:val="bottom"/>
            <w:hideMark/>
          </w:tcPr>
          <w:p w14:paraId="67D96E7E"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b/>
                <w:bCs/>
                <w:color w:val="FF0000"/>
                <w:sz w:val="22"/>
                <w:szCs w:val="22"/>
              </w:rPr>
            </w:pPr>
            <w:r w:rsidRPr="00D935A4">
              <w:rPr>
                <w:rFonts w:ascii="Calibri" w:eastAsia="Times New Roman" w:hAnsi="Calibri" w:cs="Calibri"/>
                <w:b/>
                <w:bCs/>
                <w:color w:val="FF0000"/>
                <w:sz w:val="22"/>
                <w:szCs w:val="22"/>
              </w:rPr>
              <w:t>17</w:t>
            </w:r>
          </w:p>
        </w:tc>
        <w:tc>
          <w:tcPr>
            <w:tcW w:w="713" w:type="dxa"/>
            <w:tcBorders>
              <w:top w:val="nil"/>
              <w:left w:val="nil"/>
              <w:bottom w:val="single" w:sz="8" w:space="0" w:color="auto"/>
              <w:right w:val="single" w:sz="4" w:space="0" w:color="auto"/>
            </w:tcBorders>
            <w:shd w:val="clear" w:color="auto" w:fill="auto"/>
            <w:noWrap/>
            <w:vAlign w:val="bottom"/>
            <w:hideMark/>
          </w:tcPr>
          <w:p w14:paraId="1B70CE3D"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20</w:t>
            </w:r>
          </w:p>
        </w:tc>
        <w:tc>
          <w:tcPr>
            <w:tcW w:w="713" w:type="dxa"/>
            <w:tcBorders>
              <w:top w:val="nil"/>
              <w:left w:val="nil"/>
              <w:bottom w:val="single" w:sz="8" w:space="0" w:color="auto"/>
              <w:right w:val="single" w:sz="4" w:space="0" w:color="auto"/>
            </w:tcBorders>
            <w:shd w:val="clear" w:color="auto" w:fill="auto"/>
            <w:noWrap/>
            <w:vAlign w:val="bottom"/>
            <w:hideMark/>
          </w:tcPr>
          <w:p w14:paraId="51A4B44E" w14:textId="77777777" w:rsidR="005505BA" w:rsidRPr="00D935A4" w:rsidRDefault="005505BA" w:rsidP="00D0734F">
            <w:pPr>
              <w:overflowPunct/>
              <w:autoSpaceDE/>
              <w:autoSpaceDN/>
              <w:adjustRightInd/>
              <w:spacing w:after="0"/>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 </w:t>
            </w:r>
          </w:p>
        </w:tc>
        <w:tc>
          <w:tcPr>
            <w:tcW w:w="713" w:type="dxa"/>
            <w:tcBorders>
              <w:top w:val="nil"/>
              <w:left w:val="nil"/>
              <w:bottom w:val="single" w:sz="8" w:space="0" w:color="auto"/>
              <w:right w:val="single" w:sz="4" w:space="0" w:color="auto"/>
            </w:tcBorders>
            <w:shd w:val="clear" w:color="auto" w:fill="auto"/>
            <w:noWrap/>
            <w:vAlign w:val="bottom"/>
            <w:hideMark/>
          </w:tcPr>
          <w:p w14:paraId="36A5EC61"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27</w:t>
            </w:r>
          </w:p>
        </w:tc>
        <w:tc>
          <w:tcPr>
            <w:tcW w:w="713" w:type="dxa"/>
            <w:tcBorders>
              <w:top w:val="nil"/>
              <w:left w:val="nil"/>
              <w:bottom w:val="single" w:sz="8" w:space="0" w:color="auto"/>
              <w:right w:val="single" w:sz="4" w:space="0" w:color="auto"/>
            </w:tcBorders>
            <w:shd w:val="clear" w:color="auto" w:fill="auto"/>
            <w:noWrap/>
            <w:vAlign w:val="bottom"/>
            <w:hideMark/>
          </w:tcPr>
          <w:p w14:paraId="166A0920" w14:textId="77777777" w:rsidR="005505BA" w:rsidRPr="00D935A4" w:rsidRDefault="005505BA" w:rsidP="00D0734F">
            <w:pPr>
              <w:overflowPunct/>
              <w:autoSpaceDE/>
              <w:autoSpaceDN/>
              <w:adjustRightInd/>
              <w:spacing w:after="0"/>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 </w:t>
            </w:r>
          </w:p>
        </w:tc>
        <w:tc>
          <w:tcPr>
            <w:tcW w:w="713" w:type="dxa"/>
            <w:tcBorders>
              <w:top w:val="nil"/>
              <w:left w:val="nil"/>
              <w:bottom w:val="single" w:sz="8" w:space="0" w:color="auto"/>
              <w:right w:val="single" w:sz="8" w:space="0" w:color="auto"/>
            </w:tcBorders>
            <w:shd w:val="clear" w:color="auto" w:fill="auto"/>
            <w:noWrap/>
            <w:vAlign w:val="bottom"/>
            <w:hideMark/>
          </w:tcPr>
          <w:p w14:paraId="7CECD9D4" w14:textId="77777777" w:rsidR="005505BA" w:rsidRPr="00D935A4" w:rsidRDefault="005505BA" w:rsidP="00D0734F">
            <w:pPr>
              <w:overflowPunct/>
              <w:autoSpaceDE/>
              <w:autoSpaceDN/>
              <w:adjustRightInd/>
              <w:spacing w:after="0"/>
              <w:jc w:val="right"/>
              <w:textAlignment w:val="auto"/>
              <w:rPr>
                <w:rFonts w:ascii="Calibri" w:eastAsia="Times New Roman" w:hAnsi="Calibri" w:cs="Calibri"/>
                <w:color w:val="000000"/>
                <w:sz w:val="22"/>
                <w:szCs w:val="22"/>
              </w:rPr>
            </w:pPr>
            <w:r w:rsidRPr="00D935A4">
              <w:rPr>
                <w:rFonts w:ascii="Calibri" w:eastAsia="Times New Roman" w:hAnsi="Calibri" w:cs="Calibri"/>
                <w:color w:val="000000"/>
                <w:sz w:val="22"/>
                <w:szCs w:val="22"/>
              </w:rPr>
              <w:t>34</w:t>
            </w:r>
          </w:p>
        </w:tc>
      </w:tr>
    </w:tbl>
    <w:p w14:paraId="75ABAB94" w14:textId="77777777" w:rsidR="005505BA" w:rsidRDefault="005505BA" w:rsidP="005505BA">
      <w:pPr>
        <w:rPr>
          <w:lang w:val="en-GB"/>
        </w:rPr>
      </w:pPr>
    </w:p>
    <w:p w14:paraId="5FEFFEFA" w14:textId="52868C6D" w:rsidR="00B53767" w:rsidRPr="005505BA" w:rsidRDefault="00BA6E96" w:rsidP="005505BA">
      <w:pPr>
        <w:rPr>
          <w:rFonts w:eastAsia="Times New Roman"/>
          <w:lang w:eastAsia="zh-CN"/>
        </w:rPr>
      </w:pPr>
      <w:r>
        <w:rPr>
          <w:rFonts w:eastAsia="Times New Roman"/>
          <w:b/>
          <w:u w:val="single"/>
        </w:rPr>
        <w:t>Proposal 8</w:t>
      </w:r>
      <w:r w:rsidR="005505BA" w:rsidRPr="00215CFB">
        <w:rPr>
          <w:rFonts w:eastAsia="Times New Roman"/>
          <w:b/>
          <w:u w:val="single"/>
        </w:rPr>
        <w:t>:</w:t>
      </w:r>
      <w:r w:rsidR="005505BA">
        <w:rPr>
          <w:rFonts w:eastAsia="Times New Roman"/>
          <w:b/>
        </w:rPr>
        <w:t xml:space="preserve"> </w:t>
      </w:r>
      <w:r w:rsidR="00D82C77">
        <w:rPr>
          <w:rFonts w:eastAsia="Times New Roman"/>
          <w:i/>
        </w:rPr>
        <w:t>Adopt the text proposal for VRB-to-PRB interleaver in the downlink according to Appendix 1 so there are no separation issues with odd bundle sizes.</w:t>
      </w:r>
    </w:p>
    <w:p w14:paraId="07A73904" w14:textId="4B4DE1E3" w:rsidR="00583503" w:rsidRDefault="00583503" w:rsidP="00583503">
      <w:pPr>
        <w:rPr>
          <w:rFonts w:eastAsia="Times New Roman"/>
          <w:lang w:eastAsia="zh-CN"/>
        </w:rPr>
      </w:pPr>
    </w:p>
    <w:p w14:paraId="05DF8BFC" w14:textId="53DBFABC" w:rsidR="00BA6E96" w:rsidRDefault="00BA6E96" w:rsidP="00BA6E96">
      <w:pPr>
        <w:pStyle w:val="Heading2"/>
        <w:rPr>
          <w:lang w:eastAsia="zh-CN"/>
        </w:rPr>
      </w:pPr>
      <w:r>
        <w:rPr>
          <w:lang w:eastAsia="zh-CN"/>
        </w:rPr>
        <w:t xml:space="preserve">Considerations for uplink VRB-to-PRB </w:t>
      </w:r>
      <w:r w:rsidR="00D0734F">
        <w:rPr>
          <w:lang w:eastAsia="zh-CN"/>
        </w:rPr>
        <w:t>interleave mapping</w:t>
      </w:r>
    </w:p>
    <w:p w14:paraId="1629A6EF" w14:textId="19E74268" w:rsidR="00BA6E96" w:rsidRDefault="00541088" w:rsidP="00BA6E96">
      <w:pPr>
        <w:rPr>
          <w:lang w:val="en-GB" w:eastAsia="zh-CN"/>
        </w:rPr>
      </w:pPr>
      <w:r>
        <w:rPr>
          <w:lang w:val="en-GB" w:eastAsia="zh-CN"/>
        </w:rPr>
        <w:t xml:space="preserve">As has been discussed, the benefits of VRB-to-PRB </w:t>
      </w:r>
      <w:r w:rsidR="00D0734F">
        <w:rPr>
          <w:lang w:val="en-GB" w:eastAsia="zh-CN"/>
        </w:rPr>
        <w:t xml:space="preserve">interleave </w:t>
      </w:r>
      <w:r>
        <w:rPr>
          <w:lang w:val="en-GB" w:eastAsia="zh-CN"/>
        </w:rPr>
        <w:t>mapping include both introducing frequency diversity for code blocks when there is a wideband (or even full bandwidth) allocation across the BWP, as well as distributing a small resource allocation across the entire BWP. The latter may be problematic in the case of the uplink, since non-contiguous allocations may exacerbate issues related to intermodulation distortion when RF front-end considerations are taken into account.</w:t>
      </w:r>
    </w:p>
    <w:p w14:paraId="61289046" w14:textId="4C9C02B3" w:rsidR="00541088" w:rsidRDefault="00541088" w:rsidP="00BA6E96">
      <w:pPr>
        <w:rPr>
          <w:lang w:val="en-GB" w:eastAsia="zh-CN"/>
        </w:rPr>
      </w:pPr>
      <w:r>
        <w:rPr>
          <w:lang w:val="en-GB" w:eastAsia="zh-CN"/>
        </w:rPr>
        <w:t>Therefore, in keeping with the plenary guidance from RP 172108 [3]</w:t>
      </w:r>
      <w:r w:rsidR="00D0734F">
        <w:rPr>
          <w:lang w:val="en-GB" w:eastAsia="zh-CN"/>
        </w:rPr>
        <w:t xml:space="preserve"> which sought to de-prioritize and reduce workload of RAN4 with respect to non-contiguous allocations, we provide the following proposal.</w:t>
      </w:r>
    </w:p>
    <w:p w14:paraId="18207149" w14:textId="22F771A9" w:rsidR="00D0734F" w:rsidRPr="00BA6E96" w:rsidRDefault="00D0734F" w:rsidP="00BA6E96">
      <w:pPr>
        <w:rPr>
          <w:lang w:val="en-GB" w:eastAsia="zh-CN"/>
        </w:rPr>
      </w:pPr>
      <w:r w:rsidRPr="00D0734F">
        <w:rPr>
          <w:b/>
          <w:u w:val="single"/>
          <w:lang w:val="en-GB" w:eastAsia="zh-CN"/>
        </w:rPr>
        <w:t>Proposal 9:</w:t>
      </w:r>
      <w:r>
        <w:rPr>
          <w:lang w:val="en-GB" w:eastAsia="zh-CN"/>
        </w:rPr>
        <w:t xml:space="preserve"> </w:t>
      </w:r>
      <w:r w:rsidRPr="00D0734F">
        <w:rPr>
          <w:i/>
          <w:lang w:val="en-GB" w:eastAsia="zh-CN"/>
        </w:rPr>
        <w:t>Postpone support of uplink VRB-to-PRB interleave mapping to after Release 15.</w:t>
      </w:r>
    </w:p>
    <w:p w14:paraId="323A9669" w14:textId="58BDAC77" w:rsidR="006C0B07" w:rsidRDefault="00603460" w:rsidP="00603460">
      <w:pPr>
        <w:pStyle w:val="Heading1"/>
      </w:pPr>
      <w:r>
        <w:t>Conclusions</w:t>
      </w:r>
    </w:p>
    <w:p w14:paraId="37B219B8" w14:textId="2F5560E4" w:rsidR="00D0734F" w:rsidRDefault="00D0734F" w:rsidP="00D0734F">
      <w:pPr>
        <w:contextualSpacing/>
        <w:rPr>
          <w:rFonts w:eastAsia="Times New Roman"/>
          <w:i/>
        </w:rPr>
      </w:pPr>
      <w:r w:rsidRPr="00663A58">
        <w:rPr>
          <w:rFonts w:eastAsia="Times New Roman"/>
          <w:b/>
          <w:u w:val="single"/>
        </w:rPr>
        <w:t>Proposal</w:t>
      </w:r>
      <w:r>
        <w:rPr>
          <w:rFonts w:eastAsia="Times New Roman"/>
          <w:b/>
          <w:u w:val="single"/>
        </w:rPr>
        <w:t xml:space="preserve"> 1</w:t>
      </w:r>
      <w:r w:rsidRPr="00663A58">
        <w:rPr>
          <w:rFonts w:eastAsia="Times New Roman"/>
          <w:b/>
          <w:u w:val="single"/>
        </w:rPr>
        <w:t>:</w:t>
      </w:r>
      <w:r>
        <w:rPr>
          <w:rFonts w:eastAsia="Times New Roman"/>
        </w:rPr>
        <w:t xml:space="preserve"> </w:t>
      </w:r>
      <w:r w:rsidRPr="00663A58">
        <w:rPr>
          <w:rFonts w:eastAsia="Times New Roman"/>
          <w:i/>
        </w:rPr>
        <w:t xml:space="preserve">The minimum supported length for </w:t>
      </w:r>
      <w:r w:rsidRPr="00663A58">
        <w:rPr>
          <w:i/>
        </w:rPr>
        <w:t>PDSCH mapping type A is 4. If the ending symbol for the PDSCH allocation occurs on the m-th symbol where m &lt; 7, then the minimum UE processing time for N1</w:t>
      </w:r>
      <w:r w:rsidRPr="00663A58">
        <w:rPr>
          <w:rFonts w:eastAsia="Times New Roman"/>
          <w:i/>
        </w:rPr>
        <w:t xml:space="preserve"> should be increased by N1+(7-m).</w:t>
      </w:r>
    </w:p>
    <w:p w14:paraId="6E9F2DDB" w14:textId="643A9FA0" w:rsidR="00D0734F" w:rsidRDefault="00D0734F" w:rsidP="00D0734F">
      <w:pPr>
        <w:contextualSpacing/>
        <w:rPr>
          <w:b/>
          <w:u w:val="single"/>
        </w:rPr>
      </w:pPr>
    </w:p>
    <w:p w14:paraId="1188999F" w14:textId="77777777" w:rsidR="00D0734F" w:rsidRDefault="00D0734F" w:rsidP="00D0734F">
      <w:pPr>
        <w:overflowPunct/>
        <w:autoSpaceDE/>
        <w:autoSpaceDN/>
        <w:adjustRightInd/>
        <w:spacing w:after="0"/>
        <w:textAlignment w:val="auto"/>
        <w:rPr>
          <w:rFonts w:eastAsia="Times New Roman"/>
        </w:rPr>
      </w:pPr>
      <w:r w:rsidRPr="00663A58">
        <w:rPr>
          <w:rFonts w:eastAsia="Times New Roman"/>
          <w:b/>
          <w:u w:val="single"/>
        </w:rPr>
        <w:t>Proposal</w:t>
      </w:r>
      <w:r>
        <w:rPr>
          <w:rFonts w:eastAsia="Times New Roman"/>
          <w:b/>
          <w:u w:val="single"/>
        </w:rPr>
        <w:t xml:space="preserve"> 2</w:t>
      </w:r>
      <w:r w:rsidRPr="00663A58">
        <w:rPr>
          <w:rFonts w:eastAsia="Times New Roman"/>
          <w:b/>
          <w:u w:val="single"/>
        </w:rPr>
        <w:t>:</w:t>
      </w:r>
      <w:r>
        <w:rPr>
          <w:rFonts w:eastAsia="Times New Roman"/>
        </w:rPr>
        <w:t xml:space="preserve"> </w:t>
      </w:r>
      <w:r w:rsidRPr="00663A58">
        <w:rPr>
          <w:rFonts w:eastAsia="Times New Roman"/>
          <w:i/>
        </w:rPr>
        <w:t xml:space="preserve">The minimum supported length for </w:t>
      </w:r>
      <w:r w:rsidRPr="00663A58">
        <w:rPr>
          <w:i/>
        </w:rPr>
        <w:t>P</w:t>
      </w:r>
      <w:r>
        <w:rPr>
          <w:i/>
        </w:rPr>
        <w:t>U</w:t>
      </w:r>
      <w:r w:rsidRPr="00663A58">
        <w:rPr>
          <w:i/>
        </w:rPr>
        <w:t xml:space="preserve">SCH mapping type </w:t>
      </w:r>
      <w:r>
        <w:rPr>
          <w:i/>
        </w:rPr>
        <w:t>B</w:t>
      </w:r>
      <w:r w:rsidRPr="00663A58">
        <w:rPr>
          <w:i/>
        </w:rPr>
        <w:t xml:space="preserve"> is 4.</w:t>
      </w:r>
      <w:r w:rsidRPr="00663A58">
        <w:rPr>
          <w:rFonts w:eastAsia="Times New Roman"/>
          <w:i/>
        </w:rPr>
        <w:t xml:space="preserve"> The minimum supported length for </w:t>
      </w:r>
      <w:r>
        <w:rPr>
          <w:i/>
        </w:rPr>
        <w:t>PU</w:t>
      </w:r>
      <w:r w:rsidRPr="00663A58">
        <w:rPr>
          <w:i/>
        </w:rPr>
        <w:t xml:space="preserve">SCH mapping type </w:t>
      </w:r>
      <w:r>
        <w:rPr>
          <w:i/>
        </w:rPr>
        <w:t>B</w:t>
      </w:r>
      <w:r w:rsidRPr="00663A58">
        <w:rPr>
          <w:i/>
        </w:rPr>
        <w:t xml:space="preserve"> is </w:t>
      </w:r>
      <w:r>
        <w:rPr>
          <w:i/>
        </w:rPr>
        <w:t>1</w:t>
      </w:r>
      <w:r w:rsidRPr="00663A58">
        <w:rPr>
          <w:i/>
        </w:rPr>
        <w:t>.</w:t>
      </w:r>
    </w:p>
    <w:p w14:paraId="407A2920" w14:textId="77777777" w:rsidR="00D0734F" w:rsidRDefault="00D0734F" w:rsidP="00D0734F">
      <w:pPr>
        <w:rPr>
          <w:rFonts w:eastAsia="Times New Roman"/>
        </w:rPr>
      </w:pPr>
    </w:p>
    <w:p w14:paraId="29888B97" w14:textId="77777777" w:rsidR="00D0734F" w:rsidRPr="00CE528D" w:rsidRDefault="00D0734F" w:rsidP="00D0734F">
      <w:pPr>
        <w:rPr>
          <w:rFonts w:eastAsia="Times New Roman"/>
        </w:rPr>
      </w:pPr>
      <w:r>
        <w:rPr>
          <w:rFonts w:eastAsia="Times New Roman"/>
          <w:b/>
          <w:u w:val="single"/>
        </w:rPr>
        <w:lastRenderedPageBreak/>
        <w:t>Proposal 3</w:t>
      </w:r>
      <w:r w:rsidRPr="009770BB">
        <w:rPr>
          <w:rFonts w:eastAsia="Times New Roman"/>
          <w:b/>
          <w:u w:val="single"/>
        </w:rPr>
        <w:t>:</w:t>
      </w:r>
      <w:r>
        <w:rPr>
          <w:rFonts w:eastAsia="Times New Roman"/>
        </w:rPr>
        <w:t xml:space="preserve"> </w:t>
      </w:r>
      <w:r w:rsidRPr="009770BB">
        <w:rPr>
          <w:rFonts w:eastAsia="Times New Roman"/>
          <w:i/>
        </w:rPr>
        <w:t xml:space="preserve">The TS38.214 </w:t>
      </w:r>
      <w:r>
        <w:rPr>
          <w:rFonts w:eastAsia="Times New Roman"/>
          <w:i/>
        </w:rPr>
        <w:t xml:space="preserve">(CR in version R1-1801294) </w:t>
      </w:r>
      <w:r w:rsidRPr="009770BB">
        <w:rPr>
          <w:rFonts w:eastAsia="Times New Roman"/>
          <w:i/>
        </w:rPr>
        <w:t>subclause 5.</w:t>
      </w:r>
      <w:r>
        <w:rPr>
          <w:rFonts w:eastAsia="Times New Roman"/>
          <w:i/>
        </w:rPr>
        <w:t>1</w:t>
      </w:r>
      <w:r w:rsidRPr="009770BB">
        <w:rPr>
          <w:rFonts w:eastAsia="Times New Roman"/>
          <w:i/>
        </w:rPr>
        <w:t>.</w:t>
      </w:r>
      <w:r>
        <w:rPr>
          <w:rFonts w:eastAsia="Times New Roman"/>
          <w:i/>
        </w:rPr>
        <w:t>2</w:t>
      </w:r>
      <w:r w:rsidRPr="009770BB">
        <w:rPr>
          <w:rFonts w:eastAsia="Times New Roman"/>
          <w:i/>
        </w:rPr>
        <w:t>.</w:t>
      </w:r>
      <w:r>
        <w:rPr>
          <w:rFonts w:eastAsia="Times New Roman"/>
          <w:i/>
        </w:rPr>
        <w:t>1</w:t>
      </w:r>
      <w:r w:rsidRPr="009770BB">
        <w:rPr>
          <w:rFonts w:eastAsia="Times New Roman"/>
          <w:i/>
        </w:rPr>
        <w:t xml:space="preserve"> should have the additional text related to UE behavior, “UE is not expected to receive PDSCH type A in the same slot if the PDCCH monitoring is after the first </w:t>
      </w:r>
      <m:oMath>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0</m:t>
            </m:r>
          </m:sub>
        </m:sSub>
      </m:oMath>
      <w:r>
        <w:rPr>
          <w:rFonts w:eastAsia="Times New Roman"/>
          <w:i/>
        </w:rPr>
        <w:t xml:space="preserve"> symbols of the slot, where the value of </w:t>
      </w:r>
      <m:oMath>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0</m:t>
            </m:r>
          </m:sub>
        </m:sSub>
      </m:oMath>
      <w:r>
        <w:rPr>
          <w:rFonts w:eastAsia="Times New Roman"/>
          <w:i/>
        </w:rPr>
        <w:t xml:space="preserve"> is set by the high-layer parameter </w:t>
      </w:r>
      <w:r>
        <w:rPr>
          <w:i/>
          <w:iCs/>
        </w:rPr>
        <w:t>DL-DMRS-typeA-pos</w:t>
      </w:r>
      <w:r w:rsidRPr="009770BB">
        <w:rPr>
          <w:rFonts w:eastAsia="Times New Roman"/>
          <w:i/>
        </w:rPr>
        <w:t>”</w:t>
      </w:r>
    </w:p>
    <w:p w14:paraId="7AB2C6F7" w14:textId="77777777" w:rsidR="00D0734F" w:rsidRPr="00872544" w:rsidRDefault="00D0734F" w:rsidP="00D0734F">
      <w:pPr>
        <w:pStyle w:val="BodyText"/>
        <w:overflowPunct/>
        <w:autoSpaceDE/>
        <w:autoSpaceDN/>
        <w:adjustRightInd/>
        <w:textAlignment w:val="auto"/>
        <w:rPr>
          <w:szCs w:val="20"/>
          <w:lang w:eastAsia="sv-SE"/>
        </w:rPr>
      </w:pPr>
      <w:r w:rsidRPr="00872544">
        <w:rPr>
          <w:b/>
          <w:szCs w:val="20"/>
          <w:u w:val="single"/>
          <w:lang w:eastAsia="sv-SE"/>
        </w:rPr>
        <w:t>Proposal</w:t>
      </w:r>
      <w:r>
        <w:rPr>
          <w:b/>
          <w:szCs w:val="20"/>
          <w:u w:val="single"/>
          <w:lang w:eastAsia="sv-SE"/>
        </w:rPr>
        <w:t xml:space="preserve"> 4</w:t>
      </w:r>
      <w:r w:rsidRPr="00872544">
        <w:rPr>
          <w:b/>
          <w:szCs w:val="20"/>
          <w:u w:val="single"/>
          <w:lang w:eastAsia="sv-SE"/>
        </w:rPr>
        <w:t>:</w:t>
      </w:r>
      <w:r>
        <w:rPr>
          <w:szCs w:val="20"/>
          <w:lang w:eastAsia="sv-SE"/>
        </w:rPr>
        <w:t xml:space="preserve"> </w:t>
      </w:r>
      <w:r w:rsidRPr="00872544">
        <w:rPr>
          <w:i/>
          <w:szCs w:val="20"/>
          <w:lang w:eastAsia="sv-SE"/>
        </w:rPr>
        <w:t>No default SLIV is provided in specification for the fallback DCI, i.e., DCI Format 1_0.</w:t>
      </w:r>
    </w:p>
    <w:p w14:paraId="461F97EB" w14:textId="77777777" w:rsidR="00D0734F" w:rsidRDefault="00D0734F" w:rsidP="00D0734F">
      <w:pPr>
        <w:contextualSpacing/>
        <w:rPr>
          <w:b/>
          <w:u w:val="single"/>
          <w:lang w:eastAsia="x-none"/>
        </w:rPr>
      </w:pPr>
    </w:p>
    <w:p w14:paraId="380A9CCF" w14:textId="15C51E14" w:rsidR="00D0734F" w:rsidRDefault="00D0734F" w:rsidP="00D0734F">
      <w:pPr>
        <w:contextualSpacing/>
        <w:rPr>
          <w:b/>
          <w:u w:val="single"/>
        </w:rPr>
      </w:pPr>
      <w:r w:rsidRPr="004348CB">
        <w:rPr>
          <w:b/>
          <w:u w:val="single"/>
          <w:lang w:eastAsia="x-none"/>
        </w:rPr>
        <w:t>Proposal</w:t>
      </w:r>
      <w:r>
        <w:rPr>
          <w:b/>
          <w:u w:val="single"/>
          <w:lang w:eastAsia="x-none"/>
        </w:rPr>
        <w:t xml:space="preserve"> 5</w:t>
      </w:r>
      <w:r w:rsidRPr="004348CB">
        <w:rPr>
          <w:b/>
          <w:u w:val="single"/>
          <w:lang w:eastAsia="x-none"/>
        </w:rPr>
        <w:t>:</w:t>
      </w:r>
      <w:r>
        <w:rPr>
          <w:lang w:eastAsia="x-none"/>
        </w:rPr>
        <w:t xml:space="preserve"> </w:t>
      </w:r>
      <w:r w:rsidRPr="004348CB">
        <w:rPr>
          <w:i/>
          <w:lang w:eastAsia="x-none"/>
        </w:rPr>
        <w:t xml:space="preserve">In the case </w:t>
      </w:r>
      <w:r>
        <w:rPr>
          <w:i/>
          <w:lang w:eastAsia="x-none"/>
        </w:rPr>
        <w:t>when</w:t>
      </w:r>
      <w:r w:rsidRPr="004348CB">
        <w:rPr>
          <w:i/>
          <w:lang w:eastAsia="x-none"/>
        </w:rPr>
        <w:t xml:space="preserve"> slot-aggregation is configured, for grant-based UL and DL</w:t>
      </w:r>
      <w:r>
        <w:rPr>
          <w:i/>
          <w:lang w:eastAsia="x-none"/>
        </w:rPr>
        <w:t xml:space="preserve"> transmissions</w:t>
      </w:r>
      <w:r w:rsidRPr="004348CB">
        <w:rPr>
          <w:i/>
          <w:lang w:eastAsia="x-none"/>
        </w:rPr>
        <w:t xml:space="preserve"> the RVID field in DCI is used to indicate the starting RV </w:t>
      </w:r>
      <w:r>
        <w:rPr>
          <w:i/>
          <w:lang w:eastAsia="x-none"/>
        </w:rPr>
        <w:t>within</w:t>
      </w:r>
      <w:r w:rsidRPr="004348CB">
        <w:rPr>
          <w:i/>
          <w:lang w:eastAsia="x-none"/>
        </w:rPr>
        <w:t xml:space="preserve"> the default sequence {0,2,3,1}.</w:t>
      </w:r>
    </w:p>
    <w:p w14:paraId="6AC126CC" w14:textId="77777777" w:rsidR="00D0734F" w:rsidRDefault="00D0734F" w:rsidP="00D0734F">
      <w:pPr>
        <w:contextualSpacing/>
        <w:rPr>
          <w:b/>
          <w:u w:val="single"/>
        </w:rPr>
      </w:pPr>
    </w:p>
    <w:p w14:paraId="3B7C7B4C" w14:textId="1C385218" w:rsidR="00D0734F" w:rsidRPr="00FE4627" w:rsidRDefault="00D0734F" w:rsidP="00D0734F">
      <w:pPr>
        <w:contextualSpacing/>
        <w:rPr>
          <w:i/>
        </w:rPr>
      </w:pPr>
      <w:r w:rsidRPr="00B60EE9">
        <w:rPr>
          <w:b/>
          <w:u w:val="single"/>
        </w:rPr>
        <w:t>Proposal</w:t>
      </w:r>
      <w:r>
        <w:rPr>
          <w:b/>
          <w:u w:val="single"/>
        </w:rPr>
        <w:t xml:space="preserve"> 6</w:t>
      </w:r>
      <w:r w:rsidRPr="00B60EE9">
        <w:rPr>
          <w:b/>
          <w:u w:val="single"/>
        </w:rPr>
        <w:t>:</w:t>
      </w:r>
      <w:r>
        <w:rPr>
          <w:b/>
        </w:rPr>
        <w:t xml:space="preserve"> </w:t>
      </w:r>
      <w:r w:rsidRPr="00FE4627">
        <w:rPr>
          <w:i/>
        </w:rPr>
        <w:t>The RBG sizes in the above table should satisfy the following requirements</w:t>
      </w:r>
    </w:p>
    <w:p w14:paraId="3192F631" w14:textId="77777777" w:rsidR="00D0734F" w:rsidRPr="00FE4627" w:rsidRDefault="00D0734F" w:rsidP="00D0734F">
      <w:pPr>
        <w:pStyle w:val="ListParagraph"/>
        <w:numPr>
          <w:ilvl w:val="0"/>
          <w:numId w:val="11"/>
        </w:numPr>
        <w:contextualSpacing/>
        <w:rPr>
          <w:i/>
        </w:rPr>
      </w:pPr>
      <w:r w:rsidRPr="00FE4627">
        <w:rPr>
          <w:i/>
        </w:rPr>
        <w:t>For both configurations, the RBG sizes should scale up proportionally with bandwidth.</w:t>
      </w:r>
    </w:p>
    <w:p w14:paraId="6DFB78A2" w14:textId="77777777" w:rsidR="00D0734F" w:rsidRPr="00FE4627" w:rsidRDefault="00D0734F" w:rsidP="00D0734F">
      <w:pPr>
        <w:pStyle w:val="ListParagraph"/>
        <w:numPr>
          <w:ilvl w:val="0"/>
          <w:numId w:val="11"/>
        </w:numPr>
        <w:contextualSpacing/>
        <w:rPr>
          <w:i/>
        </w:rPr>
      </w:pPr>
      <w:r w:rsidRPr="00FE4627">
        <w:rPr>
          <w:i/>
        </w:rPr>
        <w:t>Config 1 should have only RBG sizes 8 and 16 to allow for smaller DCI sizes and coarser scheduling granularity</w:t>
      </w:r>
    </w:p>
    <w:p w14:paraId="634FDFF4" w14:textId="77777777" w:rsidR="00D0734F" w:rsidRPr="00FE4627" w:rsidRDefault="00D0734F" w:rsidP="00D0734F">
      <w:pPr>
        <w:pStyle w:val="ListParagraph"/>
        <w:numPr>
          <w:ilvl w:val="1"/>
          <w:numId w:val="11"/>
        </w:numPr>
        <w:contextualSpacing/>
        <w:rPr>
          <w:i/>
        </w:rPr>
      </w:pPr>
      <w:r w:rsidRPr="00FE4627">
        <w:rPr>
          <w:i/>
        </w:rPr>
        <w:t>This should be the fallback (or default) configuration</w:t>
      </w:r>
    </w:p>
    <w:p w14:paraId="0A4F6C49" w14:textId="77777777" w:rsidR="00D0734F" w:rsidRPr="00FE4627" w:rsidRDefault="00D0734F" w:rsidP="00D0734F">
      <w:pPr>
        <w:pStyle w:val="ListParagraph"/>
        <w:numPr>
          <w:ilvl w:val="0"/>
          <w:numId w:val="11"/>
        </w:numPr>
        <w:contextualSpacing/>
        <w:rPr>
          <w:i/>
        </w:rPr>
      </w:pPr>
      <w:r w:rsidRPr="00FE4627">
        <w:rPr>
          <w:i/>
        </w:rPr>
        <w:t>Config 2 may have additional RBG sizes of 2,4,8 and 16 to allow for larger DCI szes and finer scheduling granularity.</w:t>
      </w:r>
    </w:p>
    <w:p w14:paraId="7F8E43A4" w14:textId="77777777" w:rsidR="00D0734F" w:rsidRPr="00D0734F" w:rsidRDefault="00D0734F" w:rsidP="00D0734F">
      <w:pPr>
        <w:rPr>
          <w:lang w:val="en-GB"/>
        </w:rPr>
      </w:pPr>
    </w:p>
    <w:p w14:paraId="78597433" w14:textId="77777777" w:rsidR="00D0734F" w:rsidRDefault="00D0734F" w:rsidP="00D0734F">
      <w:pPr>
        <w:contextualSpacing/>
      </w:pPr>
      <w:r w:rsidRPr="000A05CD">
        <w:rPr>
          <w:b/>
          <w:u w:val="single"/>
        </w:rPr>
        <w:t xml:space="preserve">Proposal </w:t>
      </w:r>
      <w:r>
        <w:rPr>
          <w:b/>
          <w:u w:val="single"/>
        </w:rPr>
        <w:t>7</w:t>
      </w:r>
      <w:r w:rsidRPr="000A05CD">
        <w:rPr>
          <w:b/>
          <w:u w:val="single"/>
        </w:rPr>
        <w:t>:</w:t>
      </w:r>
      <w:r>
        <w:t xml:space="preserve"> </w:t>
      </w:r>
      <w:r w:rsidRPr="000A05CD">
        <w:rPr>
          <w:i/>
        </w:rPr>
        <w:t>The RBG sizes for config 1 and config 2 which can be selected by RRC are given in the table below.</w:t>
      </w:r>
    </w:p>
    <w:p w14:paraId="1ACBCD74" w14:textId="77777777" w:rsidR="00D0734F" w:rsidRDefault="00D0734F" w:rsidP="00D0734F">
      <w:pPr>
        <w:contextualSpacing/>
      </w:pP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20"/>
        <w:gridCol w:w="1620"/>
      </w:tblGrid>
      <w:tr w:rsidR="00D0734F" w14:paraId="23840D05" w14:textId="77777777" w:rsidTr="00D0734F">
        <w:tc>
          <w:tcPr>
            <w:tcW w:w="1980" w:type="dxa"/>
            <w:tcBorders>
              <w:top w:val="single" w:sz="4" w:space="0" w:color="auto"/>
              <w:left w:val="single" w:sz="4" w:space="0" w:color="auto"/>
              <w:bottom w:val="single" w:sz="4" w:space="0" w:color="auto"/>
              <w:right w:val="single" w:sz="4" w:space="0" w:color="auto"/>
            </w:tcBorders>
          </w:tcPr>
          <w:p w14:paraId="1795979C" w14:textId="77777777" w:rsidR="00D0734F" w:rsidRDefault="00D0734F" w:rsidP="00D0734F">
            <w:r>
              <w:t>BWP size</w:t>
            </w:r>
          </w:p>
        </w:tc>
        <w:tc>
          <w:tcPr>
            <w:tcW w:w="1620" w:type="dxa"/>
            <w:tcBorders>
              <w:top w:val="single" w:sz="4" w:space="0" w:color="auto"/>
              <w:left w:val="single" w:sz="4" w:space="0" w:color="auto"/>
              <w:bottom w:val="single" w:sz="4" w:space="0" w:color="auto"/>
              <w:right w:val="single" w:sz="4" w:space="0" w:color="auto"/>
            </w:tcBorders>
            <w:hideMark/>
          </w:tcPr>
          <w:p w14:paraId="60E6058D" w14:textId="77777777" w:rsidR="00D0734F" w:rsidRDefault="00D0734F" w:rsidP="00D0734F">
            <w:r>
              <w:t>Config 1</w:t>
            </w:r>
          </w:p>
        </w:tc>
        <w:tc>
          <w:tcPr>
            <w:tcW w:w="1620" w:type="dxa"/>
            <w:tcBorders>
              <w:top w:val="single" w:sz="4" w:space="0" w:color="auto"/>
              <w:left w:val="single" w:sz="4" w:space="0" w:color="auto"/>
              <w:bottom w:val="single" w:sz="4" w:space="0" w:color="auto"/>
              <w:right w:val="single" w:sz="4" w:space="0" w:color="auto"/>
            </w:tcBorders>
            <w:hideMark/>
          </w:tcPr>
          <w:p w14:paraId="736FCFCE" w14:textId="77777777" w:rsidR="00D0734F" w:rsidRDefault="00D0734F" w:rsidP="00D0734F">
            <w:r>
              <w:t>Config 2</w:t>
            </w:r>
          </w:p>
        </w:tc>
      </w:tr>
      <w:tr w:rsidR="00D0734F" w14:paraId="3C90B124" w14:textId="77777777" w:rsidTr="00D0734F">
        <w:tc>
          <w:tcPr>
            <w:tcW w:w="1980" w:type="dxa"/>
            <w:tcBorders>
              <w:top w:val="single" w:sz="4" w:space="0" w:color="auto"/>
              <w:left w:val="single" w:sz="4" w:space="0" w:color="auto"/>
              <w:bottom w:val="single" w:sz="4" w:space="0" w:color="auto"/>
              <w:right w:val="single" w:sz="4" w:space="0" w:color="auto"/>
            </w:tcBorders>
            <w:hideMark/>
          </w:tcPr>
          <w:p w14:paraId="1BF443F9" w14:textId="77777777" w:rsidR="00D0734F" w:rsidRDefault="00D0734F" w:rsidP="00D0734F">
            <w:r>
              <w:t>&lt; 24 RBs</w:t>
            </w:r>
          </w:p>
        </w:tc>
        <w:tc>
          <w:tcPr>
            <w:tcW w:w="1620" w:type="dxa"/>
            <w:tcBorders>
              <w:top w:val="single" w:sz="4" w:space="0" w:color="auto"/>
              <w:left w:val="single" w:sz="4" w:space="0" w:color="auto"/>
              <w:bottom w:val="single" w:sz="4" w:space="0" w:color="auto"/>
              <w:right w:val="single" w:sz="4" w:space="0" w:color="auto"/>
            </w:tcBorders>
            <w:hideMark/>
          </w:tcPr>
          <w:p w14:paraId="04E0620E" w14:textId="77777777" w:rsidR="00D0734F" w:rsidRDefault="00D0734F" w:rsidP="00D0734F">
            <w:r>
              <w:t>4</w:t>
            </w:r>
          </w:p>
        </w:tc>
        <w:tc>
          <w:tcPr>
            <w:tcW w:w="1620" w:type="dxa"/>
            <w:tcBorders>
              <w:top w:val="single" w:sz="4" w:space="0" w:color="auto"/>
              <w:left w:val="single" w:sz="4" w:space="0" w:color="auto"/>
              <w:bottom w:val="single" w:sz="4" w:space="0" w:color="auto"/>
              <w:right w:val="single" w:sz="4" w:space="0" w:color="auto"/>
            </w:tcBorders>
            <w:hideMark/>
          </w:tcPr>
          <w:p w14:paraId="2F1E6836" w14:textId="77777777" w:rsidR="00D0734F" w:rsidRDefault="00D0734F" w:rsidP="00D0734F">
            <w:r>
              <w:t>2</w:t>
            </w:r>
          </w:p>
        </w:tc>
      </w:tr>
      <w:tr w:rsidR="00D0734F" w14:paraId="4E7C6842" w14:textId="77777777" w:rsidTr="00D0734F">
        <w:tc>
          <w:tcPr>
            <w:tcW w:w="1980" w:type="dxa"/>
            <w:tcBorders>
              <w:top w:val="single" w:sz="4" w:space="0" w:color="auto"/>
              <w:left w:val="single" w:sz="4" w:space="0" w:color="auto"/>
              <w:bottom w:val="single" w:sz="4" w:space="0" w:color="auto"/>
              <w:right w:val="single" w:sz="4" w:space="0" w:color="auto"/>
            </w:tcBorders>
            <w:hideMark/>
          </w:tcPr>
          <w:p w14:paraId="15E87D89" w14:textId="77777777" w:rsidR="00D0734F" w:rsidRDefault="00D0734F" w:rsidP="00D0734F">
            <w:r>
              <w:t xml:space="preserve">24 – 72 RBs </w:t>
            </w:r>
          </w:p>
        </w:tc>
        <w:tc>
          <w:tcPr>
            <w:tcW w:w="1620" w:type="dxa"/>
            <w:tcBorders>
              <w:top w:val="single" w:sz="4" w:space="0" w:color="auto"/>
              <w:left w:val="single" w:sz="4" w:space="0" w:color="auto"/>
              <w:bottom w:val="single" w:sz="4" w:space="0" w:color="auto"/>
              <w:right w:val="single" w:sz="4" w:space="0" w:color="auto"/>
            </w:tcBorders>
            <w:hideMark/>
          </w:tcPr>
          <w:p w14:paraId="1324A0E0" w14:textId="77777777" w:rsidR="00D0734F" w:rsidRDefault="00D0734F" w:rsidP="00D0734F">
            <w:r>
              <w:t>8</w:t>
            </w:r>
          </w:p>
        </w:tc>
        <w:tc>
          <w:tcPr>
            <w:tcW w:w="1620" w:type="dxa"/>
            <w:tcBorders>
              <w:top w:val="single" w:sz="4" w:space="0" w:color="auto"/>
              <w:left w:val="single" w:sz="4" w:space="0" w:color="auto"/>
              <w:bottom w:val="single" w:sz="4" w:space="0" w:color="auto"/>
              <w:right w:val="single" w:sz="4" w:space="0" w:color="auto"/>
            </w:tcBorders>
            <w:hideMark/>
          </w:tcPr>
          <w:p w14:paraId="7F3C7C60" w14:textId="77777777" w:rsidR="00D0734F" w:rsidRDefault="00D0734F" w:rsidP="00D0734F">
            <w:r>
              <w:t>4</w:t>
            </w:r>
          </w:p>
        </w:tc>
      </w:tr>
      <w:tr w:rsidR="00D0734F" w14:paraId="35EF7B73" w14:textId="77777777" w:rsidTr="00D0734F">
        <w:tc>
          <w:tcPr>
            <w:tcW w:w="1980" w:type="dxa"/>
            <w:tcBorders>
              <w:top w:val="single" w:sz="4" w:space="0" w:color="auto"/>
              <w:left w:val="single" w:sz="4" w:space="0" w:color="auto"/>
              <w:bottom w:val="single" w:sz="4" w:space="0" w:color="auto"/>
              <w:right w:val="single" w:sz="4" w:space="0" w:color="auto"/>
            </w:tcBorders>
            <w:hideMark/>
          </w:tcPr>
          <w:p w14:paraId="15B88FB6" w14:textId="77777777" w:rsidR="00D0734F" w:rsidRDefault="00D0734F" w:rsidP="00D0734F">
            <w:r>
              <w:t>73 – 144 RBs</w:t>
            </w:r>
          </w:p>
        </w:tc>
        <w:tc>
          <w:tcPr>
            <w:tcW w:w="1620" w:type="dxa"/>
            <w:tcBorders>
              <w:top w:val="single" w:sz="4" w:space="0" w:color="auto"/>
              <w:left w:val="single" w:sz="4" w:space="0" w:color="auto"/>
              <w:bottom w:val="single" w:sz="4" w:space="0" w:color="auto"/>
              <w:right w:val="single" w:sz="4" w:space="0" w:color="auto"/>
            </w:tcBorders>
            <w:hideMark/>
          </w:tcPr>
          <w:p w14:paraId="646DE386" w14:textId="77777777" w:rsidR="00D0734F" w:rsidRDefault="00D0734F" w:rsidP="00D0734F">
            <w:r>
              <w:t>16</w:t>
            </w:r>
          </w:p>
        </w:tc>
        <w:tc>
          <w:tcPr>
            <w:tcW w:w="1620" w:type="dxa"/>
            <w:tcBorders>
              <w:top w:val="single" w:sz="4" w:space="0" w:color="auto"/>
              <w:left w:val="single" w:sz="4" w:space="0" w:color="auto"/>
              <w:bottom w:val="single" w:sz="4" w:space="0" w:color="auto"/>
              <w:right w:val="single" w:sz="4" w:space="0" w:color="auto"/>
            </w:tcBorders>
            <w:hideMark/>
          </w:tcPr>
          <w:p w14:paraId="66BE8489" w14:textId="77777777" w:rsidR="00D0734F" w:rsidRDefault="00D0734F" w:rsidP="00D0734F">
            <w:r>
              <w:t>8</w:t>
            </w:r>
          </w:p>
        </w:tc>
      </w:tr>
      <w:tr w:rsidR="00D0734F" w14:paraId="28F3D067" w14:textId="77777777" w:rsidTr="00D0734F">
        <w:tc>
          <w:tcPr>
            <w:tcW w:w="1980" w:type="dxa"/>
            <w:tcBorders>
              <w:top w:val="single" w:sz="4" w:space="0" w:color="auto"/>
              <w:left w:val="single" w:sz="4" w:space="0" w:color="auto"/>
              <w:bottom w:val="single" w:sz="4" w:space="0" w:color="auto"/>
              <w:right w:val="single" w:sz="4" w:space="0" w:color="auto"/>
            </w:tcBorders>
          </w:tcPr>
          <w:p w14:paraId="3F5FB209" w14:textId="77777777" w:rsidR="00D0734F" w:rsidRDefault="00D0734F" w:rsidP="00D0734F">
            <w:r>
              <w:t>144 – 275 RBs</w:t>
            </w:r>
          </w:p>
        </w:tc>
        <w:tc>
          <w:tcPr>
            <w:tcW w:w="1620" w:type="dxa"/>
            <w:tcBorders>
              <w:top w:val="single" w:sz="4" w:space="0" w:color="auto"/>
              <w:left w:val="single" w:sz="4" w:space="0" w:color="auto"/>
              <w:bottom w:val="single" w:sz="4" w:space="0" w:color="auto"/>
              <w:right w:val="single" w:sz="4" w:space="0" w:color="auto"/>
            </w:tcBorders>
          </w:tcPr>
          <w:p w14:paraId="553DD324" w14:textId="77777777" w:rsidR="00D0734F" w:rsidRDefault="00D0734F" w:rsidP="00D0734F">
            <w:r>
              <w:t>16</w:t>
            </w:r>
          </w:p>
        </w:tc>
        <w:tc>
          <w:tcPr>
            <w:tcW w:w="1620" w:type="dxa"/>
            <w:tcBorders>
              <w:top w:val="single" w:sz="4" w:space="0" w:color="auto"/>
              <w:left w:val="single" w:sz="4" w:space="0" w:color="auto"/>
              <w:bottom w:val="single" w:sz="4" w:space="0" w:color="auto"/>
              <w:right w:val="single" w:sz="4" w:space="0" w:color="auto"/>
            </w:tcBorders>
          </w:tcPr>
          <w:p w14:paraId="3FD9FE0B" w14:textId="77777777" w:rsidR="00D0734F" w:rsidRDefault="00D0734F" w:rsidP="00D0734F">
            <w:r>
              <w:t>16</w:t>
            </w:r>
          </w:p>
        </w:tc>
      </w:tr>
    </w:tbl>
    <w:p w14:paraId="665496D4" w14:textId="77777777" w:rsidR="00D0734F" w:rsidRDefault="00D0734F" w:rsidP="00A22588">
      <w:pPr>
        <w:rPr>
          <w:rFonts w:eastAsia="Times New Roman"/>
          <w:b/>
          <w:u w:val="single"/>
        </w:rPr>
      </w:pPr>
    </w:p>
    <w:p w14:paraId="1816099D" w14:textId="3B705920" w:rsidR="00D0734F" w:rsidRPr="00D0734F" w:rsidRDefault="00D0734F" w:rsidP="00A22588">
      <w:pPr>
        <w:rPr>
          <w:rFonts w:eastAsia="Times New Roman"/>
          <w:lang w:eastAsia="zh-CN"/>
        </w:rPr>
      </w:pPr>
      <w:r>
        <w:rPr>
          <w:rFonts w:eastAsia="Times New Roman"/>
          <w:b/>
          <w:u w:val="single"/>
        </w:rPr>
        <w:t>Proposal 8</w:t>
      </w:r>
      <w:r w:rsidRPr="00215CFB">
        <w:rPr>
          <w:rFonts w:eastAsia="Times New Roman"/>
          <w:b/>
          <w:u w:val="single"/>
        </w:rPr>
        <w:t>:</w:t>
      </w:r>
      <w:r>
        <w:rPr>
          <w:rFonts w:eastAsia="Times New Roman"/>
          <w:b/>
        </w:rPr>
        <w:t xml:space="preserve"> </w:t>
      </w:r>
      <w:r>
        <w:rPr>
          <w:rFonts w:eastAsia="Times New Roman"/>
          <w:i/>
        </w:rPr>
        <w:t>Adopt the text proposal</w:t>
      </w:r>
      <w:r w:rsidR="00D82C77">
        <w:rPr>
          <w:rFonts w:eastAsia="Times New Roman"/>
          <w:i/>
        </w:rPr>
        <w:t xml:space="preserve"> for VRB-to-PRB interleaver in the downlink according to A</w:t>
      </w:r>
      <w:r>
        <w:rPr>
          <w:rFonts w:eastAsia="Times New Roman"/>
          <w:i/>
        </w:rPr>
        <w:t>ppendix</w:t>
      </w:r>
      <w:r w:rsidR="00D82C77">
        <w:rPr>
          <w:rFonts w:eastAsia="Times New Roman"/>
          <w:i/>
        </w:rPr>
        <w:t xml:space="preserve"> 1</w:t>
      </w:r>
      <w:r>
        <w:rPr>
          <w:rFonts w:eastAsia="Times New Roman"/>
          <w:i/>
        </w:rPr>
        <w:t xml:space="preserve"> so there are no separation issues with odd bundle sizes.</w:t>
      </w:r>
    </w:p>
    <w:p w14:paraId="7B87551B" w14:textId="1BF16E02" w:rsidR="006C0B07" w:rsidRPr="00D0734F" w:rsidRDefault="00D0734F" w:rsidP="00A22588">
      <w:pPr>
        <w:rPr>
          <w:lang w:val="en-GB" w:eastAsia="zh-CN"/>
        </w:rPr>
      </w:pPr>
      <w:r w:rsidRPr="00D0734F">
        <w:rPr>
          <w:b/>
          <w:u w:val="single"/>
          <w:lang w:val="en-GB" w:eastAsia="zh-CN"/>
        </w:rPr>
        <w:t>Proposal 9:</w:t>
      </w:r>
      <w:r>
        <w:rPr>
          <w:lang w:val="en-GB" w:eastAsia="zh-CN"/>
        </w:rPr>
        <w:t xml:space="preserve"> </w:t>
      </w:r>
      <w:r w:rsidRPr="00D0734F">
        <w:rPr>
          <w:i/>
          <w:lang w:val="en-GB" w:eastAsia="zh-CN"/>
        </w:rPr>
        <w:t>Postpone support of uplink VRB-to-PRB interleave mapping to after Release 15.</w:t>
      </w:r>
    </w:p>
    <w:p w14:paraId="7662BBF9" w14:textId="77777777" w:rsidR="002E4881" w:rsidRPr="008E769D" w:rsidRDefault="002E4881" w:rsidP="008A0964">
      <w:pPr>
        <w:pStyle w:val="Heading1"/>
        <w:numPr>
          <w:ilvl w:val="0"/>
          <w:numId w:val="0"/>
        </w:numPr>
        <w:ind w:left="432" w:hanging="432"/>
        <w:rPr>
          <w:lang w:val="en-US"/>
        </w:rPr>
      </w:pPr>
      <w:r w:rsidRPr="008A0964">
        <w:t>References</w:t>
      </w:r>
    </w:p>
    <w:p w14:paraId="11E8EDB7" w14:textId="23380EF5" w:rsidR="00950A2A" w:rsidRDefault="00950A2A" w:rsidP="00950A2A">
      <w:pPr>
        <w:numPr>
          <w:ilvl w:val="0"/>
          <w:numId w:val="2"/>
        </w:numPr>
        <w:spacing w:before="100" w:beforeAutospacing="1" w:after="100" w:afterAutospacing="1"/>
        <w:rPr>
          <w:szCs w:val="22"/>
        </w:rPr>
      </w:pPr>
      <w:r>
        <w:rPr>
          <w:szCs w:val="22"/>
        </w:rPr>
        <w:t>RAN1 #91 Chairman’s Notes, Reno, USA</w:t>
      </w:r>
    </w:p>
    <w:p w14:paraId="38A2A4F8" w14:textId="4C5B047E" w:rsidR="009843E1" w:rsidRDefault="009843E1" w:rsidP="00950A2A">
      <w:pPr>
        <w:numPr>
          <w:ilvl w:val="0"/>
          <w:numId w:val="2"/>
        </w:numPr>
        <w:spacing w:before="100" w:beforeAutospacing="1" w:after="100" w:afterAutospacing="1"/>
        <w:rPr>
          <w:szCs w:val="22"/>
        </w:rPr>
      </w:pPr>
      <w:r>
        <w:rPr>
          <w:szCs w:val="22"/>
        </w:rPr>
        <w:t>RAN1 AH 1801 Chairman’s Notes, Vancouver, USA</w:t>
      </w:r>
    </w:p>
    <w:p w14:paraId="5AC8306F" w14:textId="12C2C416" w:rsidR="00541088" w:rsidRDefault="00541088" w:rsidP="00950A2A">
      <w:pPr>
        <w:numPr>
          <w:ilvl w:val="0"/>
          <w:numId w:val="2"/>
        </w:numPr>
        <w:spacing w:before="100" w:beforeAutospacing="1" w:after="100" w:afterAutospacing="1"/>
        <w:rPr>
          <w:szCs w:val="22"/>
        </w:rPr>
      </w:pPr>
      <w:r>
        <w:rPr>
          <w:szCs w:val="22"/>
        </w:rPr>
        <w:t>RP-172108, “Updated work plan of RAN1 and 4 NR</w:t>
      </w:r>
      <w:r w:rsidR="00D0734F">
        <w:rPr>
          <w:szCs w:val="22"/>
        </w:rPr>
        <w:t>, NTT Docomo, RAN #77, Sapporo, Japan</w:t>
      </w:r>
    </w:p>
    <w:p w14:paraId="67C3D8FD" w14:textId="6E90E5CB" w:rsidR="00D0734F" w:rsidRPr="002E4881" w:rsidRDefault="00D0734F" w:rsidP="00D0734F">
      <w:pPr>
        <w:spacing w:before="100" w:beforeAutospacing="1" w:after="100" w:afterAutospacing="1"/>
        <w:rPr>
          <w:szCs w:val="22"/>
        </w:rPr>
      </w:pPr>
    </w:p>
    <w:p w14:paraId="5F685A9E" w14:textId="77777777" w:rsidR="00D0734F" w:rsidRDefault="00D0734F" w:rsidP="00D0734F">
      <w:pPr>
        <w:pStyle w:val="Heading1"/>
        <w:numPr>
          <w:ilvl w:val="0"/>
          <w:numId w:val="0"/>
        </w:numPr>
        <w:ind w:left="432" w:hanging="432"/>
      </w:pPr>
      <w:r>
        <w:t>Appendix 1: Text Proposal</w:t>
      </w:r>
    </w:p>
    <w:p w14:paraId="41695124" w14:textId="77777777" w:rsidR="00D0734F" w:rsidRDefault="00D0734F" w:rsidP="00D0734F">
      <w:pPr>
        <w:rPr>
          <w:lang w:val="en-GB"/>
        </w:rPr>
      </w:pPr>
      <w:r>
        <w:rPr>
          <w:lang w:val="en-GB"/>
        </w:rPr>
        <w:t>The following is a modified text proposal with changes tracked relative to R1-1801176.</w:t>
      </w:r>
    </w:p>
    <w:p w14:paraId="005AA195" w14:textId="77777777" w:rsidR="00D0734F" w:rsidRDefault="00D0734F" w:rsidP="00D0734F">
      <w:pPr>
        <w:rPr>
          <w:lang w:val="en-GB"/>
        </w:rPr>
      </w:pPr>
    </w:p>
    <w:p w14:paraId="2FF579E4" w14:textId="77777777" w:rsidR="00D0734F" w:rsidRDefault="00D0734F" w:rsidP="00D0734F">
      <w:pPr>
        <w:pStyle w:val="Heading4"/>
        <w:numPr>
          <w:ilvl w:val="0"/>
          <w:numId w:val="0"/>
        </w:numPr>
      </w:pPr>
      <w:r>
        <w:lastRenderedPageBreak/>
        <w:t>7.3.1.6</w:t>
      </w:r>
      <w:r>
        <w:tab/>
        <w:t>Mapping from virtual to physical resource blocks</w:t>
      </w:r>
    </w:p>
    <w:p w14:paraId="7751F279" w14:textId="77777777" w:rsidR="00D0734F" w:rsidRDefault="00D0734F" w:rsidP="00D0734F">
      <w:r>
        <w:t>The UE shall assume the virtual resource blocks are mapped to physical resource blocks according to the indicated mapping scheme, non-interleaved or interleaved mapping.</w:t>
      </w:r>
    </w:p>
    <w:p w14:paraId="1DD00199" w14:textId="77777777" w:rsidR="00D0734F" w:rsidRDefault="00D0734F" w:rsidP="00D0734F">
      <w:r>
        <w:t xml:space="preserve">For non-interleaved VRB-to-PRB mapping, virtual resource block </w:t>
      </w:r>
      <w:r w:rsidRPr="007C7FD5">
        <w:rPr>
          <w:position w:val="-6"/>
        </w:rPr>
        <w:object w:dxaOrig="180" w:dyaOrig="200" w14:anchorId="43574BCF">
          <v:shape id="_x0000_i1050" type="#_x0000_t75" style="width:9.4pt;height:9.4pt" o:ole="">
            <v:imagedata r:id="rId16" o:title=""/>
          </v:shape>
          <o:OLEObject Type="Embed" ProgID="Equation.3" ShapeID="_x0000_i1050" DrawAspect="Content" ObjectID="_1580320094" r:id="rId59"/>
        </w:object>
      </w:r>
      <w:r>
        <w:t xml:space="preserve"> is mapped to physical resource block </w:t>
      </w:r>
      <w:r w:rsidRPr="00B01AB2">
        <w:rPr>
          <w:position w:val="-6"/>
        </w:rPr>
        <w:object w:dxaOrig="180" w:dyaOrig="200" w14:anchorId="07041CEB">
          <v:shape id="_x0000_i1051" type="#_x0000_t75" style="width:9.4pt;height:9.4pt" o:ole="">
            <v:imagedata r:id="rId16" o:title=""/>
          </v:shape>
          <o:OLEObject Type="Embed" ProgID="Equation.3" ShapeID="_x0000_i1051" DrawAspect="Content" ObjectID="_1580320095" r:id="rId60"/>
        </w:object>
      </w:r>
      <w:r>
        <w:t>.</w:t>
      </w:r>
    </w:p>
    <w:p w14:paraId="4FDA04F3" w14:textId="77777777" w:rsidR="00D0734F" w:rsidRDefault="00D0734F" w:rsidP="00D0734F">
      <w:r>
        <w:t>For interleaved VRB-to-PRB mapping, the mapping process is defined in terms of resource block bundles:</w:t>
      </w:r>
    </w:p>
    <w:p w14:paraId="79FCCB38" w14:textId="77777777" w:rsidR="00D0734F" w:rsidRDefault="00D0734F" w:rsidP="00D0734F">
      <w:pPr>
        <w:pStyle w:val="B1"/>
      </w:pPr>
      <w:r>
        <w:t>-</w:t>
      </w:r>
      <w:r>
        <w:tab/>
        <w:t xml:space="preserve">The set of </w:t>
      </w:r>
      <w:r w:rsidRPr="009A60E1">
        <w:rPr>
          <w:position w:val="-12"/>
        </w:rPr>
        <w:object w:dxaOrig="620" w:dyaOrig="360" w14:anchorId="43D6193F">
          <v:shape id="_x0000_i1052" type="#_x0000_t75" style="width:31.55pt;height:17.7pt" o:ole="">
            <v:imagedata r:id="rId19" o:title=""/>
          </v:shape>
          <o:OLEObject Type="Embed" ProgID="Equation.3" ShapeID="_x0000_i1052" DrawAspect="Content" ObjectID="_1580320096" r:id="rId61"/>
        </w:object>
      </w:r>
      <w:r>
        <w:t xml:space="preserve"> resource blocks in carrier bandwidth part </w:t>
      </w:r>
      <w:r w:rsidRPr="00C831D7">
        <w:rPr>
          <w:position w:val="-6"/>
        </w:rPr>
        <w:object w:dxaOrig="139" w:dyaOrig="240" w14:anchorId="0793505F">
          <v:shape id="_x0000_i1053" type="#_x0000_t75" style="width:6.65pt;height:12.2pt" o:ole="">
            <v:imagedata r:id="rId21" o:title=""/>
          </v:shape>
          <o:OLEObject Type="Embed" ProgID="Equation.3" ShapeID="_x0000_i1053" DrawAspect="Content" ObjectID="_1580320097" r:id="rId62"/>
        </w:object>
      </w:r>
      <w:r>
        <w:t xml:space="preserve"> with starting position </w:t>
      </w:r>
      <w:r w:rsidRPr="00C831D7">
        <w:rPr>
          <w:position w:val="-12"/>
        </w:rPr>
        <w:object w:dxaOrig="620" w:dyaOrig="360" w14:anchorId="397EEEC1">
          <v:shape id="_x0000_i1054" type="#_x0000_t75" style="width:31.55pt;height:17.7pt" o:ole="">
            <v:imagedata r:id="rId23" o:title=""/>
          </v:shape>
          <o:OLEObject Type="Embed" ProgID="Equation.3" ShapeID="_x0000_i1054" DrawAspect="Content" ObjectID="_1580320098" r:id="rId63"/>
        </w:object>
      </w:r>
      <w:r>
        <w:t xml:space="preserve"> are divided into </w:t>
      </w:r>
      <w:r w:rsidRPr="00791231">
        <w:rPr>
          <w:position w:val="-22"/>
        </w:rPr>
        <w:object w:dxaOrig="3980" w:dyaOrig="580" w14:anchorId="559A3C53">
          <v:shape id="_x0000_i1055" type="#_x0000_t75" style="width:199.95pt;height:29.35pt" o:ole="">
            <v:imagedata r:id="rId64" o:title=""/>
          </v:shape>
          <o:OLEObject Type="Embed" ProgID="Equation.DSMT4" ShapeID="_x0000_i1055" DrawAspect="Content" ObjectID="_1580320099" r:id="rId65"/>
        </w:object>
      </w:r>
      <w:r>
        <w:t xml:space="preserve"> resource-block bundles in increasing order of the resource-block number and bundle number where </w:t>
      </w:r>
      <w:r w:rsidRPr="00FD0195">
        <w:rPr>
          <w:position w:val="-10"/>
        </w:rPr>
        <w:object w:dxaOrig="240" w:dyaOrig="300" w14:anchorId="190930AB">
          <v:shape id="_x0000_i1056" type="#_x0000_t75" style="width:11.1pt;height:16.05pt" o:ole="">
            <v:imagedata r:id="rId27" o:title=""/>
          </v:shape>
          <o:OLEObject Type="Embed" ProgID="Equation.3" ShapeID="_x0000_i1056" DrawAspect="Content" ObjectID="_1580320100" r:id="rId66"/>
        </w:object>
      </w:r>
      <w:r>
        <w:t xml:space="preserve"> is the bundle size carrier bandwidth part </w:t>
      </w:r>
      <w:r w:rsidRPr="00C831D7">
        <w:rPr>
          <w:position w:val="-6"/>
        </w:rPr>
        <w:object w:dxaOrig="139" w:dyaOrig="240" w14:anchorId="109CD4E9">
          <v:shape id="_x0000_i1057" type="#_x0000_t75" style="width:6.65pt;height:12.2pt" o:ole="">
            <v:imagedata r:id="rId21" o:title=""/>
          </v:shape>
          <o:OLEObject Type="Embed" ProgID="Equation.3" ShapeID="_x0000_i1057" DrawAspect="Content" ObjectID="_1580320101" r:id="rId67"/>
        </w:object>
      </w:r>
      <w:r>
        <w:t xml:space="preserve"> provided by the higher-layer parameter </w:t>
      </w:r>
      <w:r w:rsidRPr="0083489F">
        <w:rPr>
          <w:i/>
        </w:rPr>
        <w:t>VRB-to-PRB-interleaver</w:t>
      </w:r>
      <w:r>
        <w:t xml:space="preserve">  and</w:t>
      </w:r>
    </w:p>
    <w:p w14:paraId="720D2797" w14:textId="77777777" w:rsidR="00D0734F" w:rsidRDefault="00D0734F" w:rsidP="00D0734F">
      <w:pPr>
        <w:pStyle w:val="B2"/>
      </w:pPr>
      <w:r>
        <w:t>-</w:t>
      </w:r>
      <w:r>
        <w:tab/>
        <w:t xml:space="preserve">resource block bundle 0 consists of </w:t>
      </w:r>
      <w:r w:rsidRPr="004113DB">
        <w:rPr>
          <w:position w:val="-12"/>
        </w:rPr>
        <w:object w:dxaOrig="1680" w:dyaOrig="360" w14:anchorId="6BA09861">
          <v:shape id="_x0000_i1058" type="#_x0000_t75" style="width:84.2pt;height:17.7pt" o:ole="">
            <v:imagedata r:id="rId30" o:title=""/>
          </v:shape>
          <o:OLEObject Type="Embed" ProgID="Equation.3" ShapeID="_x0000_i1058" DrawAspect="Content" ObjectID="_1580320102" r:id="rId68"/>
        </w:object>
      </w:r>
      <w:r>
        <w:t xml:space="preserve"> resource blocks,</w:t>
      </w:r>
    </w:p>
    <w:p w14:paraId="7DB4BC9E" w14:textId="77777777" w:rsidR="00D0734F" w:rsidRDefault="00D0734F" w:rsidP="00D0734F">
      <w:pPr>
        <w:pStyle w:val="B2"/>
      </w:pPr>
      <w:r>
        <w:t>-</w:t>
      </w:r>
      <w:r>
        <w:tab/>
        <w:t xml:space="preserve">resource block bundle </w:t>
      </w:r>
      <w:r>
        <w:rPr>
          <w:rFonts w:eastAsia="Times New Roman"/>
          <w:position w:val="-14"/>
          <w:lang w:val="en-GB"/>
        </w:rPr>
        <w:object w:dxaOrig="1620" w:dyaOrig="405" w14:anchorId="0B02A1C0">
          <v:shape id="_x0000_i1059" type="#_x0000_t75" style="width:81.4pt;height:20.5pt" o:ole="">
            <v:imagedata r:id="rId69" o:title=""/>
          </v:shape>
          <o:OLEObject Type="Embed" ProgID="Equation.DSMT4" ShapeID="_x0000_i1059" DrawAspect="Content" ObjectID="_1580320103" r:id="rId70"/>
        </w:object>
      </w:r>
      <w:r>
        <w:t xml:space="preserve"> consists of </w:t>
      </w:r>
      <w:r w:rsidRPr="004113DB">
        <w:rPr>
          <w:position w:val="-12"/>
        </w:rPr>
        <w:object w:dxaOrig="2060" w:dyaOrig="360" w14:anchorId="7F03F46D">
          <v:shape id="_x0000_i1060" type="#_x0000_t75" style="width:103pt;height:17.7pt" o:ole="">
            <v:imagedata r:id="rId34" o:title=""/>
          </v:shape>
          <o:OLEObject Type="Embed" ProgID="Equation.3" ShapeID="_x0000_i1060" DrawAspect="Content" ObjectID="_1580320104" r:id="rId71"/>
        </w:object>
      </w:r>
      <w:r>
        <w:t xml:space="preserve"> resource blocks if </w:t>
      </w:r>
      <w:r w:rsidRPr="004113DB">
        <w:rPr>
          <w:position w:val="-12"/>
        </w:rPr>
        <w:object w:dxaOrig="2380" w:dyaOrig="360" w14:anchorId="55C4E3D8">
          <v:shape id="_x0000_i1061" type="#_x0000_t75" style="width:119.65pt;height:17.7pt" o:ole="">
            <v:imagedata r:id="rId36" o:title=""/>
          </v:shape>
          <o:OLEObject Type="Embed" ProgID="Equation.3" ShapeID="_x0000_i1061" DrawAspect="Content" ObjectID="_1580320105" r:id="rId72"/>
        </w:object>
      </w:r>
      <w:r>
        <w:t xml:space="preserve"> and </w:t>
      </w:r>
      <w:r w:rsidRPr="00891A98">
        <w:rPr>
          <w:position w:val="-10"/>
        </w:rPr>
        <w:object w:dxaOrig="240" w:dyaOrig="300" w14:anchorId="7D65C52F">
          <v:shape id="_x0000_i1062" type="#_x0000_t75" style="width:11.1pt;height:16.05pt" o:ole="">
            <v:imagedata r:id="rId27" o:title=""/>
          </v:shape>
          <o:OLEObject Type="Embed" ProgID="Equation.3" ShapeID="_x0000_i1062" DrawAspect="Content" ObjectID="_1580320106" r:id="rId73"/>
        </w:object>
      </w:r>
      <w:r>
        <w:t xml:space="preserve"> resource blocks otherwise,</w:t>
      </w:r>
    </w:p>
    <w:p w14:paraId="19B507D7" w14:textId="77777777" w:rsidR="00D0734F" w:rsidRDefault="00D0734F" w:rsidP="00D0734F">
      <w:pPr>
        <w:pStyle w:val="B2"/>
      </w:pPr>
      <w:r>
        <w:t>-</w:t>
      </w:r>
      <w:r>
        <w:tab/>
        <w:t xml:space="preserve">all other resource block bundles consists of </w:t>
      </w:r>
      <w:r w:rsidRPr="00FD0195">
        <w:rPr>
          <w:position w:val="-10"/>
        </w:rPr>
        <w:object w:dxaOrig="240" w:dyaOrig="300" w14:anchorId="444A959C">
          <v:shape id="_x0000_i1063" type="#_x0000_t75" style="width:11.1pt;height:16.05pt" o:ole="">
            <v:imagedata r:id="rId27" o:title=""/>
          </v:shape>
          <o:OLEObject Type="Embed" ProgID="Equation.3" ShapeID="_x0000_i1063" DrawAspect="Content" ObjectID="_1580320107" r:id="rId74"/>
        </w:object>
      </w:r>
      <w:r>
        <w:t xml:space="preserve"> resource blocks.</w:t>
      </w:r>
    </w:p>
    <w:p w14:paraId="50FA821F" w14:textId="77777777" w:rsidR="00D0734F" w:rsidRDefault="00D0734F" w:rsidP="00D0734F">
      <w:pPr>
        <w:pStyle w:val="B2"/>
      </w:pPr>
      <w:r>
        <w:t>-</w:t>
      </w:r>
      <w:r>
        <w:tab/>
        <w:t xml:space="preserve">Virtual resource block bundle </w:t>
      </w:r>
      <w:r w:rsidRPr="007C7FD5">
        <w:rPr>
          <w:position w:val="-10"/>
        </w:rPr>
        <w:object w:dxaOrig="1780" w:dyaOrig="300" w14:anchorId="7C5A4D1F">
          <v:shape id="_x0000_i1064" type="#_x0000_t75" style="width:88.6pt;height:14.95pt" o:ole="">
            <v:imagedata r:id="rId40" o:title=""/>
          </v:shape>
          <o:OLEObject Type="Embed" ProgID="Equation.3" ShapeID="_x0000_i1064" DrawAspect="Content" ObjectID="_1580320108" r:id="rId75"/>
        </w:object>
      </w:r>
      <w:r>
        <w:t xml:space="preserve">, is mapped to physical resource block bundle </w:t>
      </w:r>
      <w:r w:rsidRPr="00552869">
        <w:rPr>
          <w:position w:val="-14"/>
        </w:rPr>
        <w:object w:dxaOrig="580" w:dyaOrig="400" w14:anchorId="2F4D9B18">
          <v:shape id="_x0000_i1065" type="#_x0000_t75" style="width:29.35pt;height:20.5pt" o:ole="">
            <v:imagedata r:id="rId76" o:title=""/>
          </v:shape>
          <o:OLEObject Type="Embed" ProgID="Equation.DSMT4" ShapeID="_x0000_i1065" DrawAspect="Content" ObjectID="_1580320109" r:id="rId77"/>
        </w:object>
      </w:r>
      <w:r>
        <w:t xml:space="preserve"> where </w:t>
      </w:r>
    </w:p>
    <w:p w14:paraId="355EAFE3" w14:textId="77777777" w:rsidR="00D0734F" w:rsidRDefault="00D0734F" w:rsidP="00D0734F">
      <w:pPr>
        <w:pStyle w:val="EQ"/>
        <w:jc w:val="center"/>
      </w:pPr>
      <w:r w:rsidRPr="00711591">
        <w:rPr>
          <w:position w:val="-84"/>
        </w:rPr>
        <w:object w:dxaOrig="1359" w:dyaOrig="1780" w14:anchorId="4F43B2DF">
          <v:shape id="_x0000_i1066" type="#_x0000_t75" style="width:68.1pt;height:89.7pt" o:ole="">
            <v:imagedata r:id="rId78" o:title=""/>
          </v:shape>
          <o:OLEObject Type="Embed" ProgID="Equation.3" ShapeID="_x0000_i1066" DrawAspect="Content" ObjectID="_1580320110" r:id="rId79"/>
        </w:object>
      </w:r>
    </w:p>
    <w:p w14:paraId="0C8E5C07" w14:textId="77777777" w:rsidR="00D0734F" w:rsidRPr="00121CF6" w:rsidRDefault="00D0734F" w:rsidP="00D0734F">
      <w:r>
        <w:t xml:space="preserve">The UE may assume that the same precoding in the frequency domain is used across a bundle of common resource blocks numbered </w:t>
      </w:r>
      <w:r w:rsidRPr="000D198E">
        <w:rPr>
          <w:position w:val="-8"/>
        </w:rPr>
        <w:object w:dxaOrig="1480" w:dyaOrig="260" w14:anchorId="7331F5F7">
          <v:shape id="_x0000_i1067" type="#_x0000_t75" style="width:73.65pt;height:12.75pt" o:ole="">
            <v:imagedata r:id="rId50" o:title=""/>
          </v:shape>
          <o:OLEObject Type="Embed" ProgID="Equation.3" ShapeID="_x0000_i1067" DrawAspect="Content" ObjectID="_1580320111" r:id="rId80"/>
        </w:object>
      </w:r>
      <w:r>
        <w:t xml:space="preserve"> where </w:t>
      </w:r>
      <w:r w:rsidRPr="002A4296">
        <w:rPr>
          <w:position w:val="-8"/>
        </w:rPr>
        <w:object w:dxaOrig="1420" w:dyaOrig="260" w14:anchorId="5EB60694">
          <v:shape id="_x0000_i1068" type="#_x0000_t75" style="width:70.35pt;height:12.75pt" o:ole="">
            <v:imagedata r:id="rId52" o:title=""/>
          </v:shape>
          <o:OLEObject Type="Embed" ProgID="Equation.3" ShapeID="_x0000_i1068" DrawAspect="Content" ObjectID="_1580320112" r:id="rId81"/>
        </w:object>
      </w:r>
      <w:r>
        <w:t xml:space="preserve"> and the bundle size </w:t>
      </w:r>
      <w:r w:rsidRPr="00C12953">
        <w:rPr>
          <w:position w:val="-6"/>
        </w:rPr>
        <w:object w:dxaOrig="220" w:dyaOrig="200" w14:anchorId="082753BB">
          <v:shape id="_x0000_i1069" type="#_x0000_t75" style="width:11.1pt;height:9.4pt" o:ole="">
            <v:imagedata r:id="rId54" o:title=""/>
          </v:shape>
          <o:OLEObject Type="Embed" ProgID="Equation.3" ShapeID="_x0000_i1069" DrawAspect="Content" ObjectID="_1580320113" r:id="rId82"/>
        </w:object>
      </w:r>
      <w:r>
        <w:t xml:space="preserve"> is given by the higher-layer parameter </w:t>
      </w:r>
      <w:r w:rsidRPr="00F03A00">
        <w:rPr>
          <w:i/>
        </w:rPr>
        <w:t>PDSCH-bundle-size</w:t>
      </w:r>
      <w:r>
        <w:t xml:space="preserve"> if configured, otherwise by the DCI scheduling the transmission. </w:t>
      </w:r>
      <w:r w:rsidRPr="0090312F">
        <w:t xml:space="preserve">The UE shall not make any assumption that the same precoding is used for different bundles of </w:t>
      </w:r>
      <w:r>
        <w:t>common resource</w:t>
      </w:r>
      <w:r w:rsidRPr="0090312F">
        <w:t xml:space="preserve"> blocks.</w:t>
      </w:r>
      <w:r w:rsidRPr="0090312F" w:rsidDel="0090312F">
        <w:t xml:space="preserve"> </w:t>
      </w:r>
    </w:p>
    <w:p w14:paraId="4C6D33BC" w14:textId="77777777" w:rsidR="00D0734F" w:rsidRPr="00BD39BC" w:rsidRDefault="00D0734F" w:rsidP="00D0734F">
      <w:pPr>
        <w:rPr>
          <w:lang w:val="en-GB"/>
        </w:rPr>
      </w:pPr>
    </w:p>
    <w:p w14:paraId="13B2272C" w14:textId="77777777" w:rsidR="00D0734F" w:rsidRPr="002E4881" w:rsidRDefault="00D0734F" w:rsidP="00950A2A">
      <w:pPr>
        <w:spacing w:before="100" w:beforeAutospacing="1" w:after="100" w:afterAutospacing="1"/>
        <w:rPr>
          <w:szCs w:val="22"/>
        </w:rPr>
      </w:pPr>
    </w:p>
    <w:sectPr w:rsidR="00D0734F" w:rsidRPr="002E4881" w:rsidSect="00013353">
      <w:headerReference w:type="even" r:id="rId83"/>
      <w:footerReference w:type="even" r:id="rId84"/>
      <w:footerReference w:type="default" r:id="rId8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FF8AF" w14:textId="77777777" w:rsidR="00D0734F" w:rsidRDefault="00D0734F">
      <w:r>
        <w:separator/>
      </w:r>
    </w:p>
  </w:endnote>
  <w:endnote w:type="continuationSeparator" w:id="0">
    <w:p w14:paraId="1B778C24" w14:textId="77777777" w:rsidR="00D0734F" w:rsidRDefault="00D0734F">
      <w:r>
        <w:continuationSeparator/>
      </w:r>
    </w:p>
  </w:endnote>
  <w:endnote w:type="continuationNotice" w:id="1">
    <w:p w14:paraId="6BA2848A" w14:textId="77777777" w:rsidR="00D0734F" w:rsidRDefault="00D073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D0734F" w:rsidRDefault="00D073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D0734F" w:rsidRDefault="00D073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0E7F2CEB" w:rsidR="00D0734F" w:rsidRDefault="00D073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223D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223D4">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4CC8B" w14:textId="77777777" w:rsidR="00D0734F" w:rsidRDefault="00D0734F">
      <w:r>
        <w:separator/>
      </w:r>
    </w:p>
  </w:footnote>
  <w:footnote w:type="continuationSeparator" w:id="0">
    <w:p w14:paraId="4E8437F7" w14:textId="77777777" w:rsidR="00D0734F" w:rsidRDefault="00D0734F">
      <w:r>
        <w:continuationSeparator/>
      </w:r>
    </w:p>
  </w:footnote>
  <w:footnote w:type="continuationNotice" w:id="1">
    <w:p w14:paraId="2E97C94A" w14:textId="77777777" w:rsidR="00D0734F" w:rsidRDefault="00D073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D0734F" w:rsidRDefault="00D073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B712A6"/>
    <w:multiLevelType w:val="hybridMultilevel"/>
    <w:tmpl w:val="5C3846C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C4604F"/>
    <w:multiLevelType w:val="hybridMultilevel"/>
    <w:tmpl w:val="27125B42"/>
    <w:lvl w:ilvl="0" w:tplc="46F80712">
      <w:start w:val="1"/>
      <w:numFmt w:val="bullet"/>
      <w:lvlText w:val="•"/>
      <w:lvlJc w:val="left"/>
      <w:pPr>
        <w:tabs>
          <w:tab w:val="num" w:pos="720"/>
        </w:tabs>
        <w:ind w:left="720" w:hanging="360"/>
      </w:pPr>
      <w:rPr>
        <w:rFonts w:ascii="Arial" w:hAnsi="Arial" w:hint="default"/>
      </w:rPr>
    </w:lvl>
    <w:lvl w:ilvl="1" w:tplc="8AAE993C">
      <w:numFmt w:val="bullet"/>
      <w:lvlText w:val="•"/>
      <w:lvlJc w:val="left"/>
      <w:pPr>
        <w:tabs>
          <w:tab w:val="num" w:pos="1440"/>
        </w:tabs>
        <w:ind w:left="1440" w:hanging="360"/>
      </w:pPr>
      <w:rPr>
        <w:rFonts w:ascii="Arial" w:hAnsi="Arial" w:hint="default"/>
      </w:rPr>
    </w:lvl>
    <w:lvl w:ilvl="2" w:tplc="1532A1AC" w:tentative="1">
      <w:start w:val="1"/>
      <w:numFmt w:val="bullet"/>
      <w:lvlText w:val="•"/>
      <w:lvlJc w:val="left"/>
      <w:pPr>
        <w:tabs>
          <w:tab w:val="num" w:pos="2160"/>
        </w:tabs>
        <w:ind w:left="2160" w:hanging="360"/>
      </w:pPr>
      <w:rPr>
        <w:rFonts w:ascii="Arial" w:hAnsi="Arial" w:hint="default"/>
      </w:rPr>
    </w:lvl>
    <w:lvl w:ilvl="3" w:tplc="C25E124E" w:tentative="1">
      <w:start w:val="1"/>
      <w:numFmt w:val="bullet"/>
      <w:lvlText w:val="•"/>
      <w:lvlJc w:val="left"/>
      <w:pPr>
        <w:tabs>
          <w:tab w:val="num" w:pos="2880"/>
        </w:tabs>
        <w:ind w:left="2880" w:hanging="360"/>
      </w:pPr>
      <w:rPr>
        <w:rFonts w:ascii="Arial" w:hAnsi="Arial" w:hint="default"/>
      </w:rPr>
    </w:lvl>
    <w:lvl w:ilvl="4" w:tplc="8F788C48" w:tentative="1">
      <w:start w:val="1"/>
      <w:numFmt w:val="bullet"/>
      <w:lvlText w:val="•"/>
      <w:lvlJc w:val="left"/>
      <w:pPr>
        <w:tabs>
          <w:tab w:val="num" w:pos="3600"/>
        </w:tabs>
        <w:ind w:left="3600" w:hanging="360"/>
      </w:pPr>
      <w:rPr>
        <w:rFonts w:ascii="Arial" w:hAnsi="Arial" w:hint="default"/>
      </w:rPr>
    </w:lvl>
    <w:lvl w:ilvl="5" w:tplc="3C785BCA" w:tentative="1">
      <w:start w:val="1"/>
      <w:numFmt w:val="bullet"/>
      <w:lvlText w:val="•"/>
      <w:lvlJc w:val="left"/>
      <w:pPr>
        <w:tabs>
          <w:tab w:val="num" w:pos="4320"/>
        </w:tabs>
        <w:ind w:left="4320" w:hanging="360"/>
      </w:pPr>
      <w:rPr>
        <w:rFonts w:ascii="Arial" w:hAnsi="Arial" w:hint="default"/>
      </w:rPr>
    </w:lvl>
    <w:lvl w:ilvl="6" w:tplc="E984F678" w:tentative="1">
      <w:start w:val="1"/>
      <w:numFmt w:val="bullet"/>
      <w:lvlText w:val="•"/>
      <w:lvlJc w:val="left"/>
      <w:pPr>
        <w:tabs>
          <w:tab w:val="num" w:pos="5040"/>
        </w:tabs>
        <w:ind w:left="5040" w:hanging="360"/>
      </w:pPr>
      <w:rPr>
        <w:rFonts w:ascii="Arial" w:hAnsi="Arial" w:hint="default"/>
      </w:rPr>
    </w:lvl>
    <w:lvl w:ilvl="7" w:tplc="1DF45FEC" w:tentative="1">
      <w:start w:val="1"/>
      <w:numFmt w:val="bullet"/>
      <w:lvlText w:val="•"/>
      <w:lvlJc w:val="left"/>
      <w:pPr>
        <w:tabs>
          <w:tab w:val="num" w:pos="5760"/>
        </w:tabs>
        <w:ind w:left="5760" w:hanging="360"/>
      </w:pPr>
      <w:rPr>
        <w:rFonts w:ascii="Arial" w:hAnsi="Arial" w:hint="default"/>
      </w:rPr>
    </w:lvl>
    <w:lvl w:ilvl="8" w:tplc="7E6EC4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510EF7"/>
    <w:multiLevelType w:val="hybridMultilevel"/>
    <w:tmpl w:val="B344E3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D00A41"/>
    <w:multiLevelType w:val="hybridMultilevel"/>
    <w:tmpl w:val="D77EB742"/>
    <w:lvl w:ilvl="0" w:tplc="A9E2C6F2">
      <w:start w:val="5"/>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218D6833"/>
    <w:multiLevelType w:val="hybridMultilevel"/>
    <w:tmpl w:val="9AE2464C"/>
    <w:lvl w:ilvl="0" w:tplc="4A6A29F2">
      <w:numFmt w:val="bullet"/>
      <w:lvlText w:val="-"/>
      <w:lvlJc w:val="left"/>
      <w:pPr>
        <w:ind w:left="720" w:hanging="360"/>
      </w:pPr>
      <w:rPr>
        <w:rFonts w:ascii="Times New Roman" w:eastAsia="SimSu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A1D17BA"/>
    <w:multiLevelType w:val="multilevel"/>
    <w:tmpl w:val="C2E45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595960"/>
    <w:multiLevelType w:val="hybridMultilevel"/>
    <w:tmpl w:val="5C3846C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15:restartNumberingAfterBreak="0">
    <w:nsid w:val="48616939"/>
    <w:multiLevelType w:val="hybridMultilevel"/>
    <w:tmpl w:val="EE4A3102"/>
    <w:lvl w:ilvl="0" w:tplc="8CA88F1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EC10E65"/>
    <w:multiLevelType w:val="hybridMultilevel"/>
    <w:tmpl w:val="C29C5C92"/>
    <w:lvl w:ilvl="0" w:tplc="69D8EA7E">
      <w:start w:val="1"/>
      <w:numFmt w:val="bullet"/>
      <w:lvlText w:val="•"/>
      <w:lvlJc w:val="left"/>
      <w:pPr>
        <w:tabs>
          <w:tab w:val="num" w:pos="720"/>
        </w:tabs>
        <w:ind w:left="720" w:hanging="360"/>
      </w:pPr>
      <w:rPr>
        <w:rFonts w:ascii="Arial" w:hAnsi="Arial" w:cs="Times New Roman" w:hint="default"/>
      </w:rPr>
    </w:lvl>
    <w:lvl w:ilvl="1" w:tplc="A4584232">
      <w:start w:val="2486"/>
      <w:numFmt w:val="bullet"/>
      <w:lvlText w:val="–"/>
      <w:lvlJc w:val="left"/>
      <w:pPr>
        <w:tabs>
          <w:tab w:val="num" w:pos="1440"/>
        </w:tabs>
        <w:ind w:left="1440" w:hanging="360"/>
      </w:pPr>
      <w:rPr>
        <w:rFonts w:ascii="Arial" w:hAnsi="Arial"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73784A5A">
      <w:start w:val="1"/>
      <w:numFmt w:val="bullet"/>
      <w:lvlText w:val="•"/>
      <w:lvlJc w:val="left"/>
      <w:pPr>
        <w:tabs>
          <w:tab w:val="num" w:pos="2880"/>
        </w:tabs>
        <w:ind w:left="2880" w:hanging="360"/>
      </w:pPr>
      <w:rPr>
        <w:rFonts w:ascii="Arial" w:hAnsi="Arial" w:cs="Times New Roman" w:hint="default"/>
      </w:rPr>
    </w:lvl>
    <w:lvl w:ilvl="4" w:tplc="C248D91E">
      <w:start w:val="1"/>
      <w:numFmt w:val="bullet"/>
      <w:lvlText w:val="•"/>
      <w:lvlJc w:val="left"/>
      <w:pPr>
        <w:tabs>
          <w:tab w:val="num" w:pos="3600"/>
        </w:tabs>
        <w:ind w:left="3600" w:hanging="360"/>
      </w:pPr>
      <w:rPr>
        <w:rFonts w:ascii="Arial" w:hAnsi="Arial" w:cs="Times New Roman" w:hint="default"/>
      </w:rPr>
    </w:lvl>
    <w:lvl w:ilvl="5" w:tplc="DF16DE5C">
      <w:start w:val="1"/>
      <w:numFmt w:val="bullet"/>
      <w:lvlText w:val="•"/>
      <w:lvlJc w:val="left"/>
      <w:pPr>
        <w:tabs>
          <w:tab w:val="num" w:pos="4320"/>
        </w:tabs>
        <w:ind w:left="4320" w:hanging="360"/>
      </w:pPr>
      <w:rPr>
        <w:rFonts w:ascii="Arial" w:hAnsi="Arial" w:cs="Times New Roman" w:hint="default"/>
      </w:rPr>
    </w:lvl>
    <w:lvl w:ilvl="6" w:tplc="EBB2933E">
      <w:start w:val="1"/>
      <w:numFmt w:val="bullet"/>
      <w:lvlText w:val="•"/>
      <w:lvlJc w:val="left"/>
      <w:pPr>
        <w:tabs>
          <w:tab w:val="num" w:pos="5040"/>
        </w:tabs>
        <w:ind w:left="5040" w:hanging="360"/>
      </w:pPr>
      <w:rPr>
        <w:rFonts w:ascii="Arial" w:hAnsi="Arial" w:cs="Times New Roman" w:hint="default"/>
      </w:rPr>
    </w:lvl>
    <w:lvl w:ilvl="7" w:tplc="18C0CEEA">
      <w:start w:val="1"/>
      <w:numFmt w:val="bullet"/>
      <w:lvlText w:val="•"/>
      <w:lvlJc w:val="left"/>
      <w:pPr>
        <w:tabs>
          <w:tab w:val="num" w:pos="5760"/>
        </w:tabs>
        <w:ind w:left="5760" w:hanging="360"/>
      </w:pPr>
      <w:rPr>
        <w:rFonts w:ascii="Arial" w:hAnsi="Arial" w:cs="Times New Roman" w:hint="default"/>
      </w:rPr>
    </w:lvl>
    <w:lvl w:ilvl="8" w:tplc="9F2CEE3A">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851DFB"/>
    <w:multiLevelType w:val="hybridMultilevel"/>
    <w:tmpl w:val="B218CF2E"/>
    <w:lvl w:ilvl="0" w:tplc="9F3E7AF8">
      <w:numFmt w:val="bullet"/>
      <w:lvlText w:val="-"/>
      <w:lvlJc w:val="left"/>
      <w:pPr>
        <w:ind w:left="765" w:hanging="360"/>
      </w:pPr>
      <w:rPr>
        <w:rFonts w:ascii="Times New Roman" w:eastAsia="SimSu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1" w15:restartNumberingAfterBreak="0">
    <w:nsid w:val="5A4267F0"/>
    <w:multiLevelType w:val="hybridMultilevel"/>
    <w:tmpl w:val="588EBD0E"/>
    <w:lvl w:ilvl="0" w:tplc="40D215A6">
      <w:start w:val="1"/>
      <w:numFmt w:val="bullet"/>
      <w:lvlText w:val="•"/>
      <w:lvlJc w:val="left"/>
      <w:pPr>
        <w:tabs>
          <w:tab w:val="num" w:pos="720"/>
        </w:tabs>
        <w:ind w:left="720" w:hanging="360"/>
      </w:pPr>
      <w:rPr>
        <w:rFonts w:ascii="Arial" w:hAnsi="Arial" w:cs="Times New Roman" w:hint="default"/>
      </w:rPr>
    </w:lvl>
    <w:lvl w:ilvl="1" w:tplc="CC9879F4">
      <w:numFmt w:val="bullet"/>
      <w:lvlText w:val="•"/>
      <w:lvlJc w:val="left"/>
      <w:pPr>
        <w:tabs>
          <w:tab w:val="num" w:pos="1440"/>
        </w:tabs>
        <w:ind w:left="1440" w:hanging="360"/>
      </w:pPr>
      <w:rPr>
        <w:rFonts w:ascii="Arial" w:hAnsi="Arial" w:cs="Times New Roman" w:hint="default"/>
      </w:rPr>
    </w:lvl>
    <w:lvl w:ilvl="2" w:tplc="28465540">
      <w:numFmt w:val="bullet"/>
      <w:lvlText w:val="•"/>
      <w:lvlJc w:val="left"/>
      <w:pPr>
        <w:tabs>
          <w:tab w:val="num" w:pos="2160"/>
        </w:tabs>
        <w:ind w:left="2160" w:hanging="360"/>
      </w:pPr>
      <w:rPr>
        <w:rFonts w:ascii="Arial" w:hAnsi="Arial" w:cs="Times New Roman" w:hint="default"/>
      </w:rPr>
    </w:lvl>
    <w:lvl w:ilvl="3" w:tplc="05388C98">
      <w:start w:val="1"/>
      <w:numFmt w:val="bullet"/>
      <w:lvlText w:val="•"/>
      <w:lvlJc w:val="left"/>
      <w:pPr>
        <w:tabs>
          <w:tab w:val="num" w:pos="2880"/>
        </w:tabs>
        <w:ind w:left="2880" w:hanging="360"/>
      </w:pPr>
      <w:rPr>
        <w:rFonts w:ascii="Arial" w:hAnsi="Arial" w:cs="Times New Roman" w:hint="default"/>
      </w:rPr>
    </w:lvl>
    <w:lvl w:ilvl="4" w:tplc="1E62D80E">
      <w:start w:val="1"/>
      <w:numFmt w:val="bullet"/>
      <w:lvlText w:val="•"/>
      <w:lvlJc w:val="left"/>
      <w:pPr>
        <w:tabs>
          <w:tab w:val="num" w:pos="3600"/>
        </w:tabs>
        <w:ind w:left="3600" w:hanging="360"/>
      </w:pPr>
      <w:rPr>
        <w:rFonts w:ascii="Arial" w:hAnsi="Arial" w:cs="Times New Roman" w:hint="default"/>
      </w:rPr>
    </w:lvl>
    <w:lvl w:ilvl="5" w:tplc="4D88C3AE">
      <w:start w:val="1"/>
      <w:numFmt w:val="bullet"/>
      <w:lvlText w:val="•"/>
      <w:lvlJc w:val="left"/>
      <w:pPr>
        <w:tabs>
          <w:tab w:val="num" w:pos="4320"/>
        </w:tabs>
        <w:ind w:left="4320" w:hanging="360"/>
      </w:pPr>
      <w:rPr>
        <w:rFonts w:ascii="Arial" w:hAnsi="Arial" w:cs="Times New Roman" w:hint="default"/>
      </w:rPr>
    </w:lvl>
    <w:lvl w:ilvl="6" w:tplc="7FF08566">
      <w:start w:val="1"/>
      <w:numFmt w:val="bullet"/>
      <w:lvlText w:val="•"/>
      <w:lvlJc w:val="left"/>
      <w:pPr>
        <w:tabs>
          <w:tab w:val="num" w:pos="5040"/>
        </w:tabs>
        <w:ind w:left="5040" w:hanging="360"/>
      </w:pPr>
      <w:rPr>
        <w:rFonts w:ascii="Arial" w:hAnsi="Arial" w:cs="Times New Roman" w:hint="default"/>
      </w:rPr>
    </w:lvl>
    <w:lvl w:ilvl="7" w:tplc="3884B208">
      <w:start w:val="1"/>
      <w:numFmt w:val="bullet"/>
      <w:lvlText w:val="•"/>
      <w:lvlJc w:val="left"/>
      <w:pPr>
        <w:tabs>
          <w:tab w:val="num" w:pos="5760"/>
        </w:tabs>
        <w:ind w:left="5760" w:hanging="360"/>
      </w:pPr>
      <w:rPr>
        <w:rFonts w:ascii="Arial" w:hAnsi="Arial" w:cs="Times New Roman" w:hint="default"/>
      </w:rPr>
    </w:lvl>
    <w:lvl w:ilvl="8" w:tplc="8BB4E866">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7987E81"/>
    <w:multiLevelType w:val="hybridMultilevel"/>
    <w:tmpl w:val="C45C7B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6858546F"/>
    <w:multiLevelType w:val="hybridMultilevel"/>
    <w:tmpl w:val="A2146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CD1DDA"/>
    <w:multiLevelType w:val="hybridMultilevel"/>
    <w:tmpl w:val="D592F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D44F70"/>
    <w:multiLevelType w:val="hybridMultilevel"/>
    <w:tmpl w:val="A06825BC"/>
    <w:lvl w:ilvl="0" w:tplc="248EB03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3"/>
  </w:num>
  <w:num w:numId="4">
    <w:abstractNumId w:val="13"/>
  </w:num>
  <w:num w:numId="5">
    <w:abstractNumId w:val="7"/>
  </w:num>
  <w:num w:numId="6">
    <w:abstractNumId w:val="21"/>
  </w:num>
  <w:num w:numId="7">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9"/>
  </w:num>
  <w:num w:numId="10">
    <w:abstractNumId w:val="20"/>
  </w:num>
  <w:num w:numId="11">
    <w:abstractNumId w:val="27"/>
  </w:num>
  <w:num w:numId="12">
    <w:abstractNumId w:val="1"/>
  </w:num>
  <w:num w:numId="13">
    <w:abstractNumId w:val="15"/>
  </w:num>
  <w:num w:numId="14">
    <w:abstractNumId w:val="28"/>
  </w:num>
  <w:num w:numId="15">
    <w:abstractNumId w:val="26"/>
  </w:num>
  <w:num w:numId="16">
    <w:abstractNumId w:val="18"/>
  </w:num>
  <w:num w:numId="17">
    <w:abstractNumId w:val="18"/>
  </w:num>
  <w:num w:numId="18">
    <w:abstractNumId w:val="22"/>
  </w:num>
  <w:num w:numId="19">
    <w:abstractNumId w:val="10"/>
  </w:num>
  <w:num w:numId="20">
    <w:abstractNumId w:val="25"/>
  </w:num>
  <w:num w:numId="21">
    <w:abstractNumId w:val="5"/>
  </w:num>
  <w:num w:numId="22">
    <w:abstractNumId w:val="24"/>
  </w:num>
  <w:num w:numId="23">
    <w:abstractNumId w:val="19"/>
  </w:num>
  <w:num w:numId="24">
    <w:abstractNumId w:val="2"/>
  </w:num>
  <w:num w:numId="25">
    <w:abstractNumId w:val="6"/>
  </w:num>
  <w:num w:numId="26">
    <w:abstractNumId w:val="4"/>
  </w:num>
  <w:num w:numId="27">
    <w:abstractNumId w:val="16"/>
  </w:num>
  <w:num w:numId="28">
    <w:abstractNumId w:val="17"/>
  </w:num>
  <w:num w:numId="29">
    <w:abstractNumId w:val="14"/>
  </w:num>
  <w:num w:numId="30">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5120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23D4"/>
    <w:rsid w:val="000233F4"/>
    <w:rsid w:val="00023C29"/>
    <w:rsid w:val="000240FD"/>
    <w:rsid w:val="00024794"/>
    <w:rsid w:val="000249B3"/>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680"/>
    <w:rsid w:val="00075999"/>
    <w:rsid w:val="00075AB6"/>
    <w:rsid w:val="00076408"/>
    <w:rsid w:val="0007661E"/>
    <w:rsid w:val="00076880"/>
    <w:rsid w:val="00076D3D"/>
    <w:rsid w:val="00076FD1"/>
    <w:rsid w:val="00077073"/>
    <w:rsid w:val="0008022A"/>
    <w:rsid w:val="00080418"/>
    <w:rsid w:val="000805B2"/>
    <w:rsid w:val="00080696"/>
    <w:rsid w:val="000808A3"/>
    <w:rsid w:val="00080D74"/>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709B"/>
    <w:rsid w:val="000970D0"/>
    <w:rsid w:val="00097163"/>
    <w:rsid w:val="0009720E"/>
    <w:rsid w:val="000979F0"/>
    <w:rsid w:val="00097AE8"/>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B50"/>
    <w:rsid w:val="000B1CD3"/>
    <w:rsid w:val="000B256B"/>
    <w:rsid w:val="000B32D4"/>
    <w:rsid w:val="000B3413"/>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28F"/>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092"/>
    <w:rsid w:val="000C5759"/>
    <w:rsid w:val="000C5AE3"/>
    <w:rsid w:val="000C5E7D"/>
    <w:rsid w:val="000C63E6"/>
    <w:rsid w:val="000C673C"/>
    <w:rsid w:val="000C69F8"/>
    <w:rsid w:val="000C6A01"/>
    <w:rsid w:val="000C71D9"/>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722"/>
    <w:rsid w:val="000E182B"/>
    <w:rsid w:val="000E1E8E"/>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CAF"/>
    <w:rsid w:val="000F4D2F"/>
    <w:rsid w:val="000F4E96"/>
    <w:rsid w:val="000F4F44"/>
    <w:rsid w:val="000F4FA3"/>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7E"/>
    <w:rsid w:val="00106FF1"/>
    <w:rsid w:val="0010795D"/>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71C"/>
    <w:rsid w:val="001439F8"/>
    <w:rsid w:val="00143EFE"/>
    <w:rsid w:val="00143FFE"/>
    <w:rsid w:val="00144349"/>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6019C"/>
    <w:rsid w:val="001601C7"/>
    <w:rsid w:val="001602C2"/>
    <w:rsid w:val="001603B9"/>
    <w:rsid w:val="00160674"/>
    <w:rsid w:val="00160786"/>
    <w:rsid w:val="001607A2"/>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987"/>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C8"/>
    <w:rsid w:val="001A1337"/>
    <w:rsid w:val="001A1CC6"/>
    <w:rsid w:val="001A1F22"/>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0E78"/>
    <w:rsid w:val="001B113B"/>
    <w:rsid w:val="001B1565"/>
    <w:rsid w:val="001B158B"/>
    <w:rsid w:val="001B17A5"/>
    <w:rsid w:val="001B19F5"/>
    <w:rsid w:val="001B2993"/>
    <w:rsid w:val="001B2C18"/>
    <w:rsid w:val="001B35C1"/>
    <w:rsid w:val="001B3754"/>
    <w:rsid w:val="001B3A10"/>
    <w:rsid w:val="001B4094"/>
    <w:rsid w:val="001B41E4"/>
    <w:rsid w:val="001B4371"/>
    <w:rsid w:val="001B4452"/>
    <w:rsid w:val="001B510D"/>
    <w:rsid w:val="001B5332"/>
    <w:rsid w:val="001B54E9"/>
    <w:rsid w:val="001B55DE"/>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0D95"/>
    <w:rsid w:val="001D1258"/>
    <w:rsid w:val="001D19F8"/>
    <w:rsid w:val="001D1CFF"/>
    <w:rsid w:val="001D216E"/>
    <w:rsid w:val="001D21B0"/>
    <w:rsid w:val="001D25B8"/>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BE"/>
    <w:rsid w:val="001E3A45"/>
    <w:rsid w:val="001E3FE1"/>
    <w:rsid w:val="001E420B"/>
    <w:rsid w:val="001E4704"/>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6BC"/>
    <w:rsid w:val="001F39AB"/>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816"/>
    <w:rsid w:val="002130A9"/>
    <w:rsid w:val="002130BD"/>
    <w:rsid w:val="00213851"/>
    <w:rsid w:val="00214298"/>
    <w:rsid w:val="00214E0D"/>
    <w:rsid w:val="0021512E"/>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2052"/>
    <w:rsid w:val="002221D4"/>
    <w:rsid w:val="002222A4"/>
    <w:rsid w:val="0022232E"/>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84B"/>
    <w:rsid w:val="0024286B"/>
    <w:rsid w:val="00242B2A"/>
    <w:rsid w:val="00242CAE"/>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034"/>
    <w:rsid w:val="002571C8"/>
    <w:rsid w:val="002572F1"/>
    <w:rsid w:val="00257A62"/>
    <w:rsid w:val="00257D2A"/>
    <w:rsid w:val="00260156"/>
    <w:rsid w:val="0026075E"/>
    <w:rsid w:val="002608BD"/>
    <w:rsid w:val="00260FAD"/>
    <w:rsid w:val="002617F6"/>
    <w:rsid w:val="00261D05"/>
    <w:rsid w:val="00261DD9"/>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706CC"/>
    <w:rsid w:val="002708D5"/>
    <w:rsid w:val="002708DA"/>
    <w:rsid w:val="00270C63"/>
    <w:rsid w:val="00270C98"/>
    <w:rsid w:val="00270CF1"/>
    <w:rsid w:val="00270D81"/>
    <w:rsid w:val="00270E57"/>
    <w:rsid w:val="002711C3"/>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7512"/>
    <w:rsid w:val="002777E4"/>
    <w:rsid w:val="00277E66"/>
    <w:rsid w:val="002801E2"/>
    <w:rsid w:val="00280362"/>
    <w:rsid w:val="00280612"/>
    <w:rsid w:val="0028073A"/>
    <w:rsid w:val="00280960"/>
    <w:rsid w:val="0028164E"/>
    <w:rsid w:val="0028168F"/>
    <w:rsid w:val="002825CE"/>
    <w:rsid w:val="002825EF"/>
    <w:rsid w:val="00282A3B"/>
    <w:rsid w:val="00282EB8"/>
    <w:rsid w:val="00283137"/>
    <w:rsid w:val="00283165"/>
    <w:rsid w:val="002832E7"/>
    <w:rsid w:val="00283852"/>
    <w:rsid w:val="00283FFA"/>
    <w:rsid w:val="00284293"/>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FC1"/>
    <w:rsid w:val="002A601D"/>
    <w:rsid w:val="002A647A"/>
    <w:rsid w:val="002A6EF8"/>
    <w:rsid w:val="002A7180"/>
    <w:rsid w:val="002A732C"/>
    <w:rsid w:val="002A7A6A"/>
    <w:rsid w:val="002A7AB4"/>
    <w:rsid w:val="002A7C20"/>
    <w:rsid w:val="002A7E7D"/>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AE4"/>
    <w:rsid w:val="002C3E89"/>
    <w:rsid w:val="002C42AA"/>
    <w:rsid w:val="002C4AF6"/>
    <w:rsid w:val="002C4B64"/>
    <w:rsid w:val="002C4C29"/>
    <w:rsid w:val="002C5022"/>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B4E"/>
    <w:rsid w:val="002D2B96"/>
    <w:rsid w:val="002D2DA9"/>
    <w:rsid w:val="002D3968"/>
    <w:rsid w:val="002D425A"/>
    <w:rsid w:val="002D4314"/>
    <w:rsid w:val="002D4591"/>
    <w:rsid w:val="002D48B8"/>
    <w:rsid w:val="002D4997"/>
    <w:rsid w:val="002D4A54"/>
    <w:rsid w:val="002D4C87"/>
    <w:rsid w:val="002D4E37"/>
    <w:rsid w:val="002D52E0"/>
    <w:rsid w:val="002D5DEA"/>
    <w:rsid w:val="002D6127"/>
    <w:rsid w:val="002D61BE"/>
    <w:rsid w:val="002D61F0"/>
    <w:rsid w:val="002D7235"/>
    <w:rsid w:val="002D76E8"/>
    <w:rsid w:val="002E0303"/>
    <w:rsid w:val="002E08F4"/>
    <w:rsid w:val="002E0E94"/>
    <w:rsid w:val="002E15A5"/>
    <w:rsid w:val="002E16BC"/>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F0045"/>
    <w:rsid w:val="002F00F0"/>
    <w:rsid w:val="002F025B"/>
    <w:rsid w:val="002F02D0"/>
    <w:rsid w:val="002F0684"/>
    <w:rsid w:val="002F09C0"/>
    <w:rsid w:val="002F0ADB"/>
    <w:rsid w:val="002F0E34"/>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65FB"/>
    <w:rsid w:val="003066DC"/>
    <w:rsid w:val="003069F9"/>
    <w:rsid w:val="00306ED2"/>
    <w:rsid w:val="00306F89"/>
    <w:rsid w:val="0030749E"/>
    <w:rsid w:val="003076CD"/>
    <w:rsid w:val="00307B27"/>
    <w:rsid w:val="00307F28"/>
    <w:rsid w:val="003101DC"/>
    <w:rsid w:val="0031049F"/>
    <w:rsid w:val="00310978"/>
    <w:rsid w:val="00310CC6"/>
    <w:rsid w:val="00310F30"/>
    <w:rsid w:val="0031137F"/>
    <w:rsid w:val="00311642"/>
    <w:rsid w:val="00311761"/>
    <w:rsid w:val="00311941"/>
    <w:rsid w:val="00311E5A"/>
    <w:rsid w:val="00312709"/>
    <w:rsid w:val="00312BD0"/>
    <w:rsid w:val="00313765"/>
    <w:rsid w:val="003137A0"/>
    <w:rsid w:val="00313BC1"/>
    <w:rsid w:val="00313C4F"/>
    <w:rsid w:val="003141C2"/>
    <w:rsid w:val="00314ACB"/>
    <w:rsid w:val="00314C05"/>
    <w:rsid w:val="00314CBB"/>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8C4"/>
    <w:rsid w:val="00330C12"/>
    <w:rsid w:val="00330C30"/>
    <w:rsid w:val="00330DE8"/>
    <w:rsid w:val="00331B82"/>
    <w:rsid w:val="00332123"/>
    <w:rsid w:val="003321C3"/>
    <w:rsid w:val="00332962"/>
    <w:rsid w:val="00332D99"/>
    <w:rsid w:val="0033374E"/>
    <w:rsid w:val="00333EB0"/>
    <w:rsid w:val="00334532"/>
    <w:rsid w:val="003347E2"/>
    <w:rsid w:val="003348FB"/>
    <w:rsid w:val="00334E18"/>
    <w:rsid w:val="00335217"/>
    <w:rsid w:val="00335250"/>
    <w:rsid w:val="00335670"/>
    <w:rsid w:val="0033572D"/>
    <w:rsid w:val="00335745"/>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CEC"/>
    <w:rsid w:val="003572DE"/>
    <w:rsid w:val="00357659"/>
    <w:rsid w:val="00357712"/>
    <w:rsid w:val="00357CAE"/>
    <w:rsid w:val="003604DB"/>
    <w:rsid w:val="003617B5"/>
    <w:rsid w:val="0036185C"/>
    <w:rsid w:val="00361B1A"/>
    <w:rsid w:val="0036227D"/>
    <w:rsid w:val="0036262C"/>
    <w:rsid w:val="00362C5A"/>
    <w:rsid w:val="00363302"/>
    <w:rsid w:val="003635B6"/>
    <w:rsid w:val="00363FC9"/>
    <w:rsid w:val="00364261"/>
    <w:rsid w:val="0036484F"/>
    <w:rsid w:val="00365023"/>
    <w:rsid w:val="00365137"/>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78"/>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111E"/>
    <w:rsid w:val="003B248F"/>
    <w:rsid w:val="003B2B79"/>
    <w:rsid w:val="003B2C70"/>
    <w:rsid w:val="003B2EFF"/>
    <w:rsid w:val="003B3171"/>
    <w:rsid w:val="003B332F"/>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819"/>
    <w:rsid w:val="003B69F5"/>
    <w:rsid w:val="003B6FCB"/>
    <w:rsid w:val="003B7020"/>
    <w:rsid w:val="003B70B3"/>
    <w:rsid w:val="003B7294"/>
    <w:rsid w:val="003B76FE"/>
    <w:rsid w:val="003C0052"/>
    <w:rsid w:val="003C009A"/>
    <w:rsid w:val="003C07D7"/>
    <w:rsid w:val="003C092B"/>
    <w:rsid w:val="003C0985"/>
    <w:rsid w:val="003C10B8"/>
    <w:rsid w:val="003C21F4"/>
    <w:rsid w:val="003C257A"/>
    <w:rsid w:val="003C29B7"/>
    <w:rsid w:val="003C2C9D"/>
    <w:rsid w:val="003C3B73"/>
    <w:rsid w:val="003C3D6E"/>
    <w:rsid w:val="003C3F8B"/>
    <w:rsid w:val="003C4213"/>
    <w:rsid w:val="003C4250"/>
    <w:rsid w:val="003C44DB"/>
    <w:rsid w:val="003C4F25"/>
    <w:rsid w:val="003C5722"/>
    <w:rsid w:val="003C64CD"/>
    <w:rsid w:val="003C6580"/>
    <w:rsid w:val="003C680F"/>
    <w:rsid w:val="003C6CCB"/>
    <w:rsid w:val="003C6DA9"/>
    <w:rsid w:val="003C7855"/>
    <w:rsid w:val="003D0240"/>
    <w:rsid w:val="003D06A7"/>
    <w:rsid w:val="003D0868"/>
    <w:rsid w:val="003D09DA"/>
    <w:rsid w:val="003D0AF2"/>
    <w:rsid w:val="003D0D75"/>
    <w:rsid w:val="003D140B"/>
    <w:rsid w:val="003D1F11"/>
    <w:rsid w:val="003D22AC"/>
    <w:rsid w:val="003D2339"/>
    <w:rsid w:val="003D26AA"/>
    <w:rsid w:val="003D299A"/>
    <w:rsid w:val="003D2E43"/>
    <w:rsid w:val="003D39F4"/>
    <w:rsid w:val="003D3AD8"/>
    <w:rsid w:val="003D3EE3"/>
    <w:rsid w:val="003D4350"/>
    <w:rsid w:val="003D4409"/>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3D4"/>
    <w:rsid w:val="003E44DC"/>
    <w:rsid w:val="003E4CDB"/>
    <w:rsid w:val="003E5828"/>
    <w:rsid w:val="003E6289"/>
    <w:rsid w:val="003E6592"/>
    <w:rsid w:val="003E668B"/>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4306"/>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DC4"/>
    <w:rsid w:val="00402F2C"/>
    <w:rsid w:val="0040303D"/>
    <w:rsid w:val="004034E6"/>
    <w:rsid w:val="0040379F"/>
    <w:rsid w:val="00403805"/>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1230"/>
    <w:rsid w:val="004116C3"/>
    <w:rsid w:val="004118C9"/>
    <w:rsid w:val="00411D47"/>
    <w:rsid w:val="0041249C"/>
    <w:rsid w:val="00412614"/>
    <w:rsid w:val="00412630"/>
    <w:rsid w:val="00412697"/>
    <w:rsid w:val="00412C50"/>
    <w:rsid w:val="00413369"/>
    <w:rsid w:val="00413AC6"/>
    <w:rsid w:val="00413EE2"/>
    <w:rsid w:val="00413FF3"/>
    <w:rsid w:val="00414598"/>
    <w:rsid w:val="004145AE"/>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A3B"/>
    <w:rsid w:val="00436D7C"/>
    <w:rsid w:val="004371AB"/>
    <w:rsid w:val="00437895"/>
    <w:rsid w:val="00437D5A"/>
    <w:rsid w:val="00437E77"/>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78FA"/>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1CFE"/>
    <w:rsid w:val="00462274"/>
    <w:rsid w:val="004622A1"/>
    <w:rsid w:val="004622D0"/>
    <w:rsid w:val="00462380"/>
    <w:rsid w:val="00462420"/>
    <w:rsid w:val="0046260A"/>
    <w:rsid w:val="00462AE4"/>
    <w:rsid w:val="00462B09"/>
    <w:rsid w:val="00462B31"/>
    <w:rsid w:val="00463337"/>
    <w:rsid w:val="00463448"/>
    <w:rsid w:val="00463687"/>
    <w:rsid w:val="004636FA"/>
    <w:rsid w:val="00463DEC"/>
    <w:rsid w:val="0046400B"/>
    <w:rsid w:val="004641A0"/>
    <w:rsid w:val="0046434B"/>
    <w:rsid w:val="00464897"/>
    <w:rsid w:val="00464A82"/>
    <w:rsid w:val="00464BD1"/>
    <w:rsid w:val="00464EE0"/>
    <w:rsid w:val="0046512B"/>
    <w:rsid w:val="00465180"/>
    <w:rsid w:val="00465235"/>
    <w:rsid w:val="004653F0"/>
    <w:rsid w:val="00465467"/>
    <w:rsid w:val="00465573"/>
    <w:rsid w:val="00465EB3"/>
    <w:rsid w:val="0047041E"/>
    <w:rsid w:val="00470628"/>
    <w:rsid w:val="00470750"/>
    <w:rsid w:val="00470893"/>
    <w:rsid w:val="00470A2E"/>
    <w:rsid w:val="0047166D"/>
    <w:rsid w:val="00471856"/>
    <w:rsid w:val="00471DB0"/>
    <w:rsid w:val="00471FAB"/>
    <w:rsid w:val="0047253B"/>
    <w:rsid w:val="00472709"/>
    <w:rsid w:val="00472ACB"/>
    <w:rsid w:val="004735E8"/>
    <w:rsid w:val="00473631"/>
    <w:rsid w:val="004736A3"/>
    <w:rsid w:val="004737D3"/>
    <w:rsid w:val="00473EE6"/>
    <w:rsid w:val="00473F5F"/>
    <w:rsid w:val="0047410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C93"/>
    <w:rsid w:val="00482F79"/>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AFE"/>
    <w:rsid w:val="00492CCD"/>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D2"/>
    <w:rsid w:val="004B6FFB"/>
    <w:rsid w:val="004B7311"/>
    <w:rsid w:val="004B795F"/>
    <w:rsid w:val="004B7BA5"/>
    <w:rsid w:val="004B7C6F"/>
    <w:rsid w:val="004C0346"/>
    <w:rsid w:val="004C088A"/>
    <w:rsid w:val="004C0B5B"/>
    <w:rsid w:val="004C0C5C"/>
    <w:rsid w:val="004C0F99"/>
    <w:rsid w:val="004C12A0"/>
    <w:rsid w:val="004C130D"/>
    <w:rsid w:val="004C13B9"/>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70"/>
    <w:rsid w:val="004D2E57"/>
    <w:rsid w:val="004D30AD"/>
    <w:rsid w:val="004D3251"/>
    <w:rsid w:val="004D3403"/>
    <w:rsid w:val="004D39CA"/>
    <w:rsid w:val="004D40D5"/>
    <w:rsid w:val="004D4968"/>
    <w:rsid w:val="004D4A8A"/>
    <w:rsid w:val="004D4ABF"/>
    <w:rsid w:val="004D4CB6"/>
    <w:rsid w:val="004D50CC"/>
    <w:rsid w:val="004D58D1"/>
    <w:rsid w:val="004D5F02"/>
    <w:rsid w:val="004D602D"/>
    <w:rsid w:val="004D65BA"/>
    <w:rsid w:val="004D6708"/>
    <w:rsid w:val="004D68C0"/>
    <w:rsid w:val="004D70E1"/>
    <w:rsid w:val="004D710C"/>
    <w:rsid w:val="004E0033"/>
    <w:rsid w:val="004E00F1"/>
    <w:rsid w:val="004E03BE"/>
    <w:rsid w:val="004E071E"/>
    <w:rsid w:val="004E0CD0"/>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639"/>
    <w:rsid w:val="004F4E53"/>
    <w:rsid w:val="004F5029"/>
    <w:rsid w:val="004F56BB"/>
    <w:rsid w:val="004F58AB"/>
    <w:rsid w:val="004F5D4A"/>
    <w:rsid w:val="004F5D6E"/>
    <w:rsid w:val="004F5EBB"/>
    <w:rsid w:val="004F6142"/>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0EFA"/>
    <w:rsid w:val="00521294"/>
    <w:rsid w:val="00521ABC"/>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088"/>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71A3"/>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EC"/>
    <w:rsid w:val="00556680"/>
    <w:rsid w:val="005567BF"/>
    <w:rsid w:val="005569D2"/>
    <w:rsid w:val="00557089"/>
    <w:rsid w:val="005570E7"/>
    <w:rsid w:val="0055718D"/>
    <w:rsid w:val="00557464"/>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D94"/>
    <w:rsid w:val="00565DA2"/>
    <w:rsid w:val="00565E25"/>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6C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2F9E"/>
    <w:rsid w:val="00583147"/>
    <w:rsid w:val="00583503"/>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87EA1"/>
    <w:rsid w:val="00590060"/>
    <w:rsid w:val="005909AD"/>
    <w:rsid w:val="00590BF6"/>
    <w:rsid w:val="00590CDA"/>
    <w:rsid w:val="00591B9C"/>
    <w:rsid w:val="00591E8B"/>
    <w:rsid w:val="00592160"/>
    <w:rsid w:val="005923C9"/>
    <w:rsid w:val="0059284F"/>
    <w:rsid w:val="00592E68"/>
    <w:rsid w:val="00592F2C"/>
    <w:rsid w:val="0059323A"/>
    <w:rsid w:val="005932D4"/>
    <w:rsid w:val="00593447"/>
    <w:rsid w:val="00593913"/>
    <w:rsid w:val="00594131"/>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588D"/>
    <w:rsid w:val="005A59CF"/>
    <w:rsid w:val="005A6223"/>
    <w:rsid w:val="005A6A3A"/>
    <w:rsid w:val="005A6E87"/>
    <w:rsid w:val="005A7F72"/>
    <w:rsid w:val="005B0459"/>
    <w:rsid w:val="005B0A7D"/>
    <w:rsid w:val="005B0E56"/>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2144"/>
    <w:rsid w:val="005C247C"/>
    <w:rsid w:val="005C2D0E"/>
    <w:rsid w:val="005C2D32"/>
    <w:rsid w:val="005C2DAD"/>
    <w:rsid w:val="005C3118"/>
    <w:rsid w:val="005C376D"/>
    <w:rsid w:val="005C3EBA"/>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66F1"/>
    <w:rsid w:val="005E6AFB"/>
    <w:rsid w:val="005E6D39"/>
    <w:rsid w:val="005E7698"/>
    <w:rsid w:val="005E7849"/>
    <w:rsid w:val="005E7A8C"/>
    <w:rsid w:val="005E7F15"/>
    <w:rsid w:val="005F06FA"/>
    <w:rsid w:val="005F06FD"/>
    <w:rsid w:val="005F07FD"/>
    <w:rsid w:val="005F0B4C"/>
    <w:rsid w:val="005F0B53"/>
    <w:rsid w:val="005F0C46"/>
    <w:rsid w:val="005F1069"/>
    <w:rsid w:val="005F1392"/>
    <w:rsid w:val="005F1579"/>
    <w:rsid w:val="005F1FE4"/>
    <w:rsid w:val="005F2517"/>
    <w:rsid w:val="005F2528"/>
    <w:rsid w:val="005F369B"/>
    <w:rsid w:val="005F3955"/>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873"/>
    <w:rsid w:val="00600AAB"/>
    <w:rsid w:val="00600B6C"/>
    <w:rsid w:val="00601072"/>
    <w:rsid w:val="00601097"/>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AEB"/>
    <w:rsid w:val="00623E4E"/>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53D0"/>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9E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5B1D"/>
    <w:rsid w:val="006561FF"/>
    <w:rsid w:val="00656527"/>
    <w:rsid w:val="00656630"/>
    <w:rsid w:val="00656D6F"/>
    <w:rsid w:val="00657005"/>
    <w:rsid w:val="006572FB"/>
    <w:rsid w:val="00657495"/>
    <w:rsid w:val="006574D4"/>
    <w:rsid w:val="006578D9"/>
    <w:rsid w:val="00657B4D"/>
    <w:rsid w:val="00657C1F"/>
    <w:rsid w:val="00657C28"/>
    <w:rsid w:val="00657F67"/>
    <w:rsid w:val="006605DC"/>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8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503D"/>
    <w:rsid w:val="006B5111"/>
    <w:rsid w:val="006B6346"/>
    <w:rsid w:val="006B6AD0"/>
    <w:rsid w:val="006B6BA3"/>
    <w:rsid w:val="006B6C83"/>
    <w:rsid w:val="006B6C95"/>
    <w:rsid w:val="006B7121"/>
    <w:rsid w:val="006B725C"/>
    <w:rsid w:val="006B7864"/>
    <w:rsid w:val="006C03B2"/>
    <w:rsid w:val="006C09DD"/>
    <w:rsid w:val="006C0B07"/>
    <w:rsid w:val="006C0B08"/>
    <w:rsid w:val="006C1142"/>
    <w:rsid w:val="006C1226"/>
    <w:rsid w:val="006C1A29"/>
    <w:rsid w:val="006C1AE9"/>
    <w:rsid w:val="006C1B3F"/>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4DFC"/>
    <w:rsid w:val="006E512D"/>
    <w:rsid w:val="006E5477"/>
    <w:rsid w:val="006E554E"/>
    <w:rsid w:val="006E5949"/>
    <w:rsid w:val="006E5AFE"/>
    <w:rsid w:val="006E696A"/>
    <w:rsid w:val="006E6AD1"/>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25B"/>
    <w:rsid w:val="007056ED"/>
    <w:rsid w:val="007057AE"/>
    <w:rsid w:val="007057F6"/>
    <w:rsid w:val="00705B1D"/>
    <w:rsid w:val="00705B56"/>
    <w:rsid w:val="00705D28"/>
    <w:rsid w:val="0070632C"/>
    <w:rsid w:val="007063B6"/>
    <w:rsid w:val="00706AC2"/>
    <w:rsid w:val="0070743B"/>
    <w:rsid w:val="00707748"/>
    <w:rsid w:val="00707B13"/>
    <w:rsid w:val="00707CC2"/>
    <w:rsid w:val="00707EC9"/>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51"/>
    <w:rsid w:val="00717267"/>
    <w:rsid w:val="00717692"/>
    <w:rsid w:val="00717890"/>
    <w:rsid w:val="007178EE"/>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E65"/>
    <w:rsid w:val="007511A5"/>
    <w:rsid w:val="00751ED5"/>
    <w:rsid w:val="00751F76"/>
    <w:rsid w:val="00752497"/>
    <w:rsid w:val="007524E2"/>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E5B"/>
    <w:rsid w:val="00775B1D"/>
    <w:rsid w:val="00775BAA"/>
    <w:rsid w:val="00775D7C"/>
    <w:rsid w:val="00775EFD"/>
    <w:rsid w:val="00775F11"/>
    <w:rsid w:val="00776351"/>
    <w:rsid w:val="00776679"/>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7FB"/>
    <w:rsid w:val="00794DFE"/>
    <w:rsid w:val="007954AC"/>
    <w:rsid w:val="00795804"/>
    <w:rsid w:val="00795809"/>
    <w:rsid w:val="00795BA6"/>
    <w:rsid w:val="0079601B"/>
    <w:rsid w:val="007962E1"/>
    <w:rsid w:val="0079675E"/>
    <w:rsid w:val="007967DC"/>
    <w:rsid w:val="00796B15"/>
    <w:rsid w:val="00797DAA"/>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22D6"/>
    <w:rsid w:val="007A2888"/>
    <w:rsid w:val="007A2BFF"/>
    <w:rsid w:val="007A2D56"/>
    <w:rsid w:val="007A2F06"/>
    <w:rsid w:val="007A32E9"/>
    <w:rsid w:val="007A3343"/>
    <w:rsid w:val="007A3395"/>
    <w:rsid w:val="007A3505"/>
    <w:rsid w:val="007A3BF2"/>
    <w:rsid w:val="007A4338"/>
    <w:rsid w:val="007A468B"/>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478D"/>
    <w:rsid w:val="007D4838"/>
    <w:rsid w:val="007D4956"/>
    <w:rsid w:val="007D4D97"/>
    <w:rsid w:val="007D4FF2"/>
    <w:rsid w:val="007D5033"/>
    <w:rsid w:val="007D512C"/>
    <w:rsid w:val="007D526F"/>
    <w:rsid w:val="007D56FB"/>
    <w:rsid w:val="007D5CFA"/>
    <w:rsid w:val="007D606D"/>
    <w:rsid w:val="007D6310"/>
    <w:rsid w:val="007D64AA"/>
    <w:rsid w:val="007D6552"/>
    <w:rsid w:val="007D673F"/>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42F2"/>
    <w:rsid w:val="007E48CD"/>
    <w:rsid w:val="007E48E4"/>
    <w:rsid w:val="007E531F"/>
    <w:rsid w:val="007E5634"/>
    <w:rsid w:val="007E56EC"/>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1083"/>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7E"/>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3335"/>
    <w:rsid w:val="008235E4"/>
    <w:rsid w:val="008237B2"/>
    <w:rsid w:val="00823964"/>
    <w:rsid w:val="00823B2A"/>
    <w:rsid w:val="00823F5C"/>
    <w:rsid w:val="00823F61"/>
    <w:rsid w:val="0082412D"/>
    <w:rsid w:val="0082449E"/>
    <w:rsid w:val="008247A4"/>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6FA"/>
    <w:rsid w:val="0083179C"/>
    <w:rsid w:val="00832142"/>
    <w:rsid w:val="00832C18"/>
    <w:rsid w:val="00832CAF"/>
    <w:rsid w:val="0083311A"/>
    <w:rsid w:val="0083400F"/>
    <w:rsid w:val="0083417A"/>
    <w:rsid w:val="00834512"/>
    <w:rsid w:val="008349E7"/>
    <w:rsid w:val="00834B30"/>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4B0"/>
    <w:rsid w:val="008434BD"/>
    <w:rsid w:val="00843522"/>
    <w:rsid w:val="0084387F"/>
    <w:rsid w:val="00843AFD"/>
    <w:rsid w:val="00843B2C"/>
    <w:rsid w:val="00843CF8"/>
    <w:rsid w:val="008441DC"/>
    <w:rsid w:val="008444F8"/>
    <w:rsid w:val="008445D2"/>
    <w:rsid w:val="00844750"/>
    <w:rsid w:val="00844864"/>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2"/>
    <w:rsid w:val="00876AC7"/>
    <w:rsid w:val="0087700C"/>
    <w:rsid w:val="0087763F"/>
    <w:rsid w:val="00877974"/>
    <w:rsid w:val="00877C45"/>
    <w:rsid w:val="00877C57"/>
    <w:rsid w:val="00877FA3"/>
    <w:rsid w:val="008804C9"/>
    <w:rsid w:val="00880D84"/>
    <w:rsid w:val="008810DF"/>
    <w:rsid w:val="008810FA"/>
    <w:rsid w:val="0088176C"/>
    <w:rsid w:val="00881842"/>
    <w:rsid w:val="008819A5"/>
    <w:rsid w:val="00881DF9"/>
    <w:rsid w:val="00881F28"/>
    <w:rsid w:val="008820BE"/>
    <w:rsid w:val="008829DC"/>
    <w:rsid w:val="00882BB1"/>
    <w:rsid w:val="00883004"/>
    <w:rsid w:val="00883685"/>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3B9"/>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FA7"/>
    <w:rsid w:val="008A0173"/>
    <w:rsid w:val="008A0339"/>
    <w:rsid w:val="008A03A0"/>
    <w:rsid w:val="008A0473"/>
    <w:rsid w:val="008A04C7"/>
    <w:rsid w:val="008A0964"/>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EED"/>
    <w:rsid w:val="00907071"/>
    <w:rsid w:val="0090715C"/>
    <w:rsid w:val="009076AC"/>
    <w:rsid w:val="00907BEE"/>
    <w:rsid w:val="00907F13"/>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D07"/>
    <w:rsid w:val="009370A6"/>
    <w:rsid w:val="009373C5"/>
    <w:rsid w:val="00937AC7"/>
    <w:rsid w:val="00937B03"/>
    <w:rsid w:val="00937D15"/>
    <w:rsid w:val="00940248"/>
    <w:rsid w:val="009404ED"/>
    <w:rsid w:val="00940519"/>
    <w:rsid w:val="00940A5D"/>
    <w:rsid w:val="00940BCB"/>
    <w:rsid w:val="00940BD7"/>
    <w:rsid w:val="00940D85"/>
    <w:rsid w:val="00940DF4"/>
    <w:rsid w:val="00940FB5"/>
    <w:rsid w:val="00941259"/>
    <w:rsid w:val="0094148B"/>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AA5"/>
    <w:rsid w:val="00946C4B"/>
    <w:rsid w:val="00947380"/>
    <w:rsid w:val="009478ED"/>
    <w:rsid w:val="009479E5"/>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EA"/>
    <w:rsid w:val="0096691D"/>
    <w:rsid w:val="00966EC4"/>
    <w:rsid w:val="0096766C"/>
    <w:rsid w:val="00967851"/>
    <w:rsid w:val="00967B96"/>
    <w:rsid w:val="00967D2D"/>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51BA"/>
    <w:rsid w:val="0097539E"/>
    <w:rsid w:val="0097577E"/>
    <w:rsid w:val="00975910"/>
    <w:rsid w:val="009765CF"/>
    <w:rsid w:val="00976989"/>
    <w:rsid w:val="00976D1B"/>
    <w:rsid w:val="00976FFB"/>
    <w:rsid w:val="009770BB"/>
    <w:rsid w:val="00977852"/>
    <w:rsid w:val="009778AB"/>
    <w:rsid w:val="00980161"/>
    <w:rsid w:val="00980403"/>
    <w:rsid w:val="009804CB"/>
    <w:rsid w:val="009809DD"/>
    <w:rsid w:val="00980ACA"/>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3E1"/>
    <w:rsid w:val="0098481E"/>
    <w:rsid w:val="00984C7C"/>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E06"/>
    <w:rsid w:val="00991F39"/>
    <w:rsid w:val="00992624"/>
    <w:rsid w:val="009927C4"/>
    <w:rsid w:val="009929D3"/>
    <w:rsid w:val="00992A4E"/>
    <w:rsid w:val="00992F78"/>
    <w:rsid w:val="00993075"/>
    <w:rsid w:val="009930C0"/>
    <w:rsid w:val="0099324C"/>
    <w:rsid w:val="00993627"/>
    <w:rsid w:val="0099367D"/>
    <w:rsid w:val="009936F0"/>
    <w:rsid w:val="00994D59"/>
    <w:rsid w:val="009951AB"/>
    <w:rsid w:val="00995252"/>
    <w:rsid w:val="0099531F"/>
    <w:rsid w:val="00995360"/>
    <w:rsid w:val="009954AD"/>
    <w:rsid w:val="009966F8"/>
    <w:rsid w:val="00996A8B"/>
    <w:rsid w:val="00996CD4"/>
    <w:rsid w:val="00996E42"/>
    <w:rsid w:val="00996FB0"/>
    <w:rsid w:val="0099731A"/>
    <w:rsid w:val="009975D0"/>
    <w:rsid w:val="009979D6"/>
    <w:rsid w:val="00997CA3"/>
    <w:rsid w:val="00997D91"/>
    <w:rsid w:val="009A0212"/>
    <w:rsid w:val="009A031F"/>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A9"/>
    <w:rsid w:val="009A4D31"/>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128"/>
    <w:rsid w:val="009B3685"/>
    <w:rsid w:val="009B3745"/>
    <w:rsid w:val="009B3C79"/>
    <w:rsid w:val="009B3D47"/>
    <w:rsid w:val="009B4250"/>
    <w:rsid w:val="009B4821"/>
    <w:rsid w:val="009B4C1C"/>
    <w:rsid w:val="009B4C24"/>
    <w:rsid w:val="009B52A1"/>
    <w:rsid w:val="009B53A0"/>
    <w:rsid w:val="009B5821"/>
    <w:rsid w:val="009B70E9"/>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0CB2"/>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78C"/>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A0018E"/>
    <w:rsid w:val="00A002C2"/>
    <w:rsid w:val="00A00A76"/>
    <w:rsid w:val="00A00B60"/>
    <w:rsid w:val="00A00F48"/>
    <w:rsid w:val="00A01006"/>
    <w:rsid w:val="00A01DAC"/>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86F"/>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3243"/>
    <w:rsid w:val="00A23590"/>
    <w:rsid w:val="00A23919"/>
    <w:rsid w:val="00A23921"/>
    <w:rsid w:val="00A23E0D"/>
    <w:rsid w:val="00A24002"/>
    <w:rsid w:val="00A245E1"/>
    <w:rsid w:val="00A2470A"/>
    <w:rsid w:val="00A2481C"/>
    <w:rsid w:val="00A24CC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3B0"/>
    <w:rsid w:val="00A334F0"/>
    <w:rsid w:val="00A3393A"/>
    <w:rsid w:val="00A33D5C"/>
    <w:rsid w:val="00A34685"/>
    <w:rsid w:val="00A34DA0"/>
    <w:rsid w:val="00A35A0B"/>
    <w:rsid w:val="00A35BD0"/>
    <w:rsid w:val="00A35FC8"/>
    <w:rsid w:val="00A362CB"/>
    <w:rsid w:val="00A370B5"/>
    <w:rsid w:val="00A37353"/>
    <w:rsid w:val="00A37413"/>
    <w:rsid w:val="00A3747D"/>
    <w:rsid w:val="00A3758D"/>
    <w:rsid w:val="00A37A59"/>
    <w:rsid w:val="00A37CFA"/>
    <w:rsid w:val="00A37E05"/>
    <w:rsid w:val="00A40531"/>
    <w:rsid w:val="00A40660"/>
    <w:rsid w:val="00A40865"/>
    <w:rsid w:val="00A40C1E"/>
    <w:rsid w:val="00A41798"/>
    <w:rsid w:val="00A41821"/>
    <w:rsid w:val="00A41C5C"/>
    <w:rsid w:val="00A41EF0"/>
    <w:rsid w:val="00A422A2"/>
    <w:rsid w:val="00A42493"/>
    <w:rsid w:val="00A42659"/>
    <w:rsid w:val="00A42A23"/>
    <w:rsid w:val="00A42B87"/>
    <w:rsid w:val="00A42F87"/>
    <w:rsid w:val="00A43104"/>
    <w:rsid w:val="00A4339C"/>
    <w:rsid w:val="00A4392A"/>
    <w:rsid w:val="00A4424E"/>
    <w:rsid w:val="00A442E8"/>
    <w:rsid w:val="00A443F4"/>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1DA7"/>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77542"/>
    <w:rsid w:val="00A806D6"/>
    <w:rsid w:val="00A80A1A"/>
    <w:rsid w:val="00A80CC4"/>
    <w:rsid w:val="00A811FE"/>
    <w:rsid w:val="00A8135C"/>
    <w:rsid w:val="00A81633"/>
    <w:rsid w:val="00A81694"/>
    <w:rsid w:val="00A81877"/>
    <w:rsid w:val="00A81D9B"/>
    <w:rsid w:val="00A8221B"/>
    <w:rsid w:val="00A82508"/>
    <w:rsid w:val="00A82C1E"/>
    <w:rsid w:val="00A831F0"/>
    <w:rsid w:val="00A83309"/>
    <w:rsid w:val="00A83BF1"/>
    <w:rsid w:val="00A83CA0"/>
    <w:rsid w:val="00A84298"/>
    <w:rsid w:val="00A844CE"/>
    <w:rsid w:val="00A84527"/>
    <w:rsid w:val="00A8455B"/>
    <w:rsid w:val="00A84EBF"/>
    <w:rsid w:val="00A85237"/>
    <w:rsid w:val="00A8523D"/>
    <w:rsid w:val="00A85661"/>
    <w:rsid w:val="00A85BE0"/>
    <w:rsid w:val="00A85FFF"/>
    <w:rsid w:val="00A86024"/>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D"/>
    <w:rsid w:val="00A97EF9"/>
    <w:rsid w:val="00AA0003"/>
    <w:rsid w:val="00AA0D9A"/>
    <w:rsid w:val="00AA1264"/>
    <w:rsid w:val="00AA158B"/>
    <w:rsid w:val="00AA1740"/>
    <w:rsid w:val="00AA1D12"/>
    <w:rsid w:val="00AA1EEC"/>
    <w:rsid w:val="00AA1FF7"/>
    <w:rsid w:val="00AA210C"/>
    <w:rsid w:val="00AA27DC"/>
    <w:rsid w:val="00AA29F2"/>
    <w:rsid w:val="00AA2CD8"/>
    <w:rsid w:val="00AA30A2"/>
    <w:rsid w:val="00AA3745"/>
    <w:rsid w:val="00AA461D"/>
    <w:rsid w:val="00AA4A96"/>
    <w:rsid w:val="00AA4C09"/>
    <w:rsid w:val="00AA4F41"/>
    <w:rsid w:val="00AA5584"/>
    <w:rsid w:val="00AA576F"/>
    <w:rsid w:val="00AA6026"/>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5E1"/>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1C3E"/>
    <w:rsid w:val="00AC21BA"/>
    <w:rsid w:val="00AC22C7"/>
    <w:rsid w:val="00AC2535"/>
    <w:rsid w:val="00AC2719"/>
    <w:rsid w:val="00AC2D4E"/>
    <w:rsid w:val="00AC3084"/>
    <w:rsid w:val="00AC3431"/>
    <w:rsid w:val="00AC37B9"/>
    <w:rsid w:val="00AC38E9"/>
    <w:rsid w:val="00AC3D85"/>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3DEF"/>
    <w:rsid w:val="00AD4597"/>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E7DA5"/>
    <w:rsid w:val="00AF045F"/>
    <w:rsid w:val="00AF0FFE"/>
    <w:rsid w:val="00AF1414"/>
    <w:rsid w:val="00AF15C3"/>
    <w:rsid w:val="00AF19CD"/>
    <w:rsid w:val="00AF1A4A"/>
    <w:rsid w:val="00AF24F9"/>
    <w:rsid w:val="00AF25F3"/>
    <w:rsid w:val="00AF2799"/>
    <w:rsid w:val="00AF28B0"/>
    <w:rsid w:val="00AF2DED"/>
    <w:rsid w:val="00AF3560"/>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44A"/>
    <w:rsid w:val="00B01CC2"/>
    <w:rsid w:val="00B01F0D"/>
    <w:rsid w:val="00B02014"/>
    <w:rsid w:val="00B0226D"/>
    <w:rsid w:val="00B023FC"/>
    <w:rsid w:val="00B0250A"/>
    <w:rsid w:val="00B02A4C"/>
    <w:rsid w:val="00B02AD0"/>
    <w:rsid w:val="00B03101"/>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88E"/>
    <w:rsid w:val="00B066BC"/>
    <w:rsid w:val="00B06771"/>
    <w:rsid w:val="00B06C77"/>
    <w:rsid w:val="00B06FF3"/>
    <w:rsid w:val="00B07390"/>
    <w:rsid w:val="00B0759A"/>
    <w:rsid w:val="00B075EC"/>
    <w:rsid w:val="00B076A7"/>
    <w:rsid w:val="00B076C4"/>
    <w:rsid w:val="00B07CBE"/>
    <w:rsid w:val="00B108ED"/>
    <w:rsid w:val="00B10931"/>
    <w:rsid w:val="00B1093D"/>
    <w:rsid w:val="00B10BE8"/>
    <w:rsid w:val="00B10DF3"/>
    <w:rsid w:val="00B10FA8"/>
    <w:rsid w:val="00B1167A"/>
    <w:rsid w:val="00B11882"/>
    <w:rsid w:val="00B11E29"/>
    <w:rsid w:val="00B11E38"/>
    <w:rsid w:val="00B12603"/>
    <w:rsid w:val="00B12A8C"/>
    <w:rsid w:val="00B12F34"/>
    <w:rsid w:val="00B13003"/>
    <w:rsid w:val="00B1310F"/>
    <w:rsid w:val="00B137BE"/>
    <w:rsid w:val="00B13829"/>
    <w:rsid w:val="00B13F1F"/>
    <w:rsid w:val="00B14251"/>
    <w:rsid w:val="00B147CC"/>
    <w:rsid w:val="00B15141"/>
    <w:rsid w:val="00B151C6"/>
    <w:rsid w:val="00B15B44"/>
    <w:rsid w:val="00B16815"/>
    <w:rsid w:val="00B16B5F"/>
    <w:rsid w:val="00B16D08"/>
    <w:rsid w:val="00B1736C"/>
    <w:rsid w:val="00B17744"/>
    <w:rsid w:val="00B17B8D"/>
    <w:rsid w:val="00B17D3E"/>
    <w:rsid w:val="00B20057"/>
    <w:rsid w:val="00B2043A"/>
    <w:rsid w:val="00B20778"/>
    <w:rsid w:val="00B20AFC"/>
    <w:rsid w:val="00B20CD7"/>
    <w:rsid w:val="00B20E2B"/>
    <w:rsid w:val="00B20F3D"/>
    <w:rsid w:val="00B21016"/>
    <w:rsid w:val="00B21423"/>
    <w:rsid w:val="00B215F9"/>
    <w:rsid w:val="00B217CD"/>
    <w:rsid w:val="00B21B67"/>
    <w:rsid w:val="00B21CA7"/>
    <w:rsid w:val="00B22472"/>
    <w:rsid w:val="00B232CB"/>
    <w:rsid w:val="00B233A9"/>
    <w:rsid w:val="00B237E7"/>
    <w:rsid w:val="00B239CC"/>
    <w:rsid w:val="00B23C57"/>
    <w:rsid w:val="00B23E2E"/>
    <w:rsid w:val="00B243FF"/>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E5F"/>
    <w:rsid w:val="00B322A7"/>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7188"/>
    <w:rsid w:val="00B4003E"/>
    <w:rsid w:val="00B401FB"/>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70C"/>
    <w:rsid w:val="00B53767"/>
    <w:rsid w:val="00B5377A"/>
    <w:rsid w:val="00B538FF"/>
    <w:rsid w:val="00B53E00"/>
    <w:rsid w:val="00B53EF5"/>
    <w:rsid w:val="00B542BA"/>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96A"/>
    <w:rsid w:val="00B66E99"/>
    <w:rsid w:val="00B66FFC"/>
    <w:rsid w:val="00B6796C"/>
    <w:rsid w:val="00B67B2B"/>
    <w:rsid w:val="00B7021B"/>
    <w:rsid w:val="00B70333"/>
    <w:rsid w:val="00B70995"/>
    <w:rsid w:val="00B70A49"/>
    <w:rsid w:val="00B70EDB"/>
    <w:rsid w:val="00B71319"/>
    <w:rsid w:val="00B71A5D"/>
    <w:rsid w:val="00B71D35"/>
    <w:rsid w:val="00B71FBB"/>
    <w:rsid w:val="00B7273B"/>
    <w:rsid w:val="00B727B8"/>
    <w:rsid w:val="00B73453"/>
    <w:rsid w:val="00B7359C"/>
    <w:rsid w:val="00B737C7"/>
    <w:rsid w:val="00B73E00"/>
    <w:rsid w:val="00B73E31"/>
    <w:rsid w:val="00B74A0D"/>
    <w:rsid w:val="00B74EC0"/>
    <w:rsid w:val="00B75542"/>
    <w:rsid w:val="00B75667"/>
    <w:rsid w:val="00B75A5C"/>
    <w:rsid w:val="00B7646F"/>
    <w:rsid w:val="00B77062"/>
    <w:rsid w:val="00B7709F"/>
    <w:rsid w:val="00B770A1"/>
    <w:rsid w:val="00B77104"/>
    <w:rsid w:val="00B77228"/>
    <w:rsid w:val="00B772FB"/>
    <w:rsid w:val="00B774CC"/>
    <w:rsid w:val="00B774D4"/>
    <w:rsid w:val="00B77605"/>
    <w:rsid w:val="00B77A51"/>
    <w:rsid w:val="00B77B57"/>
    <w:rsid w:val="00B77D8A"/>
    <w:rsid w:val="00B8053A"/>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598"/>
    <w:rsid w:val="00BB1C4F"/>
    <w:rsid w:val="00BB20E7"/>
    <w:rsid w:val="00BB225D"/>
    <w:rsid w:val="00BB277B"/>
    <w:rsid w:val="00BB2835"/>
    <w:rsid w:val="00BB3102"/>
    <w:rsid w:val="00BB31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DBD"/>
    <w:rsid w:val="00C06F8C"/>
    <w:rsid w:val="00C079A4"/>
    <w:rsid w:val="00C07A6C"/>
    <w:rsid w:val="00C07AE3"/>
    <w:rsid w:val="00C07AE4"/>
    <w:rsid w:val="00C07C5C"/>
    <w:rsid w:val="00C1030D"/>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FB"/>
    <w:rsid w:val="00C44F96"/>
    <w:rsid w:val="00C44FF2"/>
    <w:rsid w:val="00C45422"/>
    <w:rsid w:val="00C4587D"/>
    <w:rsid w:val="00C45AF5"/>
    <w:rsid w:val="00C45C66"/>
    <w:rsid w:val="00C46B84"/>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1CD"/>
    <w:rsid w:val="00C5257E"/>
    <w:rsid w:val="00C531B4"/>
    <w:rsid w:val="00C532F9"/>
    <w:rsid w:val="00C53E22"/>
    <w:rsid w:val="00C54075"/>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601EB"/>
    <w:rsid w:val="00C602DB"/>
    <w:rsid w:val="00C60708"/>
    <w:rsid w:val="00C60EC1"/>
    <w:rsid w:val="00C613E1"/>
    <w:rsid w:val="00C619CD"/>
    <w:rsid w:val="00C61B5A"/>
    <w:rsid w:val="00C61BC8"/>
    <w:rsid w:val="00C61D30"/>
    <w:rsid w:val="00C61EE5"/>
    <w:rsid w:val="00C62027"/>
    <w:rsid w:val="00C62997"/>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E7"/>
    <w:rsid w:val="00C65F58"/>
    <w:rsid w:val="00C660B0"/>
    <w:rsid w:val="00C6648D"/>
    <w:rsid w:val="00C66571"/>
    <w:rsid w:val="00C666DB"/>
    <w:rsid w:val="00C667F6"/>
    <w:rsid w:val="00C66BBC"/>
    <w:rsid w:val="00C66C34"/>
    <w:rsid w:val="00C67F34"/>
    <w:rsid w:val="00C70366"/>
    <w:rsid w:val="00C703A9"/>
    <w:rsid w:val="00C7040D"/>
    <w:rsid w:val="00C709D7"/>
    <w:rsid w:val="00C70B8C"/>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C4"/>
    <w:rsid w:val="00C75C9D"/>
    <w:rsid w:val="00C76261"/>
    <w:rsid w:val="00C76952"/>
    <w:rsid w:val="00C7731D"/>
    <w:rsid w:val="00C7799E"/>
    <w:rsid w:val="00C80441"/>
    <w:rsid w:val="00C80547"/>
    <w:rsid w:val="00C80DB5"/>
    <w:rsid w:val="00C8198E"/>
    <w:rsid w:val="00C81B30"/>
    <w:rsid w:val="00C820FD"/>
    <w:rsid w:val="00C8220B"/>
    <w:rsid w:val="00C82387"/>
    <w:rsid w:val="00C823D0"/>
    <w:rsid w:val="00C82AC0"/>
    <w:rsid w:val="00C82F4B"/>
    <w:rsid w:val="00C831FC"/>
    <w:rsid w:val="00C8351F"/>
    <w:rsid w:val="00C8395C"/>
    <w:rsid w:val="00C83D50"/>
    <w:rsid w:val="00C84231"/>
    <w:rsid w:val="00C847C8"/>
    <w:rsid w:val="00C84A83"/>
    <w:rsid w:val="00C84D5A"/>
    <w:rsid w:val="00C85034"/>
    <w:rsid w:val="00C8534D"/>
    <w:rsid w:val="00C8547F"/>
    <w:rsid w:val="00C85F12"/>
    <w:rsid w:val="00C86345"/>
    <w:rsid w:val="00C86379"/>
    <w:rsid w:val="00C864DB"/>
    <w:rsid w:val="00C8669B"/>
    <w:rsid w:val="00C86A6A"/>
    <w:rsid w:val="00C870BA"/>
    <w:rsid w:val="00C872A0"/>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2E9"/>
    <w:rsid w:val="00CA3E51"/>
    <w:rsid w:val="00CA4556"/>
    <w:rsid w:val="00CA475D"/>
    <w:rsid w:val="00CA49C0"/>
    <w:rsid w:val="00CA4A24"/>
    <w:rsid w:val="00CA4A3F"/>
    <w:rsid w:val="00CA4C14"/>
    <w:rsid w:val="00CA4F58"/>
    <w:rsid w:val="00CA51A0"/>
    <w:rsid w:val="00CA5842"/>
    <w:rsid w:val="00CA5DA3"/>
    <w:rsid w:val="00CA6164"/>
    <w:rsid w:val="00CA6BDF"/>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80A"/>
    <w:rsid w:val="00CB4FA5"/>
    <w:rsid w:val="00CB5008"/>
    <w:rsid w:val="00CB5185"/>
    <w:rsid w:val="00CB58AE"/>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7F5"/>
    <w:rsid w:val="00CC2D18"/>
    <w:rsid w:val="00CC2EFE"/>
    <w:rsid w:val="00CC32B0"/>
    <w:rsid w:val="00CC3763"/>
    <w:rsid w:val="00CC3D8D"/>
    <w:rsid w:val="00CC3E8C"/>
    <w:rsid w:val="00CC400F"/>
    <w:rsid w:val="00CC4365"/>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B87"/>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1F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D7B0B"/>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06"/>
    <w:rsid w:val="00CF2639"/>
    <w:rsid w:val="00CF2EF5"/>
    <w:rsid w:val="00CF2FBF"/>
    <w:rsid w:val="00CF33BA"/>
    <w:rsid w:val="00CF3E2B"/>
    <w:rsid w:val="00CF3F01"/>
    <w:rsid w:val="00CF4050"/>
    <w:rsid w:val="00CF41AE"/>
    <w:rsid w:val="00CF4313"/>
    <w:rsid w:val="00CF495B"/>
    <w:rsid w:val="00CF4B3B"/>
    <w:rsid w:val="00CF4F02"/>
    <w:rsid w:val="00CF4F88"/>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F9F"/>
    <w:rsid w:val="00D14204"/>
    <w:rsid w:val="00D14A21"/>
    <w:rsid w:val="00D1552A"/>
    <w:rsid w:val="00D15D9D"/>
    <w:rsid w:val="00D1624D"/>
    <w:rsid w:val="00D16440"/>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ADA"/>
    <w:rsid w:val="00D30C46"/>
    <w:rsid w:val="00D30CF6"/>
    <w:rsid w:val="00D30FC7"/>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837"/>
    <w:rsid w:val="00D65DD6"/>
    <w:rsid w:val="00D66008"/>
    <w:rsid w:val="00D66022"/>
    <w:rsid w:val="00D66065"/>
    <w:rsid w:val="00D66C66"/>
    <w:rsid w:val="00D66DAA"/>
    <w:rsid w:val="00D66E08"/>
    <w:rsid w:val="00D671EF"/>
    <w:rsid w:val="00D674A3"/>
    <w:rsid w:val="00D67888"/>
    <w:rsid w:val="00D7010A"/>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49"/>
    <w:rsid w:val="00D75277"/>
    <w:rsid w:val="00D755A0"/>
    <w:rsid w:val="00D75843"/>
    <w:rsid w:val="00D758A1"/>
    <w:rsid w:val="00D75949"/>
    <w:rsid w:val="00D75E85"/>
    <w:rsid w:val="00D75F68"/>
    <w:rsid w:val="00D761F8"/>
    <w:rsid w:val="00D7643F"/>
    <w:rsid w:val="00D769F0"/>
    <w:rsid w:val="00D76B01"/>
    <w:rsid w:val="00D76E0D"/>
    <w:rsid w:val="00D76E83"/>
    <w:rsid w:val="00D77008"/>
    <w:rsid w:val="00D771C9"/>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2C77"/>
    <w:rsid w:val="00D83401"/>
    <w:rsid w:val="00D83850"/>
    <w:rsid w:val="00D83F09"/>
    <w:rsid w:val="00D84268"/>
    <w:rsid w:val="00D84278"/>
    <w:rsid w:val="00D846C5"/>
    <w:rsid w:val="00D847C6"/>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793D"/>
    <w:rsid w:val="00D97B21"/>
    <w:rsid w:val="00D97D08"/>
    <w:rsid w:val="00D97E86"/>
    <w:rsid w:val="00DA000D"/>
    <w:rsid w:val="00DA015E"/>
    <w:rsid w:val="00DA02EC"/>
    <w:rsid w:val="00DA0A37"/>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59AB"/>
    <w:rsid w:val="00DD5FFE"/>
    <w:rsid w:val="00DD6396"/>
    <w:rsid w:val="00DD6463"/>
    <w:rsid w:val="00DD6C70"/>
    <w:rsid w:val="00DD6DA2"/>
    <w:rsid w:val="00DD761C"/>
    <w:rsid w:val="00DE0171"/>
    <w:rsid w:val="00DE0333"/>
    <w:rsid w:val="00DE0558"/>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FDA"/>
    <w:rsid w:val="00DE61AA"/>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83"/>
    <w:rsid w:val="00DF7226"/>
    <w:rsid w:val="00DF7BC3"/>
    <w:rsid w:val="00E00368"/>
    <w:rsid w:val="00E005F5"/>
    <w:rsid w:val="00E00A07"/>
    <w:rsid w:val="00E00A92"/>
    <w:rsid w:val="00E00B87"/>
    <w:rsid w:val="00E01395"/>
    <w:rsid w:val="00E01514"/>
    <w:rsid w:val="00E019AC"/>
    <w:rsid w:val="00E019EA"/>
    <w:rsid w:val="00E01A5C"/>
    <w:rsid w:val="00E028E6"/>
    <w:rsid w:val="00E02C20"/>
    <w:rsid w:val="00E0324B"/>
    <w:rsid w:val="00E0345F"/>
    <w:rsid w:val="00E03BEA"/>
    <w:rsid w:val="00E03C5A"/>
    <w:rsid w:val="00E0401E"/>
    <w:rsid w:val="00E046C1"/>
    <w:rsid w:val="00E049EC"/>
    <w:rsid w:val="00E05046"/>
    <w:rsid w:val="00E056CB"/>
    <w:rsid w:val="00E05A43"/>
    <w:rsid w:val="00E05BD3"/>
    <w:rsid w:val="00E05EC6"/>
    <w:rsid w:val="00E05FC4"/>
    <w:rsid w:val="00E06977"/>
    <w:rsid w:val="00E06AF4"/>
    <w:rsid w:val="00E06F6A"/>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D56"/>
    <w:rsid w:val="00E24ECA"/>
    <w:rsid w:val="00E250DB"/>
    <w:rsid w:val="00E25328"/>
    <w:rsid w:val="00E25334"/>
    <w:rsid w:val="00E2558D"/>
    <w:rsid w:val="00E259D3"/>
    <w:rsid w:val="00E25DAB"/>
    <w:rsid w:val="00E25F1D"/>
    <w:rsid w:val="00E25F49"/>
    <w:rsid w:val="00E2617B"/>
    <w:rsid w:val="00E2690E"/>
    <w:rsid w:val="00E27081"/>
    <w:rsid w:val="00E272FE"/>
    <w:rsid w:val="00E30063"/>
    <w:rsid w:val="00E30517"/>
    <w:rsid w:val="00E3070A"/>
    <w:rsid w:val="00E3093D"/>
    <w:rsid w:val="00E30A72"/>
    <w:rsid w:val="00E30DB2"/>
    <w:rsid w:val="00E31506"/>
    <w:rsid w:val="00E3200D"/>
    <w:rsid w:val="00E32E0E"/>
    <w:rsid w:val="00E3305B"/>
    <w:rsid w:val="00E33506"/>
    <w:rsid w:val="00E33802"/>
    <w:rsid w:val="00E33814"/>
    <w:rsid w:val="00E339C6"/>
    <w:rsid w:val="00E33B8C"/>
    <w:rsid w:val="00E33E4D"/>
    <w:rsid w:val="00E344E8"/>
    <w:rsid w:val="00E34D51"/>
    <w:rsid w:val="00E34D6F"/>
    <w:rsid w:val="00E34F0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A2C"/>
    <w:rsid w:val="00E41062"/>
    <w:rsid w:val="00E4180B"/>
    <w:rsid w:val="00E41BAC"/>
    <w:rsid w:val="00E42027"/>
    <w:rsid w:val="00E422B2"/>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42C2"/>
    <w:rsid w:val="00E547DF"/>
    <w:rsid w:val="00E54B12"/>
    <w:rsid w:val="00E54D33"/>
    <w:rsid w:val="00E54DC6"/>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8F2"/>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9A7"/>
    <w:rsid w:val="00E73E01"/>
    <w:rsid w:val="00E7449A"/>
    <w:rsid w:val="00E746D0"/>
    <w:rsid w:val="00E74B5A"/>
    <w:rsid w:val="00E74D56"/>
    <w:rsid w:val="00E7524F"/>
    <w:rsid w:val="00E7556D"/>
    <w:rsid w:val="00E75693"/>
    <w:rsid w:val="00E756FB"/>
    <w:rsid w:val="00E75BE4"/>
    <w:rsid w:val="00E76141"/>
    <w:rsid w:val="00E76270"/>
    <w:rsid w:val="00E76B45"/>
    <w:rsid w:val="00E77040"/>
    <w:rsid w:val="00E772C4"/>
    <w:rsid w:val="00E77655"/>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CC1"/>
    <w:rsid w:val="00EA1E46"/>
    <w:rsid w:val="00EA2271"/>
    <w:rsid w:val="00EA2585"/>
    <w:rsid w:val="00EA25AE"/>
    <w:rsid w:val="00EA2730"/>
    <w:rsid w:val="00EA3590"/>
    <w:rsid w:val="00EA3641"/>
    <w:rsid w:val="00EA3D67"/>
    <w:rsid w:val="00EA3DB9"/>
    <w:rsid w:val="00EA3E22"/>
    <w:rsid w:val="00EA475F"/>
    <w:rsid w:val="00EA4A36"/>
    <w:rsid w:val="00EA4C72"/>
    <w:rsid w:val="00EA5029"/>
    <w:rsid w:val="00EA5335"/>
    <w:rsid w:val="00EA5C33"/>
    <w:rsid w:val="00EA630B"/>
    <w:rsid w:val="00EA6E29"/>
    <w:rsid w:val="00EA7A46"/>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EE8"/>
    <w:rsid w:val="00ED0DE8"/>
    <w:rsid w:val="00ED0EB9"/>
    <w:rsid w:val="00ED17D6"/>
    <w:rsid w:val="00ED18C7"/>
    <w:rsid w:val="00ED1A21"/>
    <w:rsid w:val="00ED1A39"/>
    <w:rsid w:val="00ED1CD6"/>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F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5112"/>
    <w:rsid w:val="00EE588E"/>
    <w:rsid w:val="00EE62B4"/>
    <w:rsid w:val="00EE636D"/>
    <w:rsid w:val="00EE66B1"/>
    <w:rsid w:val="00EE6EA1"/>
    <w:rsid w:val="00EE6F69"/>
    <w:rsid w:val="00EE752C"/>
    <w:rsid w:val="00EE79AA"/>
    <w:rsid w:val="00EE7D91"/>
    <w:rsid w:val="00EE7ECE"/>
    <w:rsid w:val="00EE7F2E"/>
    <w:rsid w:val="00EF0299"/>
    <w:rsid w:val="00EF082A"/>
    <w:rsid w:val="00EF0E50"/>
    <w:rsid w:val="00EF1176"/>
    <w:rsid w:val="00EF14E6"/>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1BE"/>
    <w:rsid w:val="00F05EED"/>
    <w:rsid w:val="00F06F02"/>
    <w:rsid w:val="00F07834"/>
    <w:rsid w:val="00F10437"/>
    <w:rsid w:val="00F10465"/>
    <w:rsid w:val="00F10864"/>
    <w:rsid w:val="00F1165E"/>
    <w:rsid w:val="00F11CF5"/>
    <w:rsid w:val="00F12B3D"/>
    <w:rsid w:val="00F12EF0"/>
    <w:rsid w:val="00F13242"/>
    <w:rsid w:val="00F1403E"/>
    <w:rsid w:val="00F140C1"/>
    <w:rsid w:val="00F140FE"/>
    <w:rsid w:val="00F1415B"/>
    <w:rsid w:val="00F14FB4"/>
    <w:rsid w:val="00F165FF"/>
    <w:rsid w:val="00F16958"/>
    <w:rsid w:val="00F16BB1"/>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57"/>
    <w:rsid w:val="00F254E5"/>
    <w:rsid w:val="00F25EB4"/>
    <w:rsid w:val="00F25F62"/>
    <w:rsid w:val="00F2617C"/>
    <w:rsid w:val="00F26334"/>
    <w:rsid w:val="00F2643A"/>
    <w:rsid w:val="00F266E8"/>
    <w:rsid w:val="00F26886"/>
    <w:rsid w:val="00F2699C"/>
    <w:rsid w:val="00F27000"/>
    <w:rsid w:val="00F275F0"/>
    <w:rsid w:val="00F27E0C"/>
    <w:rsid w:val="00F27F00"/>
    <w:rsid w:val="00F3002F"/>
    <w:rsid w:val="00F30353"/>
    <w:rsid w:val="00F3075E"/>
    <w:rsid w:val="00F308C0"/>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1D1F"/>
    <w:rsid w:val="00F41D2D"/>
    <w:rsid w:val="00F42910"/>
    <w:rsid w:val="00F42A6D"/>
    <w:rsid w:val="00F42C2B"/>
    <w:rsid w:val="00F4440C"/>
    <w:rsid w:val="00F44833"/>
    <w:rsid w:val="00F44B90"/>
    <w:rsid w:val="00F450BD"/>
    <w:rsid w:val="00F45B82"/>
    <w:rsid w:val="00F46694"/>
    <w:rsid w:val="00F467B0"/>
    <w:rsid w:val="00F4683A"/>
    <w:rsid w:val="00F469EF"/>
    <w:rsid w:val="00F46E40"/>
    <w:rsid w:val="00F46F8B"/>
    <w:rsid w:val="00F47132"/>
    <w:rsid w:val="00F4772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8A2"/>
    <w:rsid w:val="00F64928"/>
    <w:rsid w:val="00F64966"/>
    <w:rsid w:val="00F64F9D"/>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9"/>
    <w:rsid w:val="00F763DF"/>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2B9"/>
    <w:rsid w:val="00F9358A"/>
    <w:rsid w:val="00F939E7"/>
    <w:rsid w:val="00F93A3D"/>
    <w:rsid w:val="00F93A5F"/>
    <w:rsid w:val="00F94003"/>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7A20"/>
    <w:rsid w:val="00FA7AA6"/>
    <w:rsid w:val="00FA7C04"/>
    <w:rsid w:val="00FB0443"/>
    <w:rsid w:val="00FB0540"/>
    <w:rsid w:val="00FB05C7"/>
    <w:rsid w:val="00FB1309"/>
    <w:rsid w:val="00FB14B4"/>
    <w:rsid w:val="00FB15D5"/>
    <w:rsid w:val="00FB186A"/>
    <w:rsid w:val="00FB18E8"/>
    <w:rsid w:val="00FB19D8"/>
    <w:rsid w:val="00FB22E5"/>
    <w:rsid w:val="00FB2363"/>
    <w:rsid w:val="00FB2864"/>
    <w:rsid w:val="00FB2F94"/>
    <w:rsid w:val="00FB3006"/>
    <w:rsid w:val="00FB3210"/>
    <w:rsid w:val="00FB35B1"/>
    <w:rsid w:val="00FB3CD6"/>
    <w:rsid w:val="00FB3DC0"/>
    <w:rsid w:val="00FB4065"/>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10D2"/>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657"/>
    <w:rsid w:val="00FE0D43"/>
    <w:rsid w:val="00FE15F5"/>
    <w:rsid w:val="00FE1728"/>
    <w:rsid w:val="00FE22FE"/>
    <w:rsid w:val="00FE2454"/>
    <w:rsid w:val="00FE24A0"/>
    <w:rsid w:val="00FE2B7B"/>
    <w:rsid w:val="00FE2BC0"/>
    <w:rsid w:val="00FE3100"/>
    <w:rsid w:val="00FE3735"/>
    <w:rsid w:val="00FE3768"/>
    <w:rsid w:val="00FE3D47"/>
    <w:rsid w:val="00FE425D"/>
    <w:rsid w:val="00FE42C4"/>
    <w:rsid w:val="00FE4702"/>
    <w:rsid w:val="00FE47B0"/>
    <w:rsid w:val="00FE5172"/>
    <w:rsid w:val="00FE5236"/>
    <w:rsid w:val="00FE5977"/>
    <w:rsid w:val="00FE5A97"/>
    <w:rsid w:val="00FE5CB2"/>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uiPriority w:val="99"/>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rsid w:val="005505B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4.wmf"/><Relationship Id="rId42" Type="http://schemas.openxmlformats.org/officeDocument/2006/relationships/oleObject" Target="embeddings/oleObject17.bin"/><Relationship Id="rId47" Type="http://schemas.openxmlformats.org/officeDocument/2006/relationships/oleObject" Target="embeddings/oleObject20.bin"/><Relationship Id="rId63" Type="http://schemas.openxmlformats.org/officeDocument/2006/relationships/oleObject" Target="embeddings/oleObject30.bin"/><Relationship Id="rId68" Type="http://schemas.openxmlformats.org/officeDocument/2006/relationships/oleObject" Target="embeddings/oleObject34.bin"/><Relationship Id="rId84" Type="http://schemas.openxmlformats.org/officeDocument/2006/relationships/footer" Target="footer1.xml"/><Relationship Id="rId16" Type="http://schemas.openxmlformats.org/officeDocument/2006/relationships/image" Target="media/image2.wmf"/><Relationship Id="rId11" Type="http://schemas.openxmlformats.org/officeDocument/2006/relationships/endnotes" Target="endnotes.xml"/><Relationship Id="rId32" Type="http://schemas.openxmlformats.org/officeDocument/2006/relationships/image" Target="media/image9.wmf"/><Relationship Id="rId37" Type="http://schemas.openxmlformats.org/officeDocument/2006/relationships/oleObject" Target="embeddings/oleObject13.bin"/><Relationship Id="rId53" Type="http://schemas.openxmlformats.org/officeDocument/2006/relationships/oleObject" Target="embeddings/oleObject23.bin"/><Relationship Id="rId58" Type="http://schemas.openxmlformats.org/officeDocument/2006/relationships/image" Target="media/image20.emf"/><Relationship Id="rId74" Type="http://schemas.openxmlformats.org/officeDocument/2006/relationships/oleObject" Target="embeddings/oleObject39.bin"/><Relationship Id="rId79" Type="http://schemas.openxmlformats.org/officeDocument/2006/relationships/oleObject" Target="embeddings/oleObject42.bin"/><Relationship Id="rId5" Type="http://schemas.openxmlformats.org/officeDocument/2006/relationships/customXml" Target="../customXml/item5.xml"/><Relationship Id="rId19" Type="http://schemas.openxmlformats.org/officeDocument/2006/relationships/image" Target="media/image3.wmf"/><Relationship Id="rId14" Type="http://schemas.openxmlformats.org/officeDocument/2006/relationships/hyperlink" Target="file:///C:/Users/jsoriaga/Documents/Work/5G%20Standards%203GPP/R1-1801176.zip" TargetMode="External"/><Relationship Id="rId22" Type="http://schemas.openxmlformats.org/officeDocument/2006/relationships/oleObject" Target="embeddings/oleObject5.bin"/><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oleObject" Target="embeddings/oleObject12.bin"/><Relationship Id="rId43" Type="http://schemas.openxmlformats.org/officeDocument/2006/relationships/oleObject" Target="embeddings/oleObject18.bin"/><Relationship Id="rId48" Type="http://schemas.openxmlformats.org/officeDocument/2006/relationships/image" Target="media/image15.wmf"/><Relationship Id="rId56" Type="http://schemas.openxmlformats.org/officeDocument/2006/relationships/image" Target="media/image19.emf"/><Relationship Id="rId64" Type="http://schemas.openxmlformats.org/officeDocument/2006/relationships/image" Target="media/image21.wmf"/><Relationship Id="rId69" Type="http://schemas.openxmlformats.org/officeDocument/2006/relationships/image" Target="media/image22.wmf"/><Relationship Id="rId77" Type="http://schemas.openxmlformats.org/officeDocument/2006/relationships/oleObject" Target="embeddings/oleObject41.bin"/><Relationship Id="rId8" Type="http://schemas.openxmlformats.org/officeDocument/2006/relationships/settings" Target="settings.xml"/><Relationship Id="rId51" Type="http://schemas.openxmlformats.org/officeDocument/2006/relationships/oleObject" Target="embeddings/oleObject22.bin"/><Relationship Id="rId72" Type="http://schemas.openxmlformats.org/officeDocument/2006/relationships/oleObject" Target="embeddings/oleObject37.bin"/><Relationship Id="rId80" Type="http://schemas.openxmlformats.org/officeDocument/2006/relationships/oleObject" Target="embeddings/oleObject43.bin"/><Relationship Id="rId85"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image" Target="media/image14.wmf"/><Relationship Id="rId59" Type="http://schemas.openxmlformats.org/officeDocument/2006/relationships/oleObject" Target="embeddings/oleObject26.bin"/><Relationship Id="rId67" Type="http://schemas.openxmlformats.org/officeDocument/2006/relationships/oleObject" Target="embeddings/oleObject33.bin"/><Relationship Id="rId20" Type="http://schemas.openxmlformats.org/officeDocument/2006/relationships/oleObject" Target="embeddings/oleObject4.bin"/><Relationship Id="rId41" Type="http://schemas.openxmlformats.org/officeDocument/2006/relationships/oleObject" Target="embeddings/oleObject16.bin"/><Relationship Id="rId54" Type="http://schemas.openxmlformats.org/officeDocument/2006/relationships/image" Target="media/image18.wmf"/><Relationship Id="rId62" Type="http://schemas.openxmlformats.org/officeDocument/2006/relationships/oleObject" Target="embeddings/oleObject29.bin"/><Relationship Id="rId70" Type="http://schemas.openxmlformats.org/officeDocument/2006/relationships/oleObject" Target="embeddings/oleObject35.bin"/><Relationship Id="rId75" Type="http://schemas.openxmlformats.org/officeDocument/2006/relationships/oleObject" Target="embeddings/oleObject40.bin"/><Relationship Id="rId83"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file:///C:/Users/jsoriaga/Documents/Work/5G%20Standards%203GPP/R1-1801176.zip" TargetMode="External"/><Relationship Id="rId23" Type="http://schemas.openxmlformats.org/officeDocument/2006/relationships/image" Target="media/image5.wmf"/><Relationship Id="rId28" Type="http://schemas.openxmlformats.org/officeDocument/2006/relationships/oleObject" Target="embeddings/oleObject8.bin"/><Relationship Id="rId36" Type="http://schemas.openxmlformats.org/officeDocument/2006/relationships/image" Target="media/image11.wmf"/><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footnotes" Target="footnotes.xml"/><Relationship Id="rId31" Type="http://schemas.openxmlformats.org/officeDocument/2006/relationships/oleObject" Target="embeddings/oleObject10.bin"/><Relationship Id="rId44" Type="http://schemas.openxmlformats.org/officeDocument/2006/relationships/image" Target="media/image13.wmf"/><Relationship Id="rId52" Type="http://schemas.openxmlformats.org/officeDocument/2006/relationships/image" Target="media/image17.wmf"/><Relationship Id="rId60" Type="http://schemas.openxmlformats.org/officeDocument/2006/relationships/oleObject" Target="embeddings/oleObject27.bin"/><Relationship Id="rId65" Type="http://schemas.openxmlformats.org/officeDocument/2006/relationships/oleObject" Target="embeddings/oleObject31.bin"/><Relationship Id="rId73" Type="http://schemas.openxmlformats.org/officeDocument/2006/relationships/oleObject" Target="embeddings/oleObject38.bin"/><Relationship Id="rId78" Type="http://schemas.openxmlformats.org/officeDocument/2006/relationships/image" Target="media/image24.wmf"/><Relationship Id="rId81" Type="http://schemas.openxmlformats.org/officeDocument/2006/relationships/oleObject" Target="embeddings/oleObject44.bin"/><Relationship Id="rId86"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oleObject" Target="embeddings/oleObject3.bin"/><Relationship Id="rId39" Type="http://schemas.openxmlformats.org/officeDocument/2006/relationships/oleObject" Target="embeddings/oleObject15.bin"/><Relationship Id="rId34" Type="http://schemas.openxmlformats.org/officeDocument/2006/relationships/image" Target="media/image10.wmf"/><Relationship Id="rId50" Type="http://schemas.openxmlformats.org/officeDocument/2006/relationships/image" Target="media/image16.wmf"/><Relationship Id="rId55" Type="http://schemas.openxmlformats.org/officeDocument/2006/relationships/oleObject" Target="embeddings/oleObject24.bin"/><Relationship Id="rId76" Type="http://schemas.openxmlformats.org/officeDocument/2006/relationships/image" Target="media/image23.wmf"/><Relationship Id="rId7" Type="http://schemas.openxmlformats.org/officeDocument/2006/relationships/styles" Target="styles.xml"/><Relationship Id="rId71" Type="http://schemas.openxmlformats.org/officeDocument/2006/relationships/oleObject" Target="embeddings/oleObject36.bin"/><Relationship Id="rId2" Type="http://schemas.openxmlformats.org/officeDocument/2006/relationships/customXml" Target="../customXml/item2.xml"/><Relationship Id="rId29" Type="http://schemas.openxmlformats.org/officeDocument/2006/relationships/oleObject" Target="embeddings/oleObject9.bin"/><Relationship Id="rId24" Type="http://schemas.openxmlformats.org/officeDocument/2006/relationships/oleObject" Target="embeddings/oleObject6.bin"/><Relationship Id="rId40" Type="http://schemas.openxmlformats.org/officeDocument/2006/relationships/image" Target="media/image12.wmf"/><Relationship Id="rId45" Type="http://schemas.openxmlformats.org/officeDocument/2006/relationships/oleObject" Target="embeddings/oleObject19.bin"/><Relationship Id="rId66" Type="http://schemas.openxmlformats.org/officeDocument/2006/relationships/oleObject" Target="embeddings/oleObject32.bin"/><Relationship Id="rId87" Type="http://schemas.openxmlformats.org/officeDocument/2006/relationships/theme" Target="theme/theme1.xml"/><Relationship Id="rId61" Type="http://schemas.openxmlformats.org/officeDocument/2006/relationships/oleObject" Target="embeddings/oleObject28.bin"/><Relationship Id="rId82" Type="http://schemas.openxmlformats.org/officeDocument/2006/relationships/oleObject" Target="embeddings/oleObject4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HR33RHYHUWRF-4-6319</_dlc_DocId>
    <_dlc_DocIdUrl xmlns="c06861ca-3f08-4d07-bff7-bb15bac121f4">
      <Url>https://projects.qualcomm.com/sites/pentari/_layouts/15/DocIdRedir.aspx?ID=HR33RHYHUWRF-4-6319</Url>
      <Description>HR33RHYHUWRF-4-6319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E582DF6C-9871-4337-BBCF-3465CC8819F6}">
  <ds:schemaRefs>
    <ds:schemaRef ds:uri="http://schemas.openxmlformats.org/package/2006/metadata/core-properties"/>
    <ds:schemaRef ds:uri="http://purl.org/dc/elements/1.1/"/>
    <ds:schemaRef ds:uri="http://purl.org/dc/dcmitype/"/>
    <ds:schemaRef ds:uri="http://schemas.microsoft.com/office/2006/metadata/properties"/>
    <ds:schemaRef ds:uri="http://purl.org/dc/terms/"/>
    <ds:schemaRef ds:uri="http://schemas.microsoft.com/office/2006/documentManagement/types"/>
    <ds:schemaRef ds:uri="c06861ca-3f08-4d07-bff7-bb15bac121f4"/>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58E5CC-46AB-4C1B-A189-14B9584E1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447</TotalTime>
  <Pages>11</Pages>
  <Words>3495</Words>
  <Characters>18365</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101</cp:revision>
  <cp:lastPrinted>2017-03-25T00:57:00Z</cp:lastPrinted>
  <dcterms:created xsi:type="dcterms:W3CDTF">2018-01-11T21:55:00Z</dcterms:created>
  <dcterms:modified xsi:type="dcterms:W3CDTF">2018-02-17T04:36:00Z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3502e78b-9d88-47e0-a08a-db83c7d3a38f</vt:lpwstr>
  </property>
  <property fmtid="{D5CDD505-2E9C-101B-9397-08002B2CF9AE}" pid="4" name="ContentTypeId">
    <vt:lpwstr>0x010100BC29BFD66497B943AA3B102F0C7B1355</vt:lpwstr>
  </property>
</Properties>
</file>