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A46" w:rsidRPr="00CF195E" w:rsidRDefault="00B903C9" w:rsidP="00E60A46">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7728;visibility:hidden">
            <w10:anchorlock/>
          </v:shape>
        </w:pict>
      </w:r>
      <w:r w:rsidR="003F7368" w:rsidRPr="003F7368">
        <w:rPr>
          <w:b/>
          <w:kern w:val="2"/>
          <w:lang w:eastAsia="zh-CN"/>
        </w:rPr>
        <w:t>3GPP TSG RAN WG1 Ad Hoc Meeting</w:t>
      </w:r>
      <w:r w:rsidR="00E60A46" w:rsidRPr="00CF195E">
        <w:rPr>
          <w:b/>
          <w:kern w:val="2"/>
          <w:lang w:eastAsia="zh-CN"/>
        </w:rPr>
        <w:tab/>
      </w:r>
      <w:r w:rsidR="00E60A46" w:rsidRPr="001A651C">
        <w:rPr>
          <w:b/>
          <w:kern w:val="2"/>
          <w:lang w:eastAsia="zh-CN"/>
        </w:rPr>
        <w:t>R1-</w:t>
      </w:r>
      <w:r w:rsidR="00C40D27" w:rsidRPr="00975CF3">
        <w:rPr>
          <w:b/>
          <w:kern w:val="2"/>
          <w:lang w:eastAsia="zh-CN"/>
        </w:rPr>
        <w:t>1</w:t>
      </w:r>
      <w:r w:rsidR="00C40D27">
        <w:rPr>
          <w:b/>
          <w:kern w:val="2"/>
          <w:lang w:eastAsia="zh-CN"/>
        </w:rPr>
        <w:t>8</w:t>
      </w:r>
      <w:r w:rsidR="003B3383" w:rsidRPr="003B3383">
        <w:rPr>
          <w:b/>
          <w:kern w:val="2"/>
          <w:lang w:eastAsia="zh-CN"/>
        </w:rPr>
        <w:t>02726</w:t>
      </w:r>
    </w:p>
    <w:p w:rsidR="00E60A46" w:rsidRPr="003F7368" w:rsidRDefault="00B83CC4" w:rsidP="00E60A46">
      <w:pPr>
        <w:jc w:val="left"/>
        <w:rPr>
          <w:b/>
          <w:kern w:val="2"/>
          <w:lang w:eastAsia="zh-CN"/>
        </w:rPr>
      </w:pPr>
      <w:r>
        <w:rPr>
          <w:b/>
          <w:kern w:val="2"/>
          <w:lang w:eastAsia="zh-CN"/>
        </w:rPr>
        <w:t>Athens, Greece, February 26 – March 2, 2018</w:t>
      </w:r>
    </w:p>
    <w:p w:rsidR="00E60A46" w:rsidRPr="003F7368" w:rsidRDefault="00E60A46" w:rsidP="00E60A46">
      <w:pPr>
        <w:pBdr>
          <w:top w:val="single" w:sz="4" w:space="1" w:color="auto"/>
        </w:pBdr>
        <w:spacing w:after="0"/>
        <w:jc w:val="left"/>
        <w:rPr>
          <w:b/>
          <w:kern w:val="2"/>
          <w:sz w:val="16"/>
          <w:szCs w:val="16"/>
          <w:lang w:eastAsia="zh-CN"/>
        </w:rPr>
      </w:pPr>
    </w:p>
    <w:p w:rsidR="00E60A46" w:rsidRPr="00EB62E6" w:rsidRDefault="00E60A46" w:rsidP="00E60A46">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736885">
        <w:rPr>
          <w:b/>
          <w:kern w:val="2"/>
          <w:lang w:eastAsia="zh-CN"/>
        </w:rPr>
        <w:t>7.3.2</w:t>
      </w:r>
    </w:p>
    <w:p w:rsidR="00E60A46" w:rsidRPr="00CF195E" w:rsidRDefault="00E60A46" w:rsidP="00E60A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E60A46" w:rsidRPr="00CF195E" w:rsidRDefault="00E60A46" w:rsidP="00E60A46">
      <w:pPr>
        <w:spacing w:after="60"/>
        <w:ind w:left="1555" w:hanging="1555"/>
        <w:jc w:val="left"/>
        <w:rPr>
          <w:b/>
          <w:kern w:val="2"/>
          <w:lang w:eastAsia="zh-CN"/>
        </w:rPr>
      </w:pPr>
      <w:r w:rsidRPr="00CF195E">
        <w:rPr>
          <w:b/>
          <w:kern w:val="2"/>
          <w:lang w:eastAsia="zh-CN"/>
        </w:rPr>
        <w:t>Title:</w:t>
      </w:r>
      <w:r w:rsidRPr="00CF195E">
        <w:rPr>
          <w:b/>
          <w:kern w:val="2"/>
          <w:lang w:eastAsia="zh-CN"/>
        </w:rPr>
        <w:tab/>
      </w:r>
      <w:r w:rsidR="00736885" w:rsidRPr="00736885">
        <w:rPr>
          <w:b/>
          <w:kern w:val="2"/>
          <w:lang w:eastAsia="zh-CN"/>
        </w:rPr>
        <w:t>On the multipath propagation in satellite to UE link</w:t>
      </w:r>
    </w:p>
    <w:p w:rsidR="00E60A46" w:rsidRPr="00CF195E" w:rsidRDefault="00E60A46" w:rsidP="00E60A46">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w:t>
      </w:r>
    </w:p>
    <w:p w:rsidR="009C0564" w:rsidRPr="00CF195E" w:rsidRDefault="009C0564" w:rsidP="00CF195E">
      <w:pPr>
        <w:pBdr>
          <w:bottom w:val="single" w:sz="4" w:space="1" w:color="auto"/>
        </w:pBdr>
        <w:spacing w:after="0"/>
        <w:jc w:val="left"/>
        <w:rPr>
          <w:b/>
          <w:kern w:val="2"/>
          <w:sz w:val="16"/>
          <w:szCs w:val="16"/>
          <w:lang w:eastAsia="zh-CN"/>
        </w:rPr>
      </w:pPr>
    </w:p>
    <w:p w:rsidR="00E60A46" w:rsidRPr="00CF195E" w:rsidRDefault="00E60A46" w:rsidP="00E60A46">
      <w:pPr>
        <w:pStyle w:val="1"/>
      </w:pPr>
      <w:bookmarkStart w:id="0" w:name="_Ref124589705"/>
      <w:bookmarkStart w:id="1" w:name="_Ref129681862"/>
      <w:bookmarkStart w:id="2" w:name="_Ref129681832"/>
      <w:r w:rsidRPr="00CF195E">
        <w:t>Introduction</w:t>
      </w:r>
      <w:bookmarkEnd w:id="0"/>
      <w:bookmarkEnd w:id="1"/>
    </w:p>
    <w:p w:rsidR="00E60A46" w:rsidRDefault="00E60A46" w:rsidP="00E60A46">
      <w:pPr>
        <w:rPr>
          <w:rFonts w:eastAsia="MS Mincho"/>
          <w:lang w:eastAsia="ja-JP"/>
        </w:rPr>
      </w:pPr>
      <w:r>
        <w:rPr>
          <w:rFonts w:eastAsia="MS Mincho"/>
          <w:lang w:eastAsia="ja-JP"/>
        </w:rPr>
        <w:t>During</w:t>
      </w:r>
      <w:r w:rsidRPr="00B833D5">
        <w:rPr>
          <w:rFonts w:eastAsia="MS Mincho"/>
          <w:lang w:eastAsia="ja-JP"/>
        </w:rPr>
        <w:t xml:space="preserve"> the March 2017 RAN plenary meeting</w:t>
      </w:r>
      <w:r>
        <w:rPr>
          <w:rFonts w:eastAsia="MS Mincho"/>
          <w:lang w:eastAsia="ja-JP"/>
        </w:rPr>
        <w:t xml:space="preserve"> in Dubrovnik, a new Study Item on NR to support Non-Terrestrial Networks was approved </w:t>
      </w:r>
      <w:r w:rsidR="00BC4981">
        <w:rPr>
          <w:rFonts w:eastAsia="MS Mincho"/>
          <w:lang w:eastAsia="ja-JP"/>
        </w:rPr>
        <w:fldChar w:fldCharType="begin"/>
      </w:r>
      <w:r>
        <w:rPr>
          <w:rFonts w:eastAsia="MS Mincho"/>
          <w:lang w:eastAsia="ja-JP"/>
        </w:rPr>
        <w:instrText xml:space="preserve"> REF _Ref492282945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w:t>
      </w:r>
      <w:r w:rsidR="00BC4981">
        <w:rPr>
          <w:rFonts w:eastAsia="MS Mincho"/>
          <w:lang w:eastAsia="ja-JP"/>
        </w:rPr>
        <w:fldChar w:fldCharType="end"/>
      </w:r>
      <w:r>
        <w:rPr>
          <w:rFonts w:eastAsia="MS Mincho"/>
          <w:lang w:eastAsia="ja-JP"/>
        </w:rPr>
        <w:t xml:space="preserve">. Non-terrestrial networks (NTNs) refer to networks, or segments of networks, using an airborne or spaceborne vehicle for transmission </w:t>
      </w:r>
      <w:r w:rsidR="00BC4981">
        <w:rPr>
          <w:rFonts w:eastAsia="MS Mincho"/>
          <w:lang w:eastAsia="ja-JP"/>
        </w:rPr>
        <w:fldChar w:fldCharType="begin"/>
      </w:r>
      <w:r>
        <w:rPr>
          <w:rFonts w:eastAsia="MS Mincho"/>
          <w:lang w:eastAsia="ja-JP"/>
        </w:rPr>
        <w:instrText xml:space="preserve"> REF _Ref492282945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w:t>
      </w:r>
      <w:r w:rsidR="00BC4981">
        <w:rPr>
          <w:rFonts w:eastAsia="MS Mincho"/>
          <w:lang w:eastAsia="ja-JP"/>
        </w:rPr>
        <w:fldChar w:fldCharType="end"/>
      </w:r>
      <w:r>
        <w:rPr>
          <w:rFonts w:eastAsia="MS Mincho"/>
          <w:lang w:eastAsia="ja-JP"/>
        </w:rPr>
        <w:t>.</w:t>
      </w:r>
    </w:p>
    <w:p w:rsidR="00E60A46" w:rsidRDefault="00E60A46" w:rsidP="00E60A46">
      <w:pPr>
        <w:numPr>
          <w:ilvl w:val="0"/>
          <w:numId w:val="32"/>
        </w:numPr>
        <w:rPr>
          <w:rFonts w:eastAsia="MS Mincho"/>
          <w:lang w:eastAsia="ja-JP"/>
        </w:rPr>
      </w:pPr>
      <w:r>
        <w:rPr>
          <w:rFonts w:eastAsia="MS Mincho"/>
          <w:lang w:eastAsia="ja-JP"/>
        </w:rPr>
        <w:t>Spaceborne vehicles: Satellites</w:t>
      </w:r>
    </w:p>
    <w:p w:rsidR="00E60A46" w:rsidRDefault="00E60A46" w:rsidP="00E60A46">
      <w:pPr>
        <w:numPr>
          <w:ilvl w:val="1"/>
          <w:numId w:val="32"/>
        </w:numPr>
        <w:rPr>
          <w:rFonts w:eastAsia="MS Mincho"/>
          <w:lang w:eastAsia="ja-JP"/>
        </w:rPr>
      </w:pPr>
      <w:r>
        <w:rPr>
          <w:rFonts w:eastAsia="MS Mincho"/>
          <w:lang w:eastAsia="ja-JP"/>
        </w:rPr>
        <w:t>LEO satellites</w:t>
      </w:r>
    </w:p>
    <w:p w:rsidR="00E60A46" w:rsidRDefault="00E60A46" w:rsidP="00E60A46">
      <w:pPr>
        <w:numPr>
          <w:ilvl w:val="1"/>
          <w:numId w:val="32"/>
        </w:numPr>
        <w:rPr>
          <w:rFonts w:eastAsia="MS Mincho"/>
          <w:lang w:eastAsia="ja-JP"/>
        </w:rPr>
      </w:pPr>
      <w:r>
        <w:rPr>
          <w:rFonts w:eastAsia="MS Mincho"/>
          <w:lang w:eastAsia="ja-JP"/>
        </w:rPr>
        <w:t>MEO satellites</w:t>
      </w:r>
    </w:p>
    <w:p w:rsidR="00E60A46" w:rsidRDefault="00E60A46" w:rsidP="00E60A46">
      <w:pPr>
        <w:numPr>
          <w:ilvl w:val="1"/>
          <w:numId w:val="32"/>
        </w:numPr>
        <w:rPr>
          <w:rFonts w:eastAsia="MS Mincho"/>
          <w:lang w:eastAsia="ja-JP"/>
        </w:rPr>
      </w:pPr>
      <w:r>
        <w:rPr>
          <w:rFonts w:eastAsia="MS Mincho"/>
          <w:lang w:eastAsia="ja-JP"/>
        </w:rPr>
        <w:t>GEO satellites</w:t>
      </w:r>
    </w:p>
    <w:p w:rsidR="00E60A46" w:rsidRDefault="00E60A46" w:rsidP="00E60A46">
      <w:pPr>
        <w:numPr>
          <w:ilvl w:val="1"/>
          <w:numId w:val="32"/>
        </w:numPr>
        <w:rPr>
          <w:rFonts w:eastAsia="MS Mincho"/>
          <w:lang w:eastAsia="ja-JP"/>
        </w:rPr>
      </w:pPr>
      <w:r>
        <w:rPr>
          <w:rFonts w:eastAsia="MS Mincho"/>
          <w:lang w:eastAsia="ja-JP"/>
        </w:rPr>
        <w:t>HEO satellites</w:t>
      </w:r>
    </w:p>
    <w:p w:rsidR="00E60A46" w:rsidRDefault="00E60A46" w:rsidP="00F8565F">
      <w:pPr>
        <w:numPr>
          <w:ilvl w:val="0"/>
          <w:numId w:val="32"/>
        </w:numPr>
        <w:rPr>
          <w:rFonts w:eastAsia="MS Mincho"/>
          <w:lang w:eastAsia="ja-JP"/>
        </w:rPr>
      </w:pPr>
      <w:r>
        <w:rPr>
          <w:rFonts w:eastAsia="MS Mincho"/>
          <w:lang w:eastAsia="ja-JP"/>
        </w:rPr>
        <w:t xml:space="preserve">Airborne vehicles: </w:t>
      </w:r>
    </w:p>
    <w:p w:rsidR="00E60A46" w:rsidRDefault="00E60A46" w:rsidP="00E60A46">
      <w:pPr>
        <w:numPr>
          <w:ilvl w:val="1"/>
          <w:numId w:val="32"/>
        </w:numPr>
        <w:rPr>
          <w:rFonts w:eastAsia="MS Mincho"/>
          <w:lang w:eastAsia="ja-JP"/>
        </w:rPr>
      </w:pPr>
      <w:r>
        <w:rPr>
          <w:rFonts w:eastAsia="MS Mincho"/>
          <w:lang w:eastAsia="ja-JP"/>
        </w:rPr>
        <w:t>High Altitude UAS Platforms (</w:t>
      </w:r>
      <w:r w:rsidR="00F8565F">
        <w:rPr>
          <w:rFonts w:eastAsia="MS Mincho"/>
          <w:lang w:eastAsia="ja-JP"/>
        </w:rPr>
        <w:t>HAPS</w:t>
      </w:r>
      <w:r w:rsidR="00F8565F" w:rsidRPr="00F8565F">
        <w:rPr>
          <w:rFonts w:eastAsia="MS Mincho"/>
          <w:lang w:eastAsia="ja-JP"/>
        </w:rPr>
        <w:t>) encompassing Unmanned Aircraft Systems (UAS) including tethered UAS and Lighter than Air UAS (LTA), Heavier than Air UAS (HTA), all operating in altitude typically between 8 and 50 km, quasi-stationary</w:t>
      </w:r>
      <w:r w:rsidR="004674EE">
        <w:rPr>
          <w:rFonts w:eastAsia="MS Mincho"/>
          <w:lang w:eastAsia="ja-JP"/>
        </w:rPr>
        <w:t>.</w:t>
      </w:r>
    </w:p>
    <w:p w:rsidR="00E60A46" w:rsidRPr="007D39A1" w:rsidRDefault="00E60A46" w:rsidP="00E60A46">
      <w:pPr>
        <w:rPr>
          <w:rFonts w:eastAsia="MS Mincho"/>
          <w:lang w:eastAsia="ja-JP"/>
        </w:rPr>
      </w:pPr>
      <w:r w:rsidRPr="007D39A1">
        <w:rPr>
          <w:rFonts w:eastAsia="MS Mincho"/>
          <w:lang w:eastAsia="ja-JP"/>
        </w:rPr>
        <w:t xml:space="preserve">Due </w:t>
      </w:r>
      <w:r>
        <w:rPr>
          <w:rFonts w:eastAsia="MS Mincho"/>
          <w:lang w:eastAsia="ja-JP"/>
        </w:rPr>
        <w:t>to the wide variety of non-terrestrial vehicles, several investigations on different radio links are needed. The study item sets an objective for channel model as follows: “</w:t>
      </w:r>
      <w:r w:rsidRPr="007D39A1">
        <w:rPr>
          <w:rFonts w:eastAsia="MS Mincho"/>
          <w:lang w:eastAsia="ja-JP"/>
        </w:rPr>
        <w:t>Study the feasibility of adapting the 3GPP channel model for non-terrestrial networks. If needed, identi</w:t>
      </w:r>
      <w:r>
        <w:rPr>
          <w:rFonts w:eastAsia="MS Mincho"/>
          <w:lang w:eastAsia="ja-JP"/>
        </w:rPr>
        <w:t xml:space="preserve">fy and study new channel models” </w:t>
      </w:r>
      <w:r w:rsidR="00BC4981">
        <w:rPr>
          <w:rFonts w:eastAsia="MS Mincho"/>
          <w:lang w:eastAsia="ja-JP"/>
        </w:rPr>
        <w:fldChar w:fldCharType="begin"/>
      </w:r>
      <w:r>
        <w:rPr>
          <w:rFonts w:eastAsia="MS Mincho"/>
          <w:lang w:eastAsia="ja-JP"/>
        </w:rPr>
        <w:instrText xml:space="preserve"> REF _Ref492282945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w:t>
      </w:r>
      <w:r w:rsidR="00BC4981">
        <w:rPr>
          <w:rFonts w:eastAsia="MS Mincho"/>
          <w:lang w:eastAsia="ja-JP"/>
        </w:rPr>
        <w:fldChar w:fldCharType="end"/>
      </w:r>
      <w:r>
        <w:rPr>
          <w:rFonts w:eastAsia="MS Mincho"/>
          <w:lang w:eastAsia="ja-JP"/>
        </w:rPr>
        <w:t>. This is the study for RAN1. Several contributions on channel models have been submitted to RAN1 already</w:t>
      </w:r>
      <w:r w:rsidR="00736885">
        <w:rPr>
          <w:rFonts w:eastAsia="MS Mincho"/>
          <w:lang w:eastAsia="ja-JP"/>
        </w:rPr>
        <w:t>, e.g.</w:t>
      </w:r>
      <w:r>
        <w:rPr>
          <w:rFonts w:eastAsia="MS Mincho"/>
          <w:lang w:eastAsia="ja-JP"/>
        </w:rPr>
        <w:t xml:space="preserve"> </w:t>
      </w:r>
      <w:r w:rsidR="00BC4981">
        <w:rPr>
          <w:rFonts w:eastAsia="MS Mincho"/>
          <w:lang w:eastAsia="ja-JP"/>
        </w:rPr>
        <w:fldChar w:fldCharType="begin"/>
      </w:r>
      <w:r>
        <w:rPr>
          <w:rFonts w:eastAsia="MS Mincho"/>
          <w:lang w:eastAsia="ja-JP"/>
        </w:rPr>
        <w:instrText xml:space="preserve"> REF _Ref492327888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[2]</w:t>
      </w:r>
      <w:r w:rsidR="00BC4981">
        <w:rPr>
          <w:rFonts w:eastAsia="MS Mincho"/>
          <w:lang w:eastAsia="ja-JP"/>
        </w:rPr>
        <w:fldChar w:fldCharType="end"/>
      </w:r>
      <w:r>
        <w:rPr>
          <w:rFonts w:eastAsia="MS Mincho"/>
          <w:lang w:eastAsia="ja-JP"/>
        </w:rPr>
        <w:t xml:space="preserve">, </w:t>
      </w:r>
      <w:r w:rsidR="00BC4981">
        <w:rPr>
          <w:rFonts w:eastAsia="MS Mincho"/>
          <w:lang w:eastAsia="ja-JP"/>
        </w:rPr>
        <w:fldChar w:fldCharType="begin"/>
      </w:r>
      <w:r>
        <w:rPr>
          <w:rFonts w:eastAsia="MS Mincho"/>
          <w:lang w:eastAsia="ja-JP"/>
        </w:rPr>
        <w:instrText xml:space="preserve"> REF _Ref492327889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[3]</w:t>
      </w:r>
      <w:r w:rsidR="00BC4981">
        <w:rPr>
          <w:rFonts w:eastAsia="MS Mincho"/>
          <w:lang w:eastAsia="ja-JP"/>
        </w:rPr>
        <w:fldChar w:fldCharType="end"/>
      </w:r>
      <w:r>
        <w:rPr>
          <w:rFonts w:eastAsia="MS Mincho"/>
          <w:lang w:eastAsia="ja-JP"/>
        </w:rPr>
        <w:t xml:space="preserve">, </w:t>
      </w:r>
      <w:r w:rsidR="00BC4981">
        <w:rPr>
          <w:rFonts w:eastAsia="MS Mincho"/>
          <w:lang w:eastAsia="ja-JP"/>
        </w:rPr>
        <w:fldChar w:fldCharType="begin"/>
      </w:r>
      <w:r>
        <w:rPr>
          <w:rFonts w:eastAsia="MS Mincho"/>
          <w:lang w:eastAsia="ja-JP"/>
        </w:rPr>
        <w:instrText xml:space="preserve"> REF _Ref492327890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[4]</w:t>
      </w:r>
      <w:r w:rsidR="00BC4981">
        <w:rPr>
          <w:rFonts w:eastAsia="MS Mincho"/>
          <w:lang w:eastAsia="ja-JP"/>
        </w:rPr>
        <w:fldChar w:fldCharType="end"/>
      </w:r>
      <w:r>
        <w:rPr>
          <w:rFonts w:eastAsia="MS Mincho"/>
          <w:lang w:eastAsia="ja-JP"/>
        </w:rPr>
        <w:t xml:space="preserve">, </w:t>
      </w:r>
      <w:r w:rsidR="00BC4981">
        <w:rPr>
          <w:rFonts w:eastAsia="MS Mincho"/>
          <w:lang w:eastAsia="ja-JP"/>
        </w:rPr>
        <w:fldChar w:fldCharType="begin"/>
      </w:r>
      <w:r>
        <w:rPr>
          <w:rFonts w:eastAsia="MS Mincho"/>
          <w:lang w:eastAsia="ja-JP"/>
        </w:rPr>
        <w:instrText xml:space="preserve"> REF _Ref492327892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[5]</w:t>
      </w:r>
      <w:r w:rsidR="00BC4981">
        <w:rPr>
          <w:rFonts w:eastAsia="MS Mincho"/>
          <w:lang w:eastAsia="ja-JP"/>
        </w:rPr>
        <w:fldChar w:fldCharType="end"/>
      </w:r>
      <w:r>
        <w:rPr>
          <w:rFonts w:eastAsia="MS Mincho"/>
          <w:lang w:eastAsia="ja-JP"/>
        </w:rPr>
        <w:t xml:space="preserve">, </w:t>
      </w:r>
      <w:r w:rsidR="00BC4981">
        <w:rPr>
          <w:rFonts w:eastAsia="MS Mincho"/>
          <w:lang w:eastAsia="ja-JP"/>
        </w:rPr>
        <w:fldChar w:fldCharType="begin"/>
      </w:r>
      <w:r>
        <w:rPr>
          <w:rFonts w:eastAsia="MS Mincho"/>
          <w:lang w:eastAsia="ja-JP"/>
        </w:rPr>
        <w:instrText xml:space="preserve"> REF _Ref492327893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[6]</w:t>
      </w:r>
      <w:r w:rsidR="00BC4981">
        <w:rPr>
          <w:rFonts w:eastAsia="MS Mincho"/>
          <w:lang w:eastAsia="ja-JP"/>
        </w:rPr>
        <w:fldChar w:fldCharType="end"/>
      </w:r>
      <w:r>
        <w:rPr>
          <w:rFonts w:eastAsia="MS Mincho"/>
          <w:lang w:eastAsia="ja-JP"/>
        </w:rPr>
        <w:t xml:space="preserve">, </w:t>
      </w:r>
      <w:r w:rsidR="00BC4981">
        <w:rPr>
          <w:rFonts w:eastAsia="MS Mincho"/>
          <w:lang w:eastAsia="ja-JP"/>
        </w:rPr>
        <w:fldChar w:fldCharType="begin"/>
      </w:r>
      <w:r w:rsidR="009D0F2B">
        <w:rPr>
          <w:rFonts w:eastAsia="MS Mincho"/>
          <w:lang w:eastAsia="ja-JP"/>
        </w:rPr>
        <w:instrText xml:space="preserve"> REF _Ref497745302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[11]</w:t>
      </w:r>
      <w:r w:rsidR="00BC4981">
        <w:rPr>
          <w:rFonts w:eastAsia="MS Mincho"/>
          <w:lang w:eastAsia="ja-JP"/>
        </w:rPr>
        <w:fldChar w:fldCharType="end"/>
      </w:r>
      <w:r w:rsidR="009D0F2B">
        <w:rPr>
          <w:rFonts w:eastAsia="MS Mincho"/>
          <w:lang w:eastAsia="ja-JP"/>
        </w:rPr>
        <w:t xml:space="preserve">, </w:t>
      </w:r>
      <w:r w:rsidR="00BC4981">
        <w:rPr>
          <w:rFonts w:eastAsia="MS Mincho"/>
          <w:lang w:eastAsia="ja-JP"/>
        </w:rPr>
        <w:fldChar w:fldCharType="begin"/>
      </w:r>
      <w:r w:rsidR="009D0F2B">
        <w:rPr>
          <w:rFonts w:eastAsia="MS Mincho"/>
          <w:lang w:eastAsia="ja-JP"/>
        </w:rPr>
        <w:instrText xml:space="preserve"> REF _Ref502315494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[12]</w:t>
      </w:r>
      <w:r w:rsidR="00BC4981">
        <w:rPr>
          <w:rFonts w:eastAsia="MS Mincho"/>
          <w:lang w:eastAsia="ja-JP"/>
        </w:rPr>
        <w:fldChar w:fldCharType="end"/>
      </w:r>
      <w:r w:rsidR="009D0F2B">
        <w:rPr>
          <w:rFonts w:eastAsia="MS Mincho"/>
          <w:lang w:eastAsia="ja-JP"/>
        </w:rPr>
        <w:t xml:space="preserve">, </w:t>
      </w:r>
      <w:r w:rsidR="00BC4981">
        <w:rPr>
          <w:rFonts w:eastAsia="MS Mincho"/>
          <w:lang w:eastAsia="ja-JP"/>
        </w:rPr>
        <w:fldChar w:fldCharType="begin"/>
      </w:r>
      <w:r w:rsidR="009D0F2B">
        <w:rPr>
          <w:rFonts w:eastAsia="MS Mincho"/>
          <w:lang w:eastAsia="ja-JP"/>
        </w:rPr>
        <w:instrText xml:space="preserve"> REF _Ref502315496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[13]</w:t>
      </w:r>
      <w:r w:rsidR="00BC4981">
        <w:rPr>
          <w:rFonts w:eastAsia="MS Mincho"/>
          <w:lang w:eastAsia="ja-JP"/>
        </w:rPr>
        <w:fldChar w:fldCharType="end"/>
      </w:r>
      <w:r w:rsidR="009D0F2B">
        <w:rPr>
          <w:rFonts w:eastAsia="MS Mincho"/>
          <w:lang w:eastAsia="ja-JP"/>
        </w:rPr>
        <w:t xml:space="preserve">, </w:t>
      </w:r>
      <w:r w:rsidR="00BC4981">
        <w:rPr>
          <w:rFonts w:eastAsia="MS Mincho"/>
          <w:lang w:eastAsia="ja-JP"/>
        </w:rPr>
        <w:fldChar w:fldCharType="begin"/>
      </w:r>
      <w:r w:rsidR="009D0F2B">
        <w:rPr>
          <w:rFonts w:eastAsia="MS Mincho"/>
          <w:lang w:eastAsia="ja-JP"/>
        </w:rPr>
        <w:instrText xml:space="preserve"> REF _Ref502315498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[14]</w:t>
      </w:r>
      <w:r w:rsidR="00BC4981">
        <w:rPr>
          <w:rFonts w:eastAsia="MS Mincho"/>
          <w:lang w:eastAsia="ja-JP"/>
        </w:rPr>
        <w:fldChar w:fldCharType="end"/>
      </w:r>
      <w:r w:rsidR="009D0F2B">
        <w:rPr>
          <w:rFonts w:eastAsia="MS Mincho"/>
          <w:lang w:eastAsia="ja-JP"/>
        </w:rPr>
        <w:t xml:space="preserve">, </w:t>
      </w:r>
      <w:r w:rsidR="00BC4981">
        <w:rPr>
          <w:rFonts w:eastAsia="MS Mincho"/>
          <w:lang w:eastAsia="ja-JP"/>
        </w:rPr>
        <w:fldChar w:fldCharType="begin"/>
      </w:r>
      <w:r w:rsidR="009D0F2B">
        <w:rPr>
          <w:rFonts w:eastAsia="MS Mincho"/>
          <w:lang w:eastAsia="ja-JP"/>
        </w:rPr>
        <w:instrText xml:space="preserve"> REF _Ref502315499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[15]</w:t>
      </w:r>
      <w:r w:rsidR="00BC4981">
        <w:rPr>
          <w:rFonts w:eastAsia="MS Mincho"/>
          <w:lang w:eastAsia="ja-JP"/>
        </w:rPr>
        <w:fldChar w:fldCharType="end"/>
      </w:r>
      <w:r w:rsidR="009D0F2B">
        <w:rPr>
          <w:rFonts w:eastAsia="MS Mincho"/>
          <w:lang w:eastAsia="ja-JP"/>
        </w:rPr>
        <w:t xml:space="preserve">, </w:t>
      </w:r>
      <w:r w:rsidR="00BC4981">
        <w:rPr>
          <w:rFonts w:eastAsia="MS Mincho"/>
          <w:lang w:eastAsia="ja-JP"/>
        </w:rPr>
        <w:fldChar w:fldCharType="begin"/>
      </w:r>
      <w:r w:rsidR="009D0F2B">
        <w:rPr>
          <w:rFonts w:eastAsia="MS Mincho"/>
          <w:lang w:eastAsia="ja-JP"/>
        </w:rPr>
        <w:instrText xml:space="preserve"> REF _Ref502315501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[16]</w:t>
      </w:r>
      <w:r w:rsidR="00BC4981">
        <w:rPr>
          <w:rFonts w:eastAsia="MS Mincho"/>
          <w:lang w:eastAsia="ja-JP"/>
        </w:rPr>
        <w:fldChar w:fldCharType="end"/>
      </w:r>
      <w:r w:rsidR="009D0F2B">
        <w:rPr>
          <w:rFonts w:eastAsia="MS Mincho"/>
          <w:lang w:eastAsia="ja-JP"/>
        </w:rPr>
        <w:t xml:space="preserve">, </w:t>
      </w:r>
      <w:r w:rsidR="00BC4981">
        <w:rPr>
          <w:rFonts w:eastAsia="MS Mincho"/>
          <w:lang w:eastAsia="ja-JP"/>
        </w:rPr>
        <w:fldChar w:fldCharType="begin"/>
      </w:r>
      <w:r w:rsidR="009D0F2B">
        <w:rPr>
          <w:rFonts w:eastAsia="MS Mincho"/>
          <w:lang w:eastAsia="ja-JP"/>
        </w:rPr>
        <w:instrText xml:space="preserve"> REF _Ref502315502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[17]</w:t>
      </w:r>
      <w:r w:rsidR="00BC4981">
        <w:rPr>
          <w:rFonts w:eastAsia="MS Mincho"/>
          <w:lang w:eastAsia="ja-JP"/>
        </w:rPr>
        <w:fldChar w:fldCharType="end"/>
      </w:r>
      <w:r w:rsidR="009D0F2B">
        <w:rPr>
          <w:rFonts w:eastAsia="MS Mincho"/>
          <w:lang w:eastAsia="ja-JP"/>
        </w:rPr>
        <w:t xml:space="preserve">, </w:t>
      </w:r>
      <w:r w:rsidR="00BC4981">
        <w:rPr>
          <w:rFonts w:eastAsia="MS Mincho"/>
          <w:lang w:eastAsia="ja-JP"/>
        </w:rPr>
        <w:fldChar w:fldCharType="begin"/>
      </w:r>
      <w:r w:rsidR="00736885">
        <w:rPr>
          <w:rFonts w:eastAsia="MS Mincho"/>
          <w:lang w:eastAsia="ja-JP"/>
        </w:rPr>
        <w:instrText xml:space="preserve"> REF _Ref505683031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[19]</w:t>
      </w:r>
      <w:r w:rsidR="00BC4981">
        <w:rPr>
          <w:rFonts w:eastAsia="MS Mincho"/>
          <w:lang w:eastAsia="ja-JP"/>
        </w:rPr>
        <w:fldChar w:fldCharType="end"/>
      </w:r>
      <w:r w:rsidR="00736885">
        <w:rPr>
          <w:rFonts w:eastAsia="MS Mincho"/>
          <w:lang w:eastAsia="ja-JP"/>
        </w:rPr>
        <w:t xml:space="preserve">, </w:t>
      </w:r>
      <w:r>
        <w:rPr>
          <w:rFonts w:eastAsia="MS Mincho"/>
          <w:lang w:eastAsia="ja-JP"/>
        </w:rPr>
        <w:t xml:space="preserve">but the discussion has </w:t>
      </w:r>
      <w:r w:rsidR="00736885">
        <w:rPr>
          <w:rFonts w:eastAsia="MS Mincho"/>
          <w:lang w:eastAsia="ja-JP"/>
        </w:rPr>
        <w:t>been</w:t>
      </w:r>
      <w:r>
        <w:rPr>
          <w:rFonts w:eastAsia="MS Mincho"/>
          <w:lang w:eastAsia="ja-JP"/>
        </w:rPr>
        <w:t xml:space="preserve"> offline </w:t>
      </w:r>
      <w:r w:rsidR="00736885">
        <w:rPr>
          <w:rFonts w:eastAsia="MS Mincho"/>
          <w:lang w:eastAsia="ja-JP"/>
        </w:rPr>
        <w:t xml:space="preserve">only </w:t>
      </w:r>
      <w:r>
        <w:rPr>
          <w:rFonts w:eastAsia="MS Mincho"/>
          <w:lang w:eastAsia="ja-JP"/>
        </w:rPr>
        <w:t>since the actual Study Item has not been started yet.</w:t>
      </w:r>
      <w:r w:rsidR="00F8565F">
        <w:rPr>
          <w:rFonts w:eastAsia="MS Mincho"/>
          <w:lang w:eastAsia="ja-JP"/>
        </w:rPr>
        <w:t xml:space="preserve"> The current status of the NTN TR can be found from </w:t>
      </w:r>
      <w:r w:rsidR="00BC4981">
        <w:rPr>
          <w:rFonts w:eastAsia="MS Mincho"/>
          <w:lang w:eastAsia="ja-JP"/>
        </w:rPr>
        <w:fldChar w:fldCharType="begin"/>
      </w:r>
      <w:r w:rsidR="00F8565F">
        <w:rPr>
          <w:rFonts w:eastAsia="MS Mincho"/>
          <w:lang w:eastAsia="ja-JP"/>
        </w:rPr>
        <w:instrText xml:space="preserve"> REF _Ref502315972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[18]</w:t>
      </w:r>
      <w:r w:rsidR="00BC4981">
        <w:rPr>
          <w:rFonts w:eastAsia="MS Mincho"/>
          <w:lang w:eastAsia="ja-JP"/>
        </w:rPr>
        <w:fldChar w:fldCharType="end"/>
      </w:r>
      <w:r w:rsidR="00F8565F">
        <w:rPr>
          <w:rFonts w:eastAsia="MS Mincho"/>
          <w:lang w:eastAsia="ja-JP"/>
        </w:rPr>
        <w:t>.</w:t>
      </w:r>
    </w:p>
    <w:p w:rsidR="00E60A46" w:rsidRDefault="00736885" w:rsidP="00E60A46">
      <w:pPr>
        <w:rPr>
          <w:rFonts w:eastAsia="MS Mincho"/>
          <w:lang w:eastAsia="ja-JP"/>
        </w:rPr>
      </w:pPr>
      <w:r>
        <w:rPr>
          <w:rFonts w:eastAsia="MS Mincho"/>
          <w:lang w:eastAsia="ja-JP"/>
        </w:rPr>
        <w:t>In several contributions, AWGN or flat fading channel is proposed. However, the real propagation channel is dispersed in delay and angular domain due to multipath propagation. This contribution discusses the multipath propagation in satellite/HAPS to UE links</w:t>
      </w:r>
      <w:r w:rsidR="002C6121">
        <w:rPr>
          <w:rFonts w:eastAsia="MS Mincho"/>
          <w:lang w:eastAsia="ja-JP"/>
        </w:rPr>
        <w:t xml:space="preserve"> and refers to several published results</w:t>
      </w:r>
      <w:r>
        <w:rPr>
          <w:rFonts w:eastAsia="MS Mincho"/>
          <w:lang w:eastAsia="ja-JP"/>
        </w:rPr>
        <w:t>.</w:t>
      </w:r>
    </w:p>
    <w:p w:rsidR="00736885" w:rsidRDefault="00736885" w:rsidP="00E60A46">
      <w:pPr>
        <w:rPr>
          <w:rFonts w:eastAsia="MS Mincho"/>
          <w:lang w:eastAsia="ja-JP"/>
        </w:rPr>
      </w:pPr>
    </w:p>
    <w:p w:rsidR="00E60A46" w:rsidRPr="00CF195E" w:rsidRDefault="00736885" w:rsidP="00E60A46">
      <w:pPr>
        <w:pStyle w:val="1"/>
      </w:pPr>
      <w:r>
        <w:t>General consideration</w:t>
      </w:r>
    </w:p>
    <w:p w:rsidR="00E60A46" w:rsidRDefault="00E60A46" w:rsidP="00736885">
      <w:pPr>
        <w:rPr>
          <w:rFonts w:eastAsia="MS Mincho"/>
          <w:lang w:eastAsia="ja-JP"/>
        </w:rPr>
      </w:pPr>
      <w:r>
        <w:rPr>
          <w:rFonts w:eastAsia="MS Mincho"/>
          <w:lang w:eastAsia="ja-JP"/>
        </w:rPr>
        <w:t xml:space="preserve">None of the existing 3GPP channel model covers satellite or airborne links. Therefore, there is a clear need </w:t>
      </w:r>
    </w:p>
    <w:p w:rsidR="00E60A46" w:rsidRDefault="00BC4981" w:rsidP="00E60A46">
      <w:pPr>
        <w:rPr>
          <w:rFonts w:eastAsia="MS Mincho"/>
          <w:lang w:eastAsia="ja-JP"/>
        </w:rPr>
      </w:pP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E25A81">
        <w:t xml:space="preserve">Figure </w:t>
      </w:r>
      <w:r w:rsidR="00E25A81">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E25A81">
        <w:t xml:space="preserve">Figure </w:t>
      </w:r>
      <w:r w:rsidR="00E25A81">
        <w:rPr>
          <w:noProof/>
        </w:rPr>
        <w:t>2</w:t>
      </w:r>
      <w:r>
        <w:rPr>
          <w:rFonts w:eastAsia="MS Mincho"/>
          <w:lang w:eastAsia="ja-JP"/>
        </w:rPr>
        <w:fldChar w:fldCharType="end"/>
      </w:r>
      <w:r w:rsidR="00E60A46">
        <w:rPr>
          <w:rFonts w:eastAsia="MS Mincho"/>
          <w:lang w:eastAsia="ja-JP"/>
        </w:rPr>
        <w:t xml:space="preserve"> compares the macro-cellular and satellite access links in NLOS and LOS cases, respectively. The terrestrial propagation is quite similar: multipath propagation is caused by objects near the user. However, the angular spread from satellite is almost zero (due to its distant location) while it can still be several degrees from the base station. The graphics in </w:t>
      </w: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E25A81">
        <w:t xml:space="preserve">Figure </w:t>
      </w:r>
      <w:r w:rsidR="00E25A81">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E25A81">
        <w:t xml:space="preserve">Figure </w:t>
      </w:r>
      <w:r w:rsidR="00E25A81">
        <w:rPr>
          <w:noProof/>
        </w:rPr>
        <w:t>2</w:t>
      </w:r>
      <w:r>
        <w:rPr>
          <w:rFonts w:eastAsia="MS Mincho"/>
          <w:lang w:eastAsia="ja-JP"/>
        </w:rPr>
        <w:fldChar w:fldCharType="end"/>
      </w:r>
      <w:r w:rsidR="00E60A46">
        <w:rPr>
          <w:rFonts w:eastAsia="MS Mincho"/>
          <w:lang w:eastAsia="ja-JP"/>
        </w:rPr>
        <w:t xml:space="preserve"> illustrate the difference.</w:t>
      </w:r>
    </w:p>
    <w:p w:rsidR="00E60A46" w:rsidRDefault="00D9348A" w:rsidP="00E60A46">
      <w:pPr>
        <w:jc w:val="center"/>
        <w:rPr>
          <w:rFonts w:eastAsia="MS Mincho"/>
          <w:lang w:eastAsia="ja-JP"/>
        </w:rPr>
      </w:pPr>
      <w:r>
        <w:rPr>
          <w:noProof/>
          <w:lang w:eastAsia="zh-CN"/>
        </w:rPr>
        <w:lastRenderedPageBreak/>
        <w:drawing>
          <wp:inline distT="0" distB="0" distL="0" distR="0">
            <wp:extent cx="4143375" cy="18764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43375" cy="1876425"/>
                    </a:xfrm>
                    <a:prstGeom prst="rect">
                      <a:avLst/>
                    </a:prstGeom>
                    <a:noFill/>
                    <a:ln w="9525">
                      <a:noFill/>
                      <a:miter lim="800000"/>
                      <a:headEnd/>
                      <a:tailEnd/>
                    </a:ln>
                  </pic:spPr>
                </pic:pic>
              </a:graphicData>
            </a:graphic>
          </wp:inline>
        </w:drawing>
      </w:r>
    </w:p>
    <w:p w:rsidR="00E60A46" w:rsidRDefault="00E60A46" w:rsidP="00E60A46">
      <w:pPr>
        <w:pStyle w:val="a5"/>
        <w:rPr>
          <w:rFonts w:eastAsia="MS Mincho"/>
          <w:lang w:eastAsia="ja-JP"/>
        </w:rPr>
      </w:pPr>
      <w:bookmarkStart w:id="3" w:name="_Ref492326040"/>
      <w:r>
        <w:t xml:space="preserve">Figure </w:t>
      </w:r>
      <w:r w:rsidR="00B903C9">
        <w:fldChar w:fldCharType="begin"/>
      </w:r>
      <w:r w:rsidR="00B903C9">
        <w:instrText xml:space="preserve"> SEQ Figure \* ARABIC </w:instrText>
      </w:r>
      <w:r w:rsidR="00B903C9">
        <w:fldChar w:fldCharType="separate"/>
      </w:r>
      <w:r w:rsidR="00E25A81">
        <w:rPr>
          <w:noProof/>
        </w:rPr>
        <w:t>1</w:t>
      </w:r>
      <w:r w:rsidR="00B903C9">
        <w:rPr>
          <w:noProof/>
        </w:rPr>
        <w:fldChar w:fldCharType="end"/>
      </w:r>
      <w:bookmarkEnd w:id="3"/>
      <w:r>
        <w:t>. Macro-cellular vs. satellite channel, NLOS.</w:t>
      </w:r>
    </w:p>
    <w:p w:rsidR="00E60A46" w:rsidRDefault="00D9348A" w:rsidP="00E60A46">
      <w:pPr>
        <w:jc w:val="center"/>
        <w:rPr>
          <w:rFonts w:eastAsia="MS Mincho"/>
          <w:lang w:eastAsia="ja-JP"/>
        </w:rPr>
      </w:pPr>
      <w:r>
        <w:rPr>
          <w:noProof/>
          <w:lang w:eastAsia="zh-CN"/>
        </w:rPr>
        <w:drawing>
          <wp:inline distT="0" distB="0" distL="0" distR="0">
            <wp:extent cx="4391025" cy="18764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91025" cy="1876425"/>
                    </a:xfrm>
                    <a:prstGeom prst="rect">
                      <a:avLst/>
                    </a:prstGeom>
                    <a:noFill/>
                    <a:ln w="9525">
                      <a:noFill/>
                      <a:miter lim="800000"/>
                      <a:headEnd/>
                      <a:tailEnd/>
                    </a:ln>
                  </pic:spPr>
                </pic:pic>
              </a:graphicData>
            </a:graphic>
          </wp:inline>
        </w:drawing>
      </w:r>
    </w:p>
    <w:p w:rsidR="00E60A46" w:rsidRDefault="00E60A46" w:rsidP="00E60A46">
      <w:pPr>
        <w:pStyle w:val="a5"/>
        <w:rPr>
          <w:rFonts w:eastAsia="MS Mincho"/>
          <w:lang w:eastAsia="ja-JP"/>
        </w:rPr>
      </w:pPr>
      <w:bookmarkStart w:id="4" w:name="_Ref492326042"/>
      <w:r>
        <w:t xml:space="preserve">Figure </w:t>
      </w:r>
      <w:r w:rsidR="00B903C9">
        <w:fldChar w:fldCharType="begin"/>
      </w:r>
      <w:r w:rsidR="00B903C9">
        <w:instrText xml:space="preserve"> SEQ Figure \* ARABIC </w:instrText>
      </w:r>
      <w:r w:rsidR="00B903C9">
        <w:fldChar w:fldCharType="separate"/>
      </w:r>
      <w:r w:rsidR="00E25A81">
        <w:rPr>
          <w:noProof/>
        </w:rPr>
        <w:t>2</w:t>
      </w:r>
      <w:r w:rsidR="00B903C9">
        <w:rPr>
          <w:noProof/>
        </w:rPr>
        <w:fldChar w:fldCharType="end"/>
      </w:r>
      <w:bookmarkEnd w:id="4"/>
      <w:r>
        <w:t>. Macro-cellular vs. satellite channel, LOS.</w:t>
      </w:r>
    </w:p>
    <w:p w:rsidR="00C40D27" w:rsidRPr="00C40D27" w:rsidRDefault="00736885" w:rsidP="00E60A46">
      <w:pPr>
        <w:rPr>
          <w:rFonts w:eastAsia="MS Mincho"/>
          <w:b/>
          <w:i/>
          <w:lang w:val="en-GB" w:eastAsia="ja-JP"/>
        </w:rPr>
      </w:pPr>
      <w:r>
        <w:rPr>
          <w:rFonts w:eastAsia="MS Mincho"/>
          <w:b/>
          <w:i/>
          <w:lang w:val="en-GB" w:eastAsia="ja-JP"/>
        </w:rPr>
        <w:t>Proposal 1</w:t>
      </w:r>
      <w:r w:rsidR="00057E35" w:rsidRPr="00057E35">
        <w:rPr>
          <w:rFonts w:eastAsia="MS Mincho"/>
          <w:b/>
          <w:i/>
          <w:lang w:val="en-GB" w:eastAsia="ja-JP"/>
        </w:rPr>
        <w:t xml:space="preserve">: The terrestrial multipath propagation </w:t>
      </w:r>
      <w:r w:rsidR="00C40D27">
        <w:rPr>
          <w:rFonts w:eastAsia="MS Mincho"/>
          <w:b/>
          <w:i/>
          <w:lang w:val="en-GB" w:eastAsia="ja-JP"/>
        </w:rPr>
        <w:t xml:space="preserve">caused by local scattering around the UE </w:t>
      </w:r>
      <w:r w:rsidR="00057E35" w:rsidRPr="00057E35">
        <w:rPr>
          <w:rFonts w:eastAsia="MS Mincho"/>
          <w:b/>
          <w:i/>
          <w:lang w:val="en-GB" w:eastAsia="ja-JP"/>
        </w:rPr>
        <w:t>should be included in the channel model.</w:t>
      </w:r>
    </w:p>
    <w:p w:rsidR="00736885" w:rsidRPr="00001043" w:rsidRDefault="00736885" w:rsidP="00E60A46">
      <w:pPr>
        <w:rPr>
          <w:rFonts w:eastAsia="MS Mincho"/>
          <w:b/>
          <w:lang w:val="en-GB" w:eastAsia="ja-JP"/>
        </w:rPr>
      </w:pPr>
    </w:p>
    <w:p w:rsidR="00736885" w:rsidRPr="00CF195E" w:rsidRDefault="00736885" w:rsidP="00736885">
      <w:pPr>
        <w:pStyle w:val="1"/>
      </w:pPr>
      <w:r>
        <w:t>Satellite to UE and HAPS to UE propagation</w:t>
      </w:r>
    </w:p>
    <w:p w:rsidR="00736885" w:rsidRPr="00FD46E1" w:rsidRDefault="0066142C" w:rsidP="00E60A46">
      <w:pPr>
        <w:rPr>
          <w:rFonts w:eastAsia="MS Mincho"/>
          <w:lang w:eastAsia="ja-JP"/>
        </w:rPr>
      </w:pPr>
      <w:r w:rsidRPr="0066142C">
        <w:rPr>
          <w:rFonts w:eastAsia="MS Mincho"/>
          <w:lang w:eastAsia="ja-JP"/>
        </w:rPr>
        <w:t xml:space="preserve">From UE point of view, there is not much difference between satellite to UE and HAPS to UE propagation as can be understood from </w:t>
      </w:r>
      <w:r w:rsidR="00B903C9">
        <w:fldChar w:fldCharType="begin"/>
      </w:r>
      <w:r w:rsidR="00B903C9">
        <w:instrText xml:space="preserve"> REF _Ref492326040 \h  \* MERGEFORMAT </w:instrText>
      </w:r>
      <w:r w:rsidR="00B903C9">
        <w:fldChar w:fldCharType="separate"/>
      </w:r>
      <w:r w:rsidR="00E25A81">
        <w:t>Figure 1</w:t>
      </w:r>
      <w:r w:rsidR="00B903C9">
        <w:fldChar w:fldCharType="end"/>
      </w:r>
      <w:r w:rsidRPr="0066142C">
        <w:rPr>
          <w:rFonts w:eastAsia="MS Mincho"/>
          <w:lang w:eastAsia="ja-JP"/>
        </w:rPr>
        <w:t xml:space="preserve"> and </w:t>
      </w:r>
      <w:r w:rsidR="00B903C9">
        <w:fldChar w:fldCharType="begin"/>
      </w:r>
      <w:r w:rsidR="00B903C9">
        <w:instrText xml:space="preserve"> REF _Ref492326042 \h  \* MERGEFORMAT </w:instrText>
      </w:r>
      <w:r w:rsidR="00B903C9">
        <w:fldChar w:fldCharType="separate"/>
      </w:r>
      <w:r w:rsidR="00E25A81">
        <w:t>Figure 2</w:t>
      </w:r>
      <w:r w:rsidR="00B903C9">
        <w:fldChar w:fldCharType="end"/>
      </w:r>
      <w:r w:rsidRPr="0066142C">
        <w:rPr>
          <w:rFonts w:eastAsia="MS Mincho"/>
          <w:lang w:eastAsia="ja-JP"/>
        </w:rPr>
        <w:t xml:space="preserve">. </w:t>
      </w:r>
    </w:p>
    <w:p w:rsidR="001274D8" w:rsidRDefault="0066142C" w:rsidP="00E60A46">
      <w:pPr>
        <w:rPr>
          <w:rFonts w:eastAsia="MS Mincho"/>
          <w:lang w:eastAsia="ja-JP"/>
        </w:rPr>
      </w:pPr>
      <w:r w:rsidRPr="0066142C">
        <w:rPr>
          <w:rFonts w:eastAsia="MS Mincho"/>
          <w:lang w:eastAsia="ja-JP"/>
        </w:rPr>
        <w:t xml:space="preserve">Measurements have shown about 200 ns excess delay for Zeppelin (HAPS) to UE link </w:t>
      </w:r>
      <w:r w:rsidR="00B903C9">
        <w:fldChar w:fldCharType="begin"/>
      </w:r>
      <w:r w:rsidR="00B903C9">
        <w:instrText xml:space="preserve"> REF _Ref505685411 \r \h  \* MERGEFORMAT </w:instrText>
      </w:r>
      <w:r w:rsidR="00B903C9">
        <w:fldChar w:fldCharType="separate"/>
      </w:r>
      <w:r w:rsidR="00F56C40" w:rsidRPr="00F56C40">
        <w:rPr>
          <w:rFonts w:eastAsia="MS Mincho"/>
          <w:lang w:eastAsia="ja-JP"/>
        </w:rPr>
        <w:t>[20]</w:t>
      </w:r>
      <w:r w:rsidR="00B903C9">
        <w:fldChar w:fldCharType="end"/>
      </w:r>
      <w:r w:rsidRPr="0066142C">
        <w:rPr>
          <w:rFonts w:eastAsia="MS Mincho"/>
          <w:lang w:eastAsia="ja-JP"/>
        </w:rPr>
        <w:t xml:space="preserve">. Number of coexisting echoes during a drive through the city center of Munich with the Zeppelin at 40° elevation  varied from 5 to 50. The same book </w:t>
      </w:r>
      <w:r w:rsidR="00B903C9">
        <w:fldChar w:fldCharType="begin"/>
      </w:r>
      <w:r w:rsidR="00B903C9">
        <w:instrText xml:space="preserve"> REF _Ref505685411 \r \h  \* MERGEFORMAT</w:instrText>
      </w:r>
      <w:r w:rsidR="00B903C9">
        <w:instrText xml:space="preserve"> </w:instrText>
      </w:r>
      <w:r w:rsidR="00B903C9">
        <w:fldChar w:fldCharType="separate"/>
      </w:r>
      <w:r w:rsidR="00F56C40" w:rsidRPr="00F56C40">
        <w:rPr>
          <w:rFonts w:eastAsia="MS Mincho"/>
          <w:lang w:eastAsia="ja-JP"/>
        </w:rPr>
        <w:t>[20]</w:t>
      </w:r>
      <w:r w:rsidR="00B903C9">
        <w:fldChar w:fldCharType="end"/>
      </w:r>
      <w:r w:rsidRPr="0066142C">
        <w:rPr>
          <w:rFonts w:eastAsia="MS Mincho"/>
          <w:lang w:eastAsia="ja-JP"/>
        </w:rPr>
        <w:t xml:space="preserve"> shows the strong dependency of delay spread on the elevation angle, starting from excess delays longer than 1000 ns (5° elevation) to around 300 ns (80° elevation).</w:t>
      </w:r>
    </w:p>
    <w:p w:rsidR="00A130B8" w:rsidRDefault="00A130B8" w:rsidP="00E60A46">
      <w:pPr>
        <w:rPr>
          <w:rFonts w:eastAsia="MS Mincho"/>
          <w:lang w:eastAsia="ja-JP"/>
        </w:rPr>
      </w:pPr>
      <w:r>
        <w:rPr>
          <w:rFonts w:eastAsia="MS Mincho"/>
          <w:lang w:eastAsia="ja-JP"/>
        </w:rPr>
        <w:t xml:space="preserve">Wideband measurements were done for 7.5, 15, 22.5 and 30 degree elevation angles in </w:t>
      </w:r>
      <w:r w:rsidR="00BC4981">
        <w:rPr>
          <w:rFonts w:eastAsia="MS Mincho"/>
          <w:lang w:eastAsia="ja-JP"/>
        </w:rPr>
        <w:fldChar w:fldCharType="begin"/>
      </w:r>
      <w:r>
        <w:rPr>
          <w:rFonts w:eastAsia="MS Mincho"/>
          <w:lang w:eastAsia="ja-JP"/>
        </w:rPr>
        <w:instrText xml:space="preserve"> REF _Ref505857453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[21]</w:t>
      </w:r>
      <w:r w:rsidR="00BC4981">
        <w:rPr>
          <w:rFonts w:eastAsia="MS Mincho"/>
          <w:lang w:eastAsia="ja-JP"/>
        </w:rPr>
        <w:fldChar w:fldCharType="end"/>
      </w:r>
      <w:r>
        <w:rPr>
          <w:rFonts w:eastAsia="MS Mincho"/>
          <w:lang w:eastAsia="ja-JP"/>
        </w:rPr>
        <w:t>. The results show 98.1, 54.9, 24.3, and 18.3 ns mean r.m.s. delay spread for the mentioned elevation angles. The 90% percentile values are higher: about 180, 95, 40, and 30 ns. The maximum excess delays were up to 1570 ns.</w:t>
      </w:r>
    </w:p>
    <w:p w:rsidR="0079532C" w:rsidRPr="00FD46E1" w:rsidRDefault="0079532C" w:rsidP="00E60A46">
      <w:pPr>
        <w:rPr>
          <w:rFonts w:eastAsia="MS Mincho"/>
          <w:lang w:eastAsia="ja-JP"/>
        </w:rPr>
      </w:pPr>
      <w:r>
        <w:rPr>
          <w:rFonts w:eastAsia="MS Mincho"/>
          <w:lang w:eastAsia="ja-JP"/>
        </w:rPr>
        <w:t xml:space="preserve">The review paper </w:t>
      </w:r>
      <w:r w:rsidR="00BC4981">
        <w:rPr>
          <w:rFonts w:eastAsia="MS Mincho"/>
          <w:lang w:eastAsia="ja-JP"/>
        </w:rPr>
        <w:fldChar w:fldCharType="begin"/>
      </w:r>
      <w:r>
        <w:rPr>
          <w:rFonts w:eastAsia="MS Mincho"/>
          <w:lang w:eastAsia="ja-JP"/>
        </w:rPr>
        <w:instrText xml:space="preserve"> REF _Ref505851008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[28]</w:t>
      </w:r>
      <w:r w:rsidR="00BC4981">
        <w:rPr>
          <w:rFonts w:eastAsia="MS Mincho"/>
          <w:lang w:eastAsia="ja-JP"/>
        </w:rPr>
        <w:fldChar w:fldCharType="end"/>
      </w:r>
      <w:r>
        <w:rPr>
          <w:rFonts w:eastAsia="MS Mincho"/>
          <w:lang w:eastAsia="ja-JP"/>
        </w:rPr>
        <w:t xml:space="preserve"> defines the flat fading as </w:t>
      </w:r>
      <m:oMath>
        <m:sSub>
          <m:sSubPr>
            <m:ctrlPr>
              <w:rPr>
                <w:rFonts w:ascii="Cambria Math" w:eastAsia="MS Mincho" w:hAnsi="Cambria Math"/>
                <w:i/>
                <w:lang w:eastAsia="ja-JP"/>
              </w:rPr>
            </m:ctrlPr>
          </m:sSubPr>
          <m:e>
            <m:r>
              <w:rPr>
                <w:rFonts w:ascii="Cambria Math" w:eastAsia="MS Mincho" w:hAnsi="Cambria Math"/>
                <w:lang w:eastAsia="ja-JP"/>
              </w:rPr>
              <m:t>σ</m:t>
            </m:r>
          </m:e>
          <m:sub>
            <m:r>
              <w:rPr>
                <w:rFonts w:ascii="Cambria Math" w:eastAsia="MS Mincho" w:hAnsi="Cambria Math"/>
                <w:lang w:eastAsia="ja-JP"/>
              </w:rPr>
              <m:t>τ</m:t>
            </m:r>
          </m:sub>
        </m:sSub>
        <m:r>
          <w:rPr>
            <w:rFonts w:ascii="Cambria Math" w:eastAsia="MS Mincho" w:hAnsi="Cambria Math"/>
            <w:lang w:eastAsia="ja-JP"/>
          </w:rPr>
          <m:t>&lt;1/(10B)</m:t>
        </m:r>
      </m:oMath>
      <w:r>
        <w:rPr>
          <w:rFonts w:eastAsia="MS Mincho"/>
          <w:lang w:eastAsia="ja-JP"/>
        </w:rPr>
        <w:t xml:space="preserve">, where </w:t>
      </w:r>
      <w:r w:rsidR="00F56C40" w:rsidRPr="00F56C40">
        <w:rPr>
          <w:rFonts w:eastAsia="MS Mincho"/>
          <w:i/>
          <w:lang w:eastAsia="ja-JP"/>
        </w:rPr>
        <w:t>B</w:t>
      </w:r>
      <w:r>
        <w:rPr>
          <w:rFonts w:eastAsia="MS Mincho"/>
          <w:lang w:eastAsia="ja-JP"/>
        </w:rPr>
        <w:t xml:space="preserve"> is the signal bandwidth and </w:t>
      </w:r>
      <m:oMath>
        <m:sSub>
          <m:sSubPr>
            <m:ctrlPr>
              <w:rPr>
                <w:rFonts w:ascii="Cambria Math" w:eastAsia="MS Mincho" w:hAnsi="Cambria Math"/>
                <w:i/>
                <w:lang w:eastAsia="ja-JP"/>
              </w:rPr>
            </m:ctrlPr>
          </m:sSubPr>
          <m:e>
            <m:r>
              <w:rPr>
                <w:rFonts w:ascii="Cambria Math" w:eastAsia="MS Mincho" w:hAnsi="Cambria Math"/>
                <w:lang w:eastAsia="ja-JP"/>
              </w:rPr>
              <m:t>σ</m:t>
            </m:r>
          </m:e>
          <m:sub>
            <m:r>
              <w:rPr>
                <w:rFonts w:ascii="Cambria Math" w:eastAsia="MS Mincho" w:hAnsi="Cambria Math"/>
                <w:lang w:eastAsia="ja-JP"/>
              </w:rPr>
              <m:t>τ</m:t>
            </m:r>
          </m:sub>
        </m:sSub>
      </m:oMath>
      <w:r>
        <w:rPr>
          <w:rFonts w:eastAsia="MS Mincho"/>
          <w:lang w:eastAsia="ja-JP"/>
        </w:rPr>
        <w:t xml:space="preserve"> is the r.m.s. delay spread. Thus </w:t>
      </w:r>
      <m:oMath>
        <m:r>
          <w:rPr>
            <w:rFonts w:ascii="Cambria Math" w:eastAsia="MS Mincho" w:hAnsi="Cambria Math"/>
            <w:lang w:eastAsia="ja-JP"/>
          </w:rPr>
          <m:t>B&lt;1/(10</m:t>
        </m:r>
        <m:sSub>
          <m:sSubPr>
            <m:ctrlPr>
              <w:rPr>
                <w:rFonts w:ascii="Cambria Math" w:eastAsia="MS Mincho" w:hAnsi="Cambria Math"/>
                <w:i/>
                <w:lang w:eastAsia="ja-JP"/>
              </w:rPr>
            </m:ctrlPr>
          </m:sSubPr>
          <m:e>
            <m:r>
              <w:rPr>
                <w:rFonts w:ascii="Cambria Math" w:eastAsia="MS Mincho" w:hAnsi="Cambria Math"/>
                <w:lang w:eastAsia="ja-JP"/>
              </w:rPr>
              <m:t>σ</m:t>
            </m:r>
          </m:e>
          <m:sub>
            <m:r>
              <w:rPr>
                <w:rFonts w:ascii="Cambria Math" w:eastAsia="MS Mincho" w:hAnsi="Cambria Math"/>
                <w:lang w:eastAsia="ja-JP"/>
              </w:rPr>
              <m:t>τ</m:t>
            </m:r>
          </m:sub>
        </m:sSub>
        <m:r>
          <w:rPr>
            <w:rFonts w:ascii="Cambria Math" w:eastAsia="MS Mincho" w:hAnsi="Cambria Math"/>
            <w:lang w:eastAsia="ja-JP"/>
          </w:rPr>
          <m:t>)</m:t>
        </m:r>
      </m:oMath>
      <w:r>
        <w:rPr>
          <w:rFonts w:eastAsia="MS Mincho"/>
          <w:lang w:eastAsia="ja-JP"/>
        </w:rPr>
        <w:t>.</w:t>
      </w:r>
      <w:r w:rsidR="00F109F7">
        <w:rPr>
          <w:rFonts w:eastAsia="MS Mincho"/>
          <w:lang w:eastAsia="ja-JP"/>
        </w:rPr>
        <w:t xml:space="preserve"> Another review paper </w:t>
      </w:r>
      <w:r w:rsidR="00BC4981">
        <w:rPr>
          <w:rFonts w:eastAsia="MS Mincho"/>
          <w:lang w:eastAsia="ja-JP"/>
        </w:rPr>
        <w:fldChar w:fldCharType="begin"/>
      </w:r>
      <w:r w:rsidR="00F109F7">
        <w:rPr>
          <w:rFonts w:eastAsia="MS Mincho"/>
          <w:lang w:eastAsia="ja-JP"/>
        </w:rPr>
        <w:instrText xml:space="preserve"> REF _Ref505871364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[24]</w:t>
      </w:r>
      <w:r w:rsidR="00BC4981">
        <w:rPr>
          <w:rFonts w:eastAsia="MS Mincho"/>
          <w:lang w:eastAsia="ja-JP"/>
        </w:rPr>
        <w:fldChar w:fldCharType="end"/>
      </w:r>
      <w:r w:rsidR="00F109F7">
        <w:rPr>
          <w:rFonts w:eastAsia="MS Mincho"/>
          <w:lang w:eastAsia="ja-JP"/>
        </w:rPr>
        <w:t xml:space="preserve"> reports delay spread values from 29 to 63 ns.</w:t>
      </w:r>
    </w:p>
    <w:p w:rsidR="00736885" w:rsidRPr="00FD46E1" w:rsidRDefault="0066142C" w:rsidP="00E60A46">
      <w:pPr>
        <w:rPr>
          <w:rFonts w:eastAsia="MS Mincho"/>
          <w:lang w:eastAsia="ja-JP"/>
        </w:rPr>
      </w:pPr>
      <w:r w:rsidRPr="0066142C">
        <w:rPr>
          <w:rFonts w:eastAsia="MS Mincho"/>
          <w:lang w:eastAsia="ja-JP"/>
        </w:rPr>
        <w:t xml:space="preserve">Ray Tracing shows the r.m.s. curves for HAPS with 8 km altitude. 90% percentile of r.m.s. delay spread is less than 800 ns and 200 ns for 10 degrees and 30 degrees elevation angles, respectively </w:t>
      </w:r>
      <w:r w:rsidR="00B903C9">
        <w:fldChar w:fldCharType="begin"/>
      </w:r>
      <w:r w:rsidR="00B903C9">
        <w:instrText xml:space="preserve"> REF _Ref505791141 \r \h  \* MERGEFORMAT </w:instrText>
      </w:r>
      <w:r w:rsidR="00B903C9">
        <w:fldChar w:fldCharType="separate"/>
      </w:r>
      <w:r w:rsidR="00F56C40" w:rsidRPr="00F56C40">
        <w:rPr>
          <w:rFonts w:eastAsia="MS Mincho"/>
          <w:lang w:eastAsia="ja-JP"/>
        </w:rPr>
        <w:t>[25]</w:t>
      </w:r>
      <w:r w:rsidR="00B903C9">
        <w:fldChar w:fldCharType="end"/>
      </w:r>
      <w:r w:rsidRPr="0066142C">
        <w:rPr>
          <w:rFonts w:eastAsia="MS Mincho"/>
          <w:lang w:eastAsia="ja-JP"/>
        </w:rPr>
        <w:t>.</w:t>
      </w:r>
      <w:r w:rsidR="002C6121">
        <w:rPr>
          <w:rFonts w:eastAsia="MS Mincho"/>
          <w:lang w:eastAsia="ja-JP"/>
        </w:rPr>
        <w:t xml:space="preserve"> Another report on Ray Tracing suggests 160 and 700 ns delay spread for 40 and 10 degrees elevations (LOS), and 260 and 900 ns for 40 and 10 degrees elevation (NLOS), respectively</w:t>
      </w:r>
      <w:r w:rsidR="004B1773">
        <w:rPr>
          <w:rFonts w:eastAsia="MS Mincho"/>
          <w:lang w:eastAsia="ja-JP"/>
        </w:rPr>
        <w:t xml:space="preserve"> </w:t>
      </w:r>
      <w:r w:rsidR="00BC4981">
        <w:rPr>
          <w:rFonts w:eastAsia="MS Mincho"/>
          <w:lang w:eastAsia="ja-JP"/>
        </w:rPr>
        <w:fldChar w:fldCharType="begin"/>
      </w:r>
      <w:r w:rsidR="004B1773">
        <w:rPr>
          <w:rFonts w:eastAsia="MS Mincho"/>
          <w:lang w:eastAsia="ja-JP"/>
        </w:rPr>
        <w:instrText xml:space="preserve"> REF _Ref505852232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[27]</w:t>
      </w:r>
      <w:r w:rsidR="00BC4981">
        <w:rPr>
          <w:rFonts w:eastAsia="MS Mincho"/>
          <w:lang w:eastAsia="ja-JP"/>
        </w:rPr>
        <w:fldChar w:fldCharType="end"/>
      </w:r>
      <w:r w:rsidR="002C6121">
        <w:rPr>
          <w:rFonts w:eastAsia="MS Mincho"/>
          <w:lang w:eastAsia="ja-JP"/>
        </w:rPr>
        <w:t>. These numbers are obtained from urban environment. It is assumed that the delay spread in rural environment is shorter.</w:t>
      </w:r>
    </w:p>
    <w:p w:rsidR="00FD46E1" w:rsidRDefault="00846381" w:rsidP="00E60A46">
      <w:pPr>
        <w:rPr>
          <w:rFonts w:eastAsia="MS Mincho"/>
          <w:lang w:eastAsia="ja-JP"/>
        </w:rPr>
      </w:pPr>
      <w:r>
        <w:rPr>
          <w:rFonts w:eastAsia="MS Mincho"/>
          <w:lang w:eastAsia="ja-JP"/>
        </w:rPr>
        <w:lastRenderedPageBreak/>
        <w:t xml:space="preserve">Propagation for Wideband SIMO Land Mobile Satellite system in a dense urban environment was studied in </w:t>
      </w:r>
      <w:r w:rsidR="00BC4981">
        <w:rPr>
          <w:rFonts w:eastAsia="MS Mincho"/>
          <w:lang w:eastAsia="ja-JP"/>
        </w:rPr>
        <w:fldChar w:fldCharType="begin"/>
      </w:r>
      <w:r>
        <w:rPr>
          <w:rFonts w:eastAsia="MS Mincho"/>
          <w:lang w:eastAsia="ja-JP"/>
        </w:rPr>
        <w:instrText xml:space="preserve"> REF _Ref505851008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[28]</w:t>
      </w:r>
      <w:r w:rsidR="00BC4981">
        <w:rPr>
          <w:rFonts w:eastAsia="MS Mincho"/>
          <w:lang w:eastAsia="ja-JP"/>
        </w:rPr>
        <w:fldChar w:fldCharType="end"/>
      </w:r>
      <w:r>
        <w:rPr>
          <w:rFonts w:eastAsia="MS Mincho"/>
          <w:lang w:eastAsia="ja-JP"/>
        </w:rPr>
        <w:t>. The paper suggests from 318 to 920 ns r.m.s. delay spread values for LOS, and 759 to 860 ns for NLOS. The paper shows also reduced delay spread if multiple antennas are used in the receiver.</w:t>
      </w:r>
    </w:p>
    <w:p w:rsidR="00846381" w:rsidRPr="00FD46E1" w:rsidRDefault="00846381" w:rsidP="00E60A46">
      <w:pPr>
        <w:rPr>
          <w:rFonts w:eastAsia="MS Mincho"/>
          <w:lang w:eastAsia="ja-JP"/>
        </w:rPr>
      </w:pPr>
    </w:p>
    <w:p w:rsidR="006A4AA5" w:rsidRPr="00CF195E" w:rsidRDefault="006A4AA5" w:rsidP="006A4AA5">
      <w:pPr>
        <w:pStyle w:val="1"/>
      </w:pPr>
      <w:r>
        <w:t>Satellite to airplane/helicopter propagation</w:t>
      </w:r>
    </w:p>
    <w:p w:rsidR="006A4AA5" w:rsidRPr="00FD46E1" w:rsidRDefault="0066142C" w:rsidP="00E60A46">
      <w:pPr>
        <w:rPr>
          <w:rFonts w:eastAsia="MS Mincho"/>
          <w:lang w:eastAsia="ja-JP"/>
        </w:rPr>
      </w:pPr>
      <w:r w:rsidRPr="0066142C">
        <w:rPr>
          <w:rFonts w:eastAsia="MS Mincho"/>
          <w:lang w:eastAsia="ja-JP"/>
        </w:rPr>
        <w:t xml:space="preserve">Measurements on the satellite to airplane/helicopter propagation shows the delay spreads of max. 10.1 ns in the case of helicopter (max. excess delay 75 ns) </w:t>
      </w:r>
      <w:r w:rsidR="00B903C9">
        <w:fldChar w:fldCharType="begin"/>
      </w:r>
      <w:r w:rsidR="00B903C9">
        <w:instrText xml:space="preserve"> REF _Ref505787135 \r \h  \*</w:instrText>
      </w:r>
      <w:r w:rsidR="00B903C9">
        <w:instrText xml:space="preserve"> MERGEFORMAT </w:instrText>
      </w:r>
      <w:r w:rsidR="00B903C9">
        <w:fldChar w:fldCharType="separate"/>
      </w:r>
      <w:r w:rsidR="00F56C40" w:rsidRPr="00F56C40">
        <w:rPr>
          <w:rFonts w:eastAsia="MS Mincho"/>
          <w:lang w:eastAsia="ja-JP"/>
        </w:rPr>
        <w:t>[30]</w:t>
      </w:r>
      <w:r w:rsidR="00B903C9">
        <w:fldChar w:fldCharType="end"/>
      </w:r>
      <w:r w:rsidRPr="0066142C">
        <w:rPr>
          <w:rFonts w:eastAsia="MS Mincho"/>
          <w:lang w:eastAsia="ja-JP"/>
        </w:rPr>
        <w:t>. The delay spread is caused by the helicopter itself.</w:t>
      </w:r>
    </w:p>
    <w:p w:rsidR="006B7DE0" w:rsidRPr="00FD46E1" w:rsidRDefault="00B903C9" w:rsidP="00E60A46">
      <w:pPr>
        <w:rPr>
          <w:rFonts w:eastAsia="MS Mincho"/>
          <w:lang w:eastAsia="ja-JP"/>
        </w:rPr>
      </w:pPr>
      <w:r>
        <w:fldChar w:fldCharType="begin"/>
      </w:r>
      <w:r>
        <w:instrText xml:space="preserve"> REF _Ref505789238 \r \h  \* MERGEFORMAT </w:instrText>
      </w:r>
      <w:r>
        <w:fldChar w:fldCharType="separate"/>
      </w:r>
      <w:r w:rsidR="00F56C40" w:rsidRPr="00F56C40">
        <w:rPr>
          <w:rFonts w:eastAsia="MS Mincho"/>
          <w:lang w:eastAsia="ja-JP"/>
        </w:rPr>
        <w:t>[31]</w:t>
      </w:r>
      <w:r>
        <w:fldChar w:fldCharType="end"/>
      </w:r>
      <w:r w:rsidR="0066142C" w:rsidRPr="0066142C">
        <w:rPr>
          <w:rFonts w:eastAsia="MS Mincho"/>
          <w:lang w:eastAsia="ja-JP"/>
        </w:rPr>
        <w:t xml:space="preserve"> reports the long excess delay due to the ground reflection in the case of satellite-to-aircraft communication. </w:t>
      </w:r>
    </w:p>
    <w:p w:rsidR="006A4AA5" w:rsidRDefault="006A4AA5" w:rsidP="00E60A46">
      <w:pPr>
        <w:rPr>
          <w:rFonts w:eastAsia="MS Mincho"/>
          <w:b/>
          <w:lang w:eastAsia="ja-JP"/>
        </w:rPr>
      </w:pPr>
    </w:p>
    <w:p w:rsidR="006A4AA5" w:rsidRPr="00CF195E" w:rsidRDefault="006A4AA5" w:rsidP="006A4AA5">
      <w:pPr>
        <w:pStyle w:val="1"/>
      </w:pPr>
      <w:r>
        <w:t>Satellite-to-Indoor Models</w:t>
      </w:r>
    </w:p>
    <w:p w:rsidR="00953EF9" w:rsidRPr="00FD46E1" w:rsidRDefault="0066142C" w:rsidP="00E60A46">
      <w:pPr>
        <w:rPr>
          <w:rFonts w:eastAsia="MS Mincho"/>
          <w:lang w:eastAsia="ja-JP"/>
        </w:rPr>
      </w:pPr>
      <w:r w:rsidRPr="0066142C">
        <w:rPr>
          <w:rFonts w:eastAsia="MS Mincho"/>
          <w:lang w:eastAsia="ja-JP"/>
        </w:rPr>
        <w:t xml:space="preserve">Satellite to indoor models have been discussed, e.g. in the following papers: </w:t>
      </w:r>
      <w:r w:rsidR="00B903C9">
        <w:fldChar w:fldCharType="begin"/>
      </w:r>
      <w:r w:rsidR="00B903C9">
        <w:instrText xml:space="preserve"> REF _Ref505789026 \r \h  \* MERGEFORMAT </w:instrText>
      </w:r>
      <w:r w:rsidR="00B903C9">
        <w:fldChar w:fldCharType="separate"/>
      </w:r>
      <w:r w:rsidR="00F56C40" w:rsidRPr="00F56C40">
        <w:rPr>
          <w:rFonts w:eastAsia="MS Mincho"/>
          <w:lang w:eastAsia="ja-JP"/>
        </w:rPr>
        <w:t>[33]</w:t>
      </w:r>
      <w:r w:rsidR="00B903C9">
        <w:fldChar w:fldCharType="end"/>
      </w:r>
      <w:r w:rsidRPr="0066142C">
        <w:rPr>
          <w:rFonts w:eastAsia="MS Mincho"/>
          <w:lang w:eastAsia="ja-JP"/>
        </w:rPr>
        <w:t xml:space="preserve">, </w:t>
      </w:r>
      <w:r w:rsidR="00B903C9">
        <w:fldChar w:fldCharType="begin"/>
      </w:r>
      <w:r w:rsidR="00B903C9">
        <w:instrText xml:space="preserve"> REF _Ref505787143 \r \h  \* MERGEFORMAT </w:instrText>
      </w:r>
      <w:r w:rsidR="00B903C9">
        <w:fldChar w:fldCharType="separate"/>
      </w:r>
      <w:r w:rsidR="00F56C40" w:rsidRPr="00F56C40">
        <w:rPr>
          <w:rFonts w:eastAsia="MS Mincho"/>
          <w:lang w:eastAsia="ja-JP"/>
        </w:rPr>
        <w:t>[34]</w:t>
      </w:r>
      <w:r w:rsidR="00B903C9">
        <w:fldChar w:fldCharType="end"/>
      </w:r>
      <w:r w:rsidRPr="0066142C">
        <w:rPr>
          <w:rFonts w:eastAsia="MS Mincho"/>
          <w:lang w:eastAsia="ja-JP"/>
        </w:rPr>
        <w:t xml:space="preserve">, </w:t>
      </w:r>
      <w:r w:rsidR="00B903C9">
        <w:fldChar w:fldCharType="begin"/>
      </w:r>
      <w:r w:rsidR="00B903C9">
        <w:instrText xml:space="preserve"> REF _Ref505787286 \r \h  \* MERGEFORMAT </w:instrText>
      </w:r>
      <w:r w:rsidR="00B903C9">
        <w:fldChar w:fldCharType="separate"/>
      </w:r>
      <w:r w:rsidR="00F56C40" w:rsidRPr="00F56C40">
        <w:rPr>
          <w:rFonts w:eastAsia="MS Mincho"/>
          <w:lang w:eastAsia="ja-JP"/>
        </w:rPr>
        <w:t>[35]</w:t>
      </w:r>
      <w:r w:rsidR="00B903C9">
        <w:fldChar w:fldCharType="end"/>
      </w:r>
      <w:r w:rsidRPr="0066142C">
        <w:rPr>
          <w:rFonts w:eastAsia="MS Mincho"/>
          <w:lang w:eastAsia="ja-JP"/>
        </w:rPr>
        <w:t xml:space="preserve">, </w:t>
      </w:r>
      <w:r w:rsidR="00B903C9">
        <w:fldChar w:fldCharType="begin"/>
      </w:r>
      <w:r w:rsidR="00B903C9">
        <w:instrText xml:space="preserve"> REF _Ref505790545 \r \h  \* MERGEFORMAT </w:instrText>
      </w:r>
      <w:r w:rsidR="00B903C9">
        <w:fldChar w:fldCharType="separate"/>
      </w:r>
      <w:r w:rsidR="00F56C40" w:rsidRPr="00F56C40">
        <w:rPr>
          <w:rFonts w:eastAsia="MS Mincho"/>
          <w:lang w:eastAsia="ja-JP"/>
        </w:rPr>
        <w:t>[36]</w:t>
      </w:r>
      <w:r w:rsidR="00B903C9">
        <w:fldChar w:fldCharType="end"/>
      </w:r>
      <w:r w:rsidRPr="0066142C">
        <w:rPr>
          <w:rFonts w:eastAsia="MS Mincho"/>
          <w:lang w:eastAsia="ja-JP"/>
        </w:rPr>
        <w:t xml:space="preserve">. </w:t>
      </w:r>
    </w:p>
    <w:p w:rsidR="00953EF9" w:rsidRPr="00FD46E1" w:rsidRDefault="00B903C9" w:rsidP="00E60A46">
      <w:pPr>
        <w:rPr>
          <w:rFonts w:eastAsia="MS Mincho"/>
          <w:lang w:eastAsia="ja-JP"/>
        </w:rPr>
      </w:pPr>
      <w:r>
        <w:fldChar w:fldCharType="begin"/>
      </w:r>
      <w:r>
        <w:instrText xml:space="preserve"> REF _Ref505787286 \r \h </w:instrText>
      </w:r>
      <w:r>
        <w:instrText xml:space="preserve"> \* MERGEFORMAT </w:instrText>
      </w:r>
      <w:r>
        <w:fldChar w:fldCharType="separate"/>
      </w:r>
      <w:r w:rsidR="00F56C40" w:rsidRPr="00F56C40">
        <w:rPr>
          <w:rFonts w:eastAsia="MS Mincho"/>
          <w:lang w:eastAsia="ja-JP"/>
        </w:rPr>
        <w:t>[35]</w:t>
      </w:r>
      <w:r>
        <w:fldChar w:fldCharType="end"/>
      </w:r>
      <w:r w:rsidR="0066142C" w:rsidRPr="0066142C">
        <w:rPr>
          <w:rFonts w:eastAsia="MS Mincho"/>
          <w:lang w:eastAsia="ja-JP"/>
        </w:rPr>
        <w:t xml:space="preserve"> suggests maximum excess delay of about 125 ns, and </w:t>
      </w:r>
      <w:r>
        <w:fldChar w:fldCharType="begin"/>
      </w:r>
      <w:r>
        <w:instrText xml:space="preserve"> REF _Ref505789026 \r \h  \* MERGEFORMAT </w:instrText>
      </w:r>
      <w:r>
        <w:fldChar w:fldCharType="separate"/>
      </w:r>
      <w:r w:rsidR="00F56C40" w:rsidRPr="00F56C40">
        <w:rPr>
          <w:rFonts w:eastAsia="MS Mincho"/>
          <w:lang w:eastAsia="ja-JP"/>
        </w:rPr>
        <w:t>[33]</w:t>
      </w:r>
      <w:r>
        <w:fldChar w:fldCharType="end"/>
      </w:r>
      <w:r w:rsidR="0066142C" w:rsidRPr="0066142C">
        <w:rPr>
          <w:rFonts w:eastAsia="MS Mincho"/>
          <w:lang w:eastAsia="ja-JP"/>
        </w:rPr>
        <w:t xml:space="preserve"> &gt;100 ns. Maximum excess delay of 125 ns is reported in </w:t>
      </w:r>
      <w:r>
        <w:fldChar w:fldCharType="begin"/>
      </w:r>
      <w:r>
        <w:instrText xml:space="preserve"> REF _Ref505790545 \r \h  \* MERGEFORMAT </w:instrText>
      </w:r>
      <w:r>
        <w:fldChar w:fldCharType="separate"/>
      </w:r>
      <w:r w:rsidR="00F56C40" w:rsidRPr="00F56C40">
        <w:rPr>
          <w:rFonts w:eastAsia="MS Mincho"/>
          <w:lang w:eastAsia="ja-JP"/>
        </w:rPr>
        <w:t>[36]</w:t>
      </w:r>
      <w:r>
        <w:fldChar w:fldCharType="end"/>
      </w:r>
      <w:r w:rsidR="0066142C" w:rsidRPr="0066142C">
        <w:rPr>
          <w:rFonts w:eastAsia="MS Mincho"/>
          <w:lang w:eastAsia="ja-JP"/>
        </w:rPr>
        <w:t xml:space="preserve"> as well.</w:t>
      </w:r>
    </w:p>
    <w:p w:rsidR="006A4AA5" w:rsidRPr="00FD46E1" w:rsidRDefault="0066142C" w:rsidP="00E60A46">
      <w:pPr>
        <w:rPr>
          <w:rFonts w:eastAsia="MS Mincho"/>
          <w:lang w:eastAsia="ja-JP"/>
        </w:rPr>
      </w:pPr>
      <w:r w:rsidRPr="0066142C">
        <w:rPr>
          <w:rFonts w:eastAsia="MS Mincho"/>
          <w:lang w:eastAsia="ja-JP"/>
        </w:rPr>
        <w:t xml:space="preserve">The penetration loss is 2 – 20 dB in around 1 GHz </w:t>
      </w:r>
      <w:r w:rsidR="00B903C9">
        <w:fldChar w:fldCharType="begin"/>
      </w:r>
      <w:r w:rsidR="00B903C9">
        <w:instrText xml:space="preserve"> REF _Ref505789026 \r \h  \* MERGEFORMAT </w:instrText>
      </w:r>
      <w:r w:rsidR="00B903C9">
        <w:fldChar w:fldCharType="separate"/>
      </w:r>
      <w:r w:rsidR="00F56C40" w:rsidRPr="00F56C40">
        <w:rPr>
          <w:rFonts w:eastAsia="MS Mincho"/>
          <w:lang w:eastAsia="ja-JP"/>
        </w:rPr>
        <w:t>[33]</w:t>
      </w:r>
      <w:r w:rsidR="00B903C9">
        <w:fldChar w:fldCharType="end"/>
      </w:r>
      <w:r w:rsidRPr="0066142C">
        <w:rPr>
          <w:rFonts w:eastAsia="MS Mincho"/>
          <w:lang w:eastAsia="ja-JP"/>
        </w:rPr>
        <w:t>.</w:t>
      </w:r>
    </w:p>
    <w:p w:rsidR="006A4AA5" w:rsidRDefault="006A4AA5" w:rsidP="00E60A46">
      <w:pPr>
        <w:rPr>
          <w:rFonts w:eastAsia="MS Mincho"/>
          <w:lang w:eastAsia="ja-JP"/>
        </w:rPr>
      </w:pPr>
    </w:p>
    <w:p w:rsidR="00612A36" w:rsidRDefault="00612A36" w:rsidP="00612A36">
      <w:pPr>
        <w:pStyle w:val="1"/>
      </w:pPr>
      <w:r>
        <w:t>Impact of Atmospheric effects on delay spread</w:t>
      </w:r>
    </w:p>
    <w:p w:rsidR="00612A36" w:rsidRDefault="00B57F4A" w:rsidP="00E60A46">
      <w:pPr>
        <w:rPr>
          <w:rFonts w:eastAsia="MS Mincho"/>
          <w:lang w:eastAsia="ja-JP"/>
        </w:rPr>
      </w:pPr>
      <w:r w:rsidRPr="00B57F4A">
        <w:rPr>
          <w:rFonts w:eastAsia="MS Mincho"/>
          <w:lang w:eastAsia="ja-JP"/>
        </w:rPr>
        <w:t>The signal group delay varies f</w:t>
      </w:r>
      <w:r w:rsidR="0066142C" w:rsidRPr="00B57F4A">
        <w:rPr>
          <w:rFonts w:eastAsia="MS Mincho"/>
          <w:lang w:eastAsia="ja-JP"/>
        </w:rPr>
        <w:t xml:space="preserve">rom 0.5 to 500 ns </w:t>
      </w:r>
      <w:r w:rsidRPr="00B57F4A">
        <w:rPr>
          <w:rFonts w:eastAsia="MS Mincho"/>
          <w:lang w:eastAsia="ja-JP"/>
        </w:rPr>
        <w:t>due to the charged particles in the ionosphere</w:t>
      </w:r>
      <w:r>
        <w:rPr>
          <w:rFonts w:eastAsia="MS Mincho"/>
          <w:lang w:eastAsia="ja-JP"/>
        </w:rPr>
        <w:t xml:space="preserve"> </w:t>
      </w:r>
      <w:r w:rsidR="00BC4981">
        <w:rPr>
          <w:rFonts w:eastAsia="MS Mincho"/>
          <w:lang w:eastAsia="ja-JP"/>
        </w:rPr>
        <w:fldChar w:fldCharType="begin"/>
      </w:r>
      <w:r>
        <w:rPr>
          <w:rFonts w:eastAsia="MS Mincho"/>
          <w:lang w:eastAsia="ja-JP"/>
        </w:rPr>
        <w:instrText xml:space="preserve"> REF _Ref492328782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[9]</w:t>
      </w:r>
      <w:r w:rsidR="00BC4981">
        <w:rPr>
          <w:rFonts w:eastAsia="MS Mincho"/>
          <w:lang w:eastAsia="ja-JP"/>
        </w:rPr>
        <w:fldChar w:fldCharType="end"/>
      </w:r>
      <w:r w:rsidRPr="00B57F4A">
        <w:rPr>
          <w:rFonts w:eastAsia="MS Mincho"/>
          <w:lang w:eastAsia="ja-JP"/>
        </w:rPr>
        <w:t>.</w:t>
      </w:r>
      <w:r>
        <w:rPr>
          <w:rFonts w:eastAsia="MS Mincho"/>
          <w:lang w:eastAsia="ja-JP"/>
        </w:rPr>
        <w:t xml:space="preserve"> However the delay dispersion is inversely proportional to the frequency cubed. At 200 MHz, the delay dispersion is 20 ns, but at 600 MHz only 0.74 ns </w:t>
      </w:r>
      <w:r w:rsidR="00BC4981">
        <w:rPr>
          <w:rFonts w:eastAsia="MS Mincho"/>
          <w:lang w:eastAsia="ja-JP"/>
        </w:rPr>
        <w:fldChar w:fldCharType="begin"/>
      </w:r>
      <w:r>
        <w:rPr>
          <w:rFonts w:eastAsia="MS Mincho"/>
          <w:lang w:eastAsia="ja-JP"/>
        </w:rPr>
        <w:instrText xml:space="preserve"> REF _Ref492328782 \r \h </w:instrText>
      </w:r>
      <w:r w:rsidR="00BC4981">
        <w:rPr>
          <w:rFonts w:eastAsia="MS Mincho"/>
          <w:lang w:eastAsia="ja-JP"/>
        </w:rPr>
      </w:r>
      <w:r w:rsidR="00BC4981">
        <w:rPr>
          <w:rFonts w:eastAsia="MS Mincho"/>
          <w:lang w:eastAsia="ja-JP"/>
        </w:rPr>
        <w:fldChar w:fldCharType="separate"/>
      </w:r>
      <w:r w:rsidR="00E25A81">
        <w:rPr>
          <w:rFonts w:eastAsia="MS Mincho"/>
          <w:lang w:eastAsia="ja-JP"/>
        </w:rPr>
        <w:t>[9]</w:t>
      </w:r>
      <w:r w:rsidR="00BC4981">
        <w:rPr>
          <w:rFonts w:eastAsia="MS Mincho"/>
          <w:lang w:eastAsia="ja-JP"/>
        </w:rPr>
        <w:fldChar w:fldCharType="end"/>
      </w:r>
      <w:r>
        <w:rPr>
          <w:rFonts w:eastAsia="MS Mincho"/>
          <w:lang w:eastAsia="ja-JP"/>
        </w:rPr>
        <w:t>.</w:t>
      </w:r>
    </w:p>
    <w:p w:rsidR="00612A36" w:rsidRDefault="00612A36" w:rsidP="00E60A46">
      <w:pPr>
        <w:rPr>
          <w:rFonts w:eastAsia="MS Mincho"/>
          <w:lang w:eastAsia="ja-JP"/>
        </w:rPr>
      </w:pPr>
    </w:p>
    <w:p w:rsidR="004B1773" w:rsidRDefault="004B1773" w:rsidP="004B1773">
      <w:pPr>
        <w:pStyle w:val="1"/>
      </w:pPr>
      <w:r>
        <w:t>Summary of Delay Spread values</w:t>
      </w:r>
    </w:p>
    <w:p w:rsidR="004E340C" w:rsidRDefault="00BC4981" w:rsidP="004E340C">
      <w:pPr>
        <w:rPr>
          <w:rFonts w:eastAsia="MS Mincho"/>
          <w:b/>
          <w:sz w:val="20"/>
          <w:lang w:eastAsia="ja-JP"/>
        </w:rPr>
      </w:pPr>
      <w:r>
        <w:rPr>
          <w:rFonts w:eastAsia="MS Mincho"/>
          <w:lang w:eastAsia="ja-JP"/>
        </w:rPr>
        <w:fldChar w:fldCharType="begin"/>
      </w:r>
      <w:r w:rsidR="004E340C">
        <w:rPr>
          <w:rFonts w:eastAsia="MS Mincho"/>
          <w:lang w:eastAsia="ja-JP"/>
        </w:rPr>
        <w:instrText xml:space="preserve"> REF _Ref505863609 \h </w:instrText>
      </w:r>
      <w:r>
        <w:rPr>
          <w:rFonts w:eastAsia="MS Mincho"/>
          <w:lang w:eastAsia="ja-JP"/>
        </w:rPr>
      </w:r>
      <w:r>
        <w:rPr>
          <w:rFonts w:eastAsia="MS Mincho"/>
          <w:lang w:eastAsia="ja-JP"/>
        </w:rPr>
        <w:fldChar w:fldCharType="separate"/>
      </w:r>
      <w:r w:rsidR="00E25A81">
        <w:t xml:space="preserve">Table </w:t>
      </w:r>
      <w:r w:rsidR="00E25A81">
        <w:rPr>
          <w:noProof/>
        </w:rPr>
        <w:t>1</w:t>
      </w:r>
      <w:r>
        <w:rPr>
          <w:rFonts w:eastAsia="MS Mincho"/>
          <w:lang w:eastAsia="ja-JP"/>
        </w:rPr>
        <w:fldChar w:fldCharType="end"/>
      </w:r>
      <w:r w:rsidR="004E340C">
        <w:rPr>
          <w:rFonts w:eastAsia="MS Mincho"/>
          <w:lang w:eastAsia="ja-JP"/>
        </w:rPr>
        <w:t xml:space="preserve"> summarizes the delay spread values from the literature. It also shows the calculated coherence bandwidth </w:t>
      </w:r>
      <m:oMath>
        <m:r>
          <m:rPr>
            <m:sty m:val="bi"/>
          </m:rPr>
          <w:rPr>
            <w:rFonts w:ascii="Cambria Math" w:eastAsia="MS Mincho" w:hAnsi="Cambria Math"/>
            <w:sz w:val="20"/>
            <w:lang w:eastAsia="ja-JP"/>
          </w:rPr>
          <m:t>B</m:t>
        </m:r>
        <m:r>
          <w:rPr>
            <w:rFonts w:ascii="Cambria Math" w:eastAsia="MS Mincho" w:hAnsi="Cambria Math"/>
            <w:sz w:val="20"/>
            <w:lang w:eastAsia="ja-JP"/>
          </w:rPr>
          <m:t>=</m:t>
        </m:r>
        <m:r>
          <w:rPr>
            <w:rFonts w:ascii="Cambria Math" w:eastAsia="MS Mincho" w:hAnsi="Cambria Math" w:hint="eastAsia"/>
            <w:sz w:val="20"/>
            <w:lang w:eastAsia="ja-JP"/>
          </w:rPr>
          <m:t>1/</m:t>
        </m:r>
        <m:sSub>
          <m:sSubPr>
            <m:ctrlPr>
              <w:rPr>
                <w:rFonts w:ascii="Cambria Math" w:eastAsia="MS Mincho" w:hAnsi="Cambria Math"/>
                <w:i/>
                <w:sz w:val="20"/>
                <w:lang w:eastAsia="ja-JP"/>
              </w:rPr>
            </m:ctrlPr>
          </m:sSubPr>
          <m:e>
            <m:r>
              <m:rPr>
                <m:sty m:val="bi"/>
              </m:rPr>
              <w:rPr>
                <w:rFonts w:ascii="Cambria Math" w:eastAsia="MS Mincho" w:hAnsi="Cambria Math"/>
                <w:sz w:val="20"/>
                <w:lang w:eastAsia="ja-JP"/>
              </w:rPr>
              <m:t>σ</m:t>
            </m:r>
          </m:e>
          <m:sub>
            <m:r>
              <m:rPr>
                <m:sty m:val="bi"/>
              </m:rPr>
              <w:rPr>
                <w:rFonts w:ascii="Cambria Math" w:eastAsia="MS Mincho" w:hAnsi="Cambria Math"/>
                <w:sz w:val="20"/>
                <w:lang w:eastAsia="ja-JP"/>
              </w:rPr>
              <m:t>τ</m:t>
            </m:r>
          </m:sub>
        </m:sSub>
        <m:r>
          <m:rPr>
            <m:sty m:val="bi"/>
          </m:rPr>
          <w:rPr>
            <w:rFonts w:ascii="Cambria Math" w:eastAsia="MS Mincho" w:hAnsi="Cambria Math"/>
            <w:sz w:val="20"/>
            <w:lang w:eastAsia="ja-JP"/>
          </w:rPr>
          <m:t xml:space="preserve"> </m:t>
        </m:r>
      </m:oMath>
      <w:r w:rsidR="004E340C">
        <w:rPr>
          <w:rFonts w:eastAsia="MS Mincho"/>
          <w:lang w:eastAsia="ja-JP"/>
        </w:rPr>
        <w:t xml:space="preserve"> and the maximum bandwidth</w:t>
      </w:r>
      <w:r w:rsidR="004E340C" w:rsidRPr="004E340C">
        <w:rPr>
          <w:rFonts w:eastAsia="MS Mincho"/>
          <w:lang w:eastAsia="ja-JP"/>
        </w:rPr>
        <w:t xml:space="preserve"> in which the flat fading assumption is valid </w:t>
      </w:r>
      <m:oMath>
        <m:r>
          <w:rPr>
            <w:rFonts w:ascii="Cambria Math" w:eastAsia="MS Mincho" w:hAnsi="Cambria Math"/>
            <w:sz w:val="20"/>
            <w:lang w:eastAsia="ja-JP"/>
          </w:rPr>
          <m:t>B</m:t>
        </m:r>
        <m:r>
          <w:rPr>
            <w:rFonts w:ascii="Cambria Math" w:eastAsia="MS Mincho" w:hAnsi="Cambria Math" w:hint="eastAsia"/>
            <w:sz w:val="20"/>
            <w:lang w:eastAsia="ja-JP"/>
          </w:rPr>
          <m:t>&lt;1/(10</m:t>
        </m:r>
        <m:sSub>
          <m:sSubPr>
            <m:ctrlPr>
              <w:rPr>
                <w:rFonts w:ascii="Cambria Math" w:eastAsia="MS Mincho" w:hAnsi="Cambria Math"/>
                <w:i/>
                <w:sz w:val="20"/>
                <w:lang w:eastAsia="ja-JP"/>
              </w:rPr>
            </m:ctrlPr>
          </m:sSubPr>
          <m:e>
            <m:r>
              <w:rPr>
                <w:rFonts w:ascii="Cambria Math" w:eastAsia="MS Mincho" w:hAnsi="Cambria Math"/>
                <w:sz w:val="20"/>
                <w:lang w:eastAsia="ja-JP"/>
              </w:rPr>
              <m:t>σ</m:t>
            </m:r>
          </m:e>
          <m:sub>
            <m:r>
              <w:rPr>
                <w:rFonts w:ascii="Cambria Math" w:eastAsia="MS Mincho" w:hAnsi="Cambria Math"/>
                <w:sz w:val="20"/>
                <w:lang w:eastAsia="ja-JP"/>
              </w:rPr>
              <m:t>τ</m:t>
            </m:r>
          </m:sub>
        </m:sSub>
        <m:r>
          <w:rPr>
            <w:rFonts w:ascii="Cambria Math" w:eastAsia="MS Mincho" w:hAnsi="Cambria Math" w:hint="eastAsia"/>
            <w:sz w:val="20"/>
            <w:lang w:eastAsia="ja-JP"/>
          </w:rPr>
          <m:t>)</m:t>
        </m:r>
      </m:oMath>
      <w:r w:rsidR="00F56C40" w:rsidRPr="00F56C40">
        <w:rPr>
          <w:rFonts w:eastAsia="MS Mincho"/>
          <w:sz w:val="20"/>
          <w:lang w:eastAsia="ja-JP"/>
        </w:rPr>
        <w:t xml:space="preserve">. </w:t>
      </w:r>
      <w:r w:rsidR="004E340C">
        <w:rPr>
          <w:rFonts w:eastAsia="MS Mincho"/>
          <w:sz w:val="20"/>
          <w:lang w:eastAsia="ja-JP"/>
        </w:rPr>
        <w:t>(</w:t>
      </w:r>
      <w:r w:rsidR="00F56C40" w:rsidRPr="00F56C40">
        <w:rPr>
          <w:rFonts w:eastAsia="MS Mincho"/>
          <w:sz w:val="20"/>
          <w:lang w:eastAsia="ja-JP"/>
        </w:rPr>
        <w:t xml:space="preserve">Coherence bandwidth does </w:t>
      </w:r>
      <w:r w:rsidR="004E340C">
        <w:rPr>
          <w:rFonts w:eastAsia="MS Mincho"/>
          <w:sz w:val="20"/>
          <w:lang w:eastAsia="ja-JP"/>
        </w:rPr>
        <w:t>guarantee</w:t>
      </w:r>
      <w:r w:rsidR="00F56C40" w:rsidRPr="00F56C40">
        <w:rPr>
          <w:rFonts w:eastAsia="MS Mincho"/>
          <w:sz w:val="20"/>
          <w:lang w:eastAsia="ja-JP"/>
        </w:rPr>
        <w:t xml:space="preserve"> flat fading, </w:t>
      </w:r>
      <w:r w:rsidR="004E340C">
        <w:rPr>
          <w:rFonts w:eastAsia="MS Mincho"/>
          <w:sz w:val="20"/>
          <w:lang w:eastAsia="ja-JP"/>
        </w:rPr>
        <w:t>there may be quite high variation of signal amplitude within the coherence bandwidth</w:t>
      </w:r>
      <w:r w:rsidR="00F56C40" w:rsidRPr="00F56C40">
        <w:rPr>
          <w:rFonts w:eastAsia="MS Mincho"/>
          <w:sz w:val="20"/>
          <w:lang w:eastAsia="ja-JP"/>
        </w:rPr>
        <w:t>.</w:t>
      </w:r>
      <w:r w:rsidR="004E340C">
        <w:rPr>
          <w:rFonts w:eastAsia="MS Mincho"/>
          <w:sz w:val="20"/>
          <w:lang w:eastAsia="ja-JP"/>
        </w:rPr>
        <w:t>)</w:t>
      </w:r>
    </w:p>
    <w:p w:rsidR="004E340C" w:rsidRDefault="004E340C" w:rsidP="004E340C">
      <w:pPr>
        <w:rPr>
          <w:rFonts w:eastAsia="MS Mincho"/>
          <w:lang w:eastAsia="ja-JP"/>
        </w:rPr>
      </w:pPr>
    </w:p>
    <w:p w:rsidR="007B63DA" w:rsidRDefault="004E340C">
      <w:pPr>
        <w:pStyle w:val="a5"/>
      </w:pPr>
      <w:bookmarkStart w:id="5" w:name="_Ref505863609"/>
      <w:r>
        <w:t xml:space="preserve">Table </w:t>
      </w:r>
      <w:r w:rsidR="00BC4981">
        <w:fldChar w:fldCharType="begin"/>
      </w:r>
      <w:r>
        <w:instrText xml:space="preserve"> SEQ Table \* ARABIC </w:instrText>
      </w:r>
      <w:r w:rsidR="00BC4981">
        <w:fldChar w:fldCharType="separate"/>
      </w:r>
      <w:r w:rsidR="00E25A81">
        <w:rPr>
          <w:noProof/>
        </w:rPr>
        <w:t>1</w:t>
      </w:r>
      <w:r w:rsidR="00BC4981">
        <w:fldChar w:fldCharType="end"/>
      </w:r>
      <w:bookmarkEnd w:id="5"/>
      <w:r>
        <w:t>. Summary of delay spread, coherence bandwidth and flat fading bandwidth figures.</w:t>
      </w:r>
    </w:p>
    <w:tbl>
      <w:tblPr>
        <w:tblStyle w:val="40"/>
        <w:tblW w:w="9764" w:type="dxa"/>
        <w:tblLook w:val="04A0" w:firstRow="1" w:lastRow="0" w:firstColumn="1" w:lastColumn="0" w:noHBand="0" w:noVBand="1"/>
      </w:tblPr>
      <w:tblGrid>
        <w:gridCol w:w="943"/>
        <w:gridCol w:w="1477"/>
        <w:gridCol w:w="1216"/>
        <w:gridCol w:w="1331"/>
        <w:gridCol w:w="1804"/>
        <w:gridCol w:w="2993"/>
      </w:tblGrid>
      <w:tr w:rsidR="00467C2C" w:rsidTr="00467C2C">
        <w:trPr>
          <w:cnfStyle w:val="100000000000" w:firstRow="1" w:lastRow="0" w:firstColumn="0" w:lastColumn="0" w:oddVBand="0" w:evenVBand="0" w:oddHBand="0" w:evenHBand="0" w:firstRowFirstColumn="0" w:firstRowLastColumn="0" w:lastRowFirstColumn="0" w:lastRowLastColumn="0"/>
        </w:trPr>
        <w:tc>
          <w:tcPr>
            <w:tcW w:w="943" w:type="dxa"/>
          </w:tcPr>
          <w:p w:rsidR="00467C2C" w:rsidRDefault="00467C2C" w:rsidP="00467C2C">
            <w:pPr>
              <w:jc w:val="left"/>
              <w:rPr>
                <w:b w:val="0"/>
                <w:bCs w:val="0"/>
                <w:color w:val="auto"/>
              </w:rPr>
            </w:pPr>
            <w:r>
              <w:t>Ref.</w:t>
            </w:r>
          </w:p>
        </w:tc>
        <w:tc>
          <w:tcPr>
            <w:tcW w:w="1477" w:type="dxa"/>
          </w:tcPr>
          <w:p w:rsidR="00467C2C" w:rsidRDefault="00467C2C" w:rsidP="00467C2C">
            <w:pPr>
              <w:jc w:val="left"/>
              <w:rPr>
                <w:b w:val="0"/>
                <w:bCs w:val="0"/>
                <w:color w:val="auto"/>
              </w:rPr>
            </w:pPr>
            <w:r>
              <w:t>Maximum excess delay [ns]</w:t>
            </w:r>
          </w:p>
        </w:tc>
        <w:tc>
          <w:tcPr>
            <w:tcW w:w="1216" w:type="dxa"/>
          </w:tcPr>
          <w:p w:rsidR="00467C2C" w:rsidRDefault="00467C2C" w:rsidP="00467C2C">
            <w:pPr>
              <w:jc w:val="left"/>
              <w:rPr>
                <w:b w:val="0"/>
                <w:bCs w:val="0"/>
                <w:color w:val="auto"/>
              </w:rPr>
            </w:pPr>
            <w:r>
              <w:t>r.m.s. delay spread [ns]</w:t>
            </w:r>
          </w:p>
        </w:tc>
        <w:tc>
          <w:tcPr>
            <w:tcW w:w="1331" w:type="dxa"/>
          </w:tcPr>
          <w:p w:rsidR="00467C2C" w:rsidRDefault="00467C2C" w:rsidP="00467C2C">
            <w:pPr>
              <w:jc w:val="left"/>
              <w:rPr>
                <w:b w:val="0"/>
                <w:bCs w:val="0"/>
                <w:color w:val="auto"/>
              </w:rPr>
            </w:pPr>
            <w:r>
              <w:t>Calculated coherence bandwidth [MHz]</w:t>
            </w:r>
          </w:p>
        </w:tc>
        <w:tc>
          <w:tcPr>
            <w:tcW w:w="1804" w:type="dxa"/>
          </w:tcPr>
          <w:p w:rsidR="00F56C40" w:rsidRDefault="00467C2C" w:rsidP="00F56C40">
            <w:pPr>
              <w:jc w:val="left"/>
              <w:rPr>
                <w:rFonts w:eastAsia="MS Mincho"/>
                <w:b w:val="0"/>
                <w:bCs w:val="0"/>
                <w:color w:val="auto"/>
                <w:sz w:val="20"/>
                <w:lang w:eastAsia="ja-JP"/>
              </w:rPr>
            </w:pPr>
            <w:r>
              <w:t xml:space="preserve">Max. BW for flat fading assumption </w:t>
            </w:r>
            <m:oMath>
              <m:r>
                <m:rPr>
                  <m:sty m:val="bi"/>
                </m:rPr>
                <w:rPr>
                  <w:rFonts w:ascii="Cambria Math" w:eastAsia="MS Mincho" w:hAnsi="Cambria Math"/>
                  <w:sz w:val="20"/>
                  <w:lang w:eastAsia="ja-JP"/>
                </w:rPr>
                <m:t>B&lt;1/(10</m:t>
              </m:r>
              <m:sSub>
                <m:sSubPr>
                  <m:ctrlPr>
                    <w:rPr>
                      <w:rFonts w:ascii="Cambria Math" w:eastAsia="MS Mincho" w:hAnsi="Cambria Math"/>
                      <w:b w:val="0"/>
                      <w:bCs w:val="0"/>
                      <w:i/>
                      <w:color w:val="auto"/>
                      <w:sz w:val="20"/>
                      <w:lang w:eastAsia="ja-JP"/>
                    </w:rPr>
                  </m:ctrlPr>
                </m:sSubPr>
                <m:e>
                  <m:r>
                    <m:rPr>
                      <m:sty m:val="bi"/>
                    </m:rPr>
                    <w:rPr>
                      <w:rFonts w:ascii="Cambria Math" w:eastAsia="MS Mincho" w:hAnsi="Cambria Math"/>
                      <w:sz w:val="20"/>
                      <w:lang w:eastAsia="ja-JP"/>
                    </w:rPr>
                    <m:t>σ</m:t>
                  </m:r>
                </m:e>
                <m:sub>
                  <m:r>
                    <m:rPr>
                      <m:sty m:val="bi"/>
                    </m:rPr>
                    <w:rPr>
                      <w:rFonts w:ascii="Cambria Math" w:eastAsia="MS Mincho" w:hAnsi="Cambria Math"/>
                      <w:sz w:val="20"/>
                      <w:lang w:eastAsia="ja-JP"/>
                    </w:rPr>
                    <m:t>τ</m:t>
                  </m:r>
                </m:sub>
              </m:sSub>
              <m:r>
                <m:rPr>
                  <m:sty m:val="bi"/>
                </m:rPr>
                <w:rPr>
                  <w:rFonts w:ascii="Cambria Math" w:eastAsia="MS Mincho" w:hAnsi="Cambria Math"/>
                  <w:sz w:val="20"/>
                  <w:lang w:eastAsia="ja-JP"/>
                </w:rPr>
                <m:t>)</m:t>
              </m:r>
            </m:oMath>
            <w:r w:rsidRPr="00E84EB9">
              <w:rPr>
                <w:rFonts w:eastAsia="MS Mincho"/>
                <w:sz w:val="20"/>
                <w:lang w:eastAsia="ja-JP"/>
              </w:rPr>
              <w:t>.</w:t>
            </w:r>
          </w:p>
          <w:p w:rsidR="00467C2C" w:rsidRPr="0079532C" w:rsidRDefault="00467C2C" w:rsidP="00467C2C">
            <w:pPr>
              <w:jc w:val="left"/>
              <w:rPr>
                <w:b w:val="0"/>
              </w:rPr>
            </w:pPr>
            <w:r>
              <w:rPr>
                <w:b w:val="0"/>
              </w:rPr>
              <w:t xml:space="preserve"> [MHz]</w:t>
            </w:r>
          </w:p>
        </w:tc>
        <w:tc>
          <w:tcPr>
            <w:tcW w:w="2993" w:type="dxa"/>
          </w:tcPr>
          <w:p w:rsidR="00467C2C" w:rsidRDefault="00467C2C" w:rsidP="00467C2C">
            <w:pPr>
              <w:jc w:val="left"/>
              <w:rPr>
                <w:b w:val="0"/>
                <w:bCs w:val="0"/>
                <w:color w:val="auto"/>
              </w:rPr>
            </w:pPr>
            <w:r>
              <w:t>Notes</w:t>
            </w:r>
          </w:p>
        </w:tc>
      </w:tr>
      <w:tr w:rsidR="00467C2C" w:rsidTr="00467C2C">
        <w:tc>
          <w:tcPr>
            <w:tcW w:w="943" w:type="dxa"/>
          </w:tcPr>
          <w:p w:rsidR="00467C2C" w:rsidRDefault="00B903C9" w:rsidP="0077585C">
            <w:pPr>
              <w:jc w:val="left"/>
            </w:pPr>
            <w:r>
              <w:fldChar w:fldCharType="begin"/>
            </w:r>
            <w:r>
              <w:instrText xml:space="preserve"> REF _Ref505685411 \r \h  \* MERGEFORMAT </w:instrText>
            </w:r>
            <w:r>
              <w:fldChar w:fldCharType="separate"/>
            </w:r>
            <w:r w:rsidR="00E25A81">
              <w:t>[20]</w:t>
            </w:r>
            <w:r>
              <w:fldChar w:fldCharType="end"/>
            </w:r>
          </w:p>
        </w:tc>
        <w:tc>
          <w:tcPr>
            <w:tcW w:w="1477" w:type="dxa"/>
          </w:tcPr>
          <w:p w:rsidR="00467C2C" w:rsidRDefault="00467C2C" w:rsidP="0077585C">
            <w:pPr>
              <w:jc w:val="left"/>
            </w:pPr>
            <w:r>
              <w:t>200 … 1000</w:t>
            </w:r>
          </w:p>
        </w:tc>
        <w:tc>
          <w:tcPr>
            <w:tcW w:w="1216" w:type="dxa"/>
          </w:tcPr>
          <w:p w:rsidR="00467C2C" w:rsidRDefault="00467C2C" w:rsidP="0077585C">
            <w:pPr>
              <w:jc w:val="left"/>
            </w:pPr>
          </w:p>
        </w:tc>
        <w:tc>
          <w:tcPr>
            <w:tcW w:w="1331" w:type="dxa"/>
          </w:tcPr>
          <w:p w:rsidR="00467C2C" w:rsidRDefault="00467C2C" w:rsidP="0077585C">
            <w:pPr>
              <w:jc w:val="left"/>
            </w:pPr>
          </w:p>
        </w:tc>
        <w:tc>
          <w:tcPr>
            <w:tcW w:w="1804" w:type="dxa"/>
          </w:tcPr>
          <w:p w:rsidR="00467C2C" w:rsidRDefault="00467C2C" w:rsidP="0077585C">
            <w:pPr>
              <w:jc w:val="left"/>
            </w:pPr>
          </w:p>
        </w:tc>
        <w:tc>
          <w:tcPr>
            <w:tcW w:w="2993" w:type="dxa"/>
          </w:tcPr>
          <w:p w:rsidR="00467C2C" w:rsidRDefault="00467C2C" w:rsidP="0077585C">
            <w:pPr>
              <w:jc w:val="left"/>
            </w:pPr>
          </w:p>
        </w:tc>
      </w:tr>
      <w:tr w:rsidR="00467C2C" w:rsidTr="00467C2C">
        <w:tc>
          <w:tcPr>
            <w:tcW w:w="943" w:type="dxa"/>
          </w:tcPr>
          <w:p w:rsidR="00467C2C" w:rsidRDefault="00BC4981" w:rsidP="0077585C">
            <w:pPr>
              <w:jc w:val="left"/>
            </w:pPr>
            <w:r>
              <w:fldChar w:fldCharType="begin"/>
            </w:r>
            <w:r w:rsidR="00467C2C">
              <w:instrText xml:space="preserve"> REF _Ref505857453 \r \h </w:instrText>
            </w:r>
            <w:r>
              <w:fldChar w:fldCharType="separate"/>
            </w:r>
            <w:r w:rsidR="00E25A81">
              <w:t>[21]</w:t>
            </w:r>
            <w:r>
              <w:fldChar w:fldCharType="end"/>
            </w:r>
          </w:p>
        </w:tc>
        <w:tc>
          <w:tcPr>
            <w:tcW w:w="1477" w:type="dxa"/>
          </w:tcPr>
          <w:p w:rsidR="00467C2C" w:rsidRDefault="00467C2C" w:rsidP="0077585C">
            <w:pPr>
              <w:jc w:val="left"/>
            </w:pPr>
            <w:r>
              <w:t>256 … 1570</w:t>
            </w:r>
          </w:p>
        </w:tc>
        <w:tc>
          <w:tcPr>
            <w:tcW w:w="1216" w:type="dxa"/>
          </w:tcPr>
          <w:p w:rsidR="00467C2C" w:rsidRDefault="00467C2C" w:rsidP="0077585C">
            <w:pPr>
              <w:jc w:val="left"/>
            </w:pPr>
            <w:r>
              <w:t>18.3 … 180</w:t>
            </w:r>
          </w:p>
        </w:tc>
        <w:tc>
          <w:tcPr>
            <w:tcW w:w="1331" w:type="dxa"/>
          </w:tcPr>
          <w:p w:rsidR="00467C2C" w:rsidRDefault="00467C2C" w:rsidP="0077585C">
            <w:pPr>
              <w:jc w:val="left"/>
            </w:pPr>
            <w:r>
              <w:t>5.55 … 54.6</w:t>
            </w:r>
          </w:p>
        </w:tc>
        <w:tc>
          <w:tcPr>
            <w:tcW w:w="1804" w:type="dxa"/>
          </w:tcPr>
          <w:p w:rsidR="00467C2C" w:rsidRDefault="00467C2C" w:rsidP="0077585C">
            <w:pPr>
              <w:jc w:val="left"/>
            </w:pPr>
            <w:r>
              <w:t>0.555 … 5.46</w:t>
            </w:r>
          </w:p>
        </w:tc>
        <w:tc>
          <w:tcPr>
            <w:tcW w:w="2993" w:type="dxa"/>
          </w:tcPr>
          <w:p w:rsidR="00467C2C" w:rsidRDefault="00467C2C" w:rsidP="0077585C">
            <w:pPr>
              <w:jc w:val="left"/>
            </w:pPr>
          </w:p>
        </w:tc>
      </w:tr>
      <w:tr w:rsidR="00E25A81" w:rsidTr="00467C2C">
        <w:tc>
          <w:tcPr>
            <w:tcW w:w="943" w:type="dxa"/>
          </w:tcPr>
          <w:p w:rsidR="00E25A81" w:rsidRDefault="00BC4981" w:rsidP="0077585C">
            <w:pPr>
              <w:jc w:val="left"/>
            </w:pPr>
            <w:r>
              <w:fldChar w:fldCharType="begin"/>
            </w:r>
            <w:r w:rsidR="00E25A81">
              <w:instrText xml:space="preserve"> REF _Ref505871364 \r \h </w:instrText>
            </w:r>
            <w:r>
              <w:fldChar w:fldCharType="separate"/>
            </w:r>
            <w:r w:rsidR="00E25A81">
              <w:t>[24]</w:t>
            </w:r>
            <w:r>
              <w:fldChar w:fldCharType="end"/>
            </w:r>
          </w:p>
        </w:tc>
        <w:tc>
          <w:tcPr>
            <w:tcW w:w="1477" w:type="dxa"/>
          </w:tcPr>
          <w:p w:rsidR="00E25A81" w:rsidRDefault="00E25A81" w:rsidP="0077585C">
            <w:pPr>
              <w:jc w:val="left"/>
            </w:pPr>
          </w:p>
        </w:tc>
        <w:tc>
          <w:tcPr>
            <w:tcW w:w="1216" w:type="dxa"/>
          </w:tcPr>
          <w:p w:rsidR="00E25A81" w:rsidRDefault="00E25A81" w:rsidP="0077585C">
            <w:pPr>
              <w:jc w:val="left"/>
            </w:pPr>
            <w:r>
              <w:t>29 … 63</w:t>
            </w:r>
          </w:p>
        </w:tc>
        <w:tc>
          <w:tcPr>
            <w:tcW w:w="1331" w:type="dxa"/>
          </w:tcPr>
          <w:p w:rsidR="00E25A81" w:rsidRDefault="00E25A81" w:rsidP="0077585C">
            <w:pPr>
              <w:jc w:val="left"/>
            </w:pPr>
            <w:r>
              <w:t>15.9 … 34.5</w:t>
            </w:r>
          </w:p>
        </w:tc>
        <w:tc>
          <w:tcPr>
            <w:tcW w:w="1804" w:type="dxa"/>
          </w:tcPr>
          <w:p w:rsidR="00E25A81" w:rsidRDefault="00E25A81" w:rsidP="0077585C">
            <w:pPr>
              <w:jc w:val="left"/>
            </w:pPr>
            <w:r>
              <w:t>1.59 … 3.45</w:t>
            </w:r>
          </w:p>
        </w:tc>
        <w:tc>
          <w:tcPr>
            <w:tcW w:w="2993" w:type="dxa"/>
          </w:tcPr>
          <w:p w:rsidR="00E25A81" w:rsidRDefault="00E25A81" w:rsidP="0077585C">
            <w:pPr>
              <w:jc w:val="left"/>
            </w:pPr>
          </w:p>
        </w:tc>
      </w:tr>
      <w:tr w:rsidR="00467C2C" w:rsidTr="00467C2C">
        <w:tc>
          <w:tcPr>
            <w:tcW w:w="943" w:type="dxa"/>
          </w:tcPr>
          <w:p w:rsidR="00467C2C" w:rsidRDefault="00B903C9" w:rsidP="0077585C">
            <w:pPr>
              <w:jc w:val="left"/>
            </w:pPr>
            <w:r>
              <w:fldChar w:fldCharType="begin"/>
            </w:r>
            <w:r>
              <w:instrText xml:space="preserve"> REF _Ref505791141 \r \h  \* MERGEFORMAT </w:instrText>
            </w:r>
            <w:r>
              <w:fldChar w:fldCharType="separate"/>
            </w:r>
            <w:r w:rsidR="00E25A81">
              <w:t>[25]</w:t>
            </w:r>
            <w:r>
              <w:fldChar w:fldCharType="end"/>
            </w:r>
          </w:p>
        </w:tc>
        <w:tc>
          <w:tcPr>
            <w:tcW w:w="1477" w:type="dxa"/>
          </w:tcPr>
          <w:p w:rsidR="00467C2C" w:rsidRDefault="00467C2C" w:rsidP="0077585C">
            <w:pPr>
              <w:jc w:val="left"/>
            </w:pPr>
          </w:p>
        </w:tc>
        <w:tc>
          <w:tcPr>
            <w:tcW w:w="1216" w:type="dxa"/>
          </w:tcPr>
          <w:p w:rsidR="00467C2C" w:rsidRDefault="00467C2C" w:rsidP="0077585C">
            <w:pPr>
              <w:jc w:val="left"/>
            </w:pPr>
            <w:r>
              <w:t>200 … 800</w:t>
            </w:r>
          </w:p>
        </w:tc>
        <w:tc>
          <w:tcPr>
            <w:tcW w:w="1331" w:type="dxa"/>
          </w:tcPr>
          <w:p w:rsidR="00467C2C" w:rsidRDefault="00467C2C" w:rsidP="0077585C">
            <w:pPr>
              <w:jc w:val="left"/>
            </w:pPr>
            <w:r>
              <w:t>1.25 … 5.00</w:t>
            </w:r>
          </w:p>
        </w:tc>
        <w:tc>
          <w:tcPr>
            <w:tcW w:w="1804" w:type="dxa"/>
          </w:tcPr>
          <w:p w:rsidR="00467C2C" w:rsidRDefault="00467C2C" w:rsidP="0077585C">
            <w:pPr>
              <w:jc w:val="left"/>
            </w:pPr>
            <w:r>
              <w:t>0.125 … 0.500</w:t>
            </w:r>
          </w:p>
        </w:tc>
        <w:tc>
          <w:tcPr>
            <w:tcW w:w="2993" w:type="dxa"/>
          </w:tcPr>
          <w:p w:rsidR="00467C2C" w:rsidRDefault="00467C2C" w:rsidP="0077585C">
            <w:pPr>
              <w:jc w:val="left"/>
            </w:pPr>
          </w:p>
        </w:tc>
      </w:tr>
      <w:tr w:rsidR="00467C2C" w:rsidTr="00467C2C">
        <w:tc>
          <w:tcPr>
            <w:tcW w:w="943" w:type="dxa"/>
          </w:tcPr>
          <w:p w:rsidR="00467C2C" w:rsidRDefault="00B903C9" w:rsidP="0077585C">
            <w:pPr>
              <w:jc w:val="left"/>
              <w:rPr>
                <w:b/>
                <w:bCs/>
              </w:rPr>
            </w:pPr>
            <w:r>
              <w:fldChar w:fldCharType="begin"/>
            </w:r>
            <w:r>
              <w:instrText xml:space="preserve"> REF _Ref505852232 \r \h  \* MERGEFORMAT </w:instrText>
            </w:r>
            <w:r>
              <w:fldChar w:fldCharType="separate"/>
            </w:r>
            <w:r w:rsidR="00E25A81">
              <w:t>[27]</w:t>
            </w:r>
            <w:r>
              <w:fldChar w:fldCharType="end"/>
            </w:r>
          </w:p>
        </w:tc>
        <w:tc>
          <w:tcPr>
            <w:tcW w:w="1477" w:type="dxa"/>
          </w:tcPr>
          <w:p w:rsidR="00467C2C" w:rsidRDefault="00467C2C" w:rsidP="0077585C">
            <w:pPr>
              <w:jc w:val="left"/>
            </w:pPr>
          </w:p>
        </w:tc>
        <w:tc>
          <w:tcPr>
            <w:tcW w:w="1216" w:type="dxa"/>
          </w:tcPr>
          <w:p w:rsidR="00467C2C" w:rsidRDefault="00467C2C" w:rsidP="0077585C">
            <w:pPr>
              <w:jc w:val="left"/>
            </w:pPr>
            <w:r>
              <w:t>160 … 900</w:t>
            </w:r>
          </w:p>
        </w:tc>
        <w:tc>
          <w:tcPr>
            <w:tcW w:w="1331" w:type="dxa"/>
          </w:tcPr>
          <w:p w:rsidR="00467C2C" w:rsidRDefault="00467C2C" w:rsidP="0077585C">
            <w:pPr>
              <w:jc w:val="left"/>
            </w:pPr>
            <w:r>
              <w:t>1.11 … 6.25</w:t>
            </w:r>
          </w:p>
        </w:tc>
        <w:tc>
          <w:tcPr>
            <w:tcW w:w="1804" w:type="dxa"/>
          </w:tcPr>
          <w:p w:rsidR="00467C2C" w:rsidRDefault="00467C2C" w:rsidP="0077585C">
            <w:pPr>
              <w:jc w:val="left"/>
            </w:pPr>
            <w:r>
              <w:t>0.111 … 0.625</w:t>
            </w:r>
          </w:p>
        </w:tc>
        <w:tc>
          <w:tcPr>
            <w:tcW w:w="2993" w:type="dxa"/>
          </w:tcPr>
          <w:p w:rsidR="00467C2C" w:rsidRDefault="00467C2C" w:rsidP="0077585C">
            <w:pPr>
              <w:jc w:val="left"/>
            </w:pPr>
          </w:p>
        </w:tc>
      </w:tr>
      <w:tr w:rsidR="00467C2C" w:rsidTr="00467C2C">
        <w:tc>
          <w:tcPr>
            <w:tcW w:w="943" w:type="dxa"/>
          </w:tcPr>
          <w:p w:rsidR="00467C2C" w:rsidRDefault="00B903C9" w:rsidP="0077585C">
            <w:pPr>
              <w:jc w:val="left"/>
            </w:pPr>
            <w:r>
              <w:fldChar w:fldCharType="begin"/>
            </w:r>
            <w:r>
              <w:instrText xml:space="preserve"> REF _Ref505851008 \r \h  \* MERGEFORMAT </w:instrText>
            </w:r>
            <w:r>
              <w:fldChar w:fldCharType="separate"/>
            </w:r>
            <w:r w:rsidR="00E25A81">
              <w:t>[28]</w:t>
            </w:r>
            <w:r>
              <w:fldChar w:fldCharType="end"/>
            </w:r>
          </w:p>
        </w:tc>
        <w:tc>
          <w:tcPr>
            <w:tcW w:w="1477" w:type="dxa"/>
          </w:tcPr>
          <w:p w:rsidR="00467C2C" w:rsidRDefault="00467C2C" w:rsidP="0077585C">
            <w:pPr>
              <w:jc w:val="left"/>
            </w:pPr>
          </w:p>
        </w:tc>
        <w:tc>
          <w:tcPr>
            <w:tcW w:w="1216" w:type="dxa"/>
          </w:tcPr>
          <w:p w:rsidR="00467C2C" w:rsidRDefault="00467C2C" w:rsidP="0077585C">
            <w:pPr>
              <w:jc w:val="left"/>
            </w:pPr>
            <w:r>
              <w:t>318 … 920</w:t>
            </w:r>
          </w:p>
        </w:tc>
        <w:tc>
          <w:tcPr>
            <w:tcW w:w="1331" w:type="dxa"/>
          </w:tcPr>
          <w:p w:rsidR="00467C2C" w:rsidRDefault="00467C2C" w:rsidP="0077585C">
            <w:pPr>
              <w:jc w:val="left"/>
            </w:pPr>
            <w:r>
              <w:t>1.09 … 3.14</w:t>
            </w:r>
          </w:p>
        </w:tc>
        <w:tc>
          <w:tcPr>
            <w:tcW w:w="1804" w:type="dxa"/>
          </w:tcPr>
          <w:p w:rsidR="00467C2C" w:rsidRDefault="00467C2C" w:rsidP="0077585C">
            <w:pPr>
              <w:jc w:val="left"/>
            </w:pPr>
            <w:r>
              <w:t>0.109 … 0.314</w:t>
            </w:r>
          </w:p>
        </w:tc>
        <w:tc>
          <w:tcPr>
            <w:tcW w:w="2993" w:type="dxa"/>
          </w:tcPr>
          <w:p w:rsidR="00467C2C" w:rsidRDefault="00467C2C" w:rsidP="0077585C">
            <w:pPr>
              <w:jc w:val="left"/>
            </w:pPr>
          </w:p>
        </w:tc>
      </w:tr>
      <w:tr w:rsidR="00467C2C" w:rsidTr="00467C2C">
        <w:tc>
          <w:tcPr>
            <w:tcW w:w="943" w:type="dxa"/>
          </w:tcPr>
          <w:p w:rsidR="00467C2C" w:rsidRDefault="00B903C9" w:rsidP="0077585C">
            <w:pPr>
              <w:jc w:val="left"/>
            </w:pPr>
            <w:r>
              <w:lastRenderedPageBreak/>
              <w:fldChar w:fldCharType="begin"/>
            </w:r>
            <w:r>
              <w:instrText xml:space="preserve"> REF _Ref505787135 \r \h  \* MERGEFORMAT </w:instrText>
            </w:r>
            <w:r>
              <w:fldChar w:fldCharType="separate"/>
            </w:r>
            <w:r w:rsidR="00E25A81">
              <w:t>[30]</w:t>
            </w:r>
            <w:r>
              <w:fldChar w:fldCharType="end"/>
            </w:r>
          </w:p>
        </w:tc>
        <w:tc>
          <w:tcPr>
            <w:tcW w:w="1477" w:type="dxa"/>
          </w:tcPr>
          <w:p w:rsidR="00467C2C" w:rsidRDefault="00467C2C" w:rsidP="0077585C">
            <w:pPr>
              <w:jc w:val="left"/>
            </w:pPr>
            <w:r>
              <w:t>72</w:t>
            </w:r>
          </w:p>
        </w:tc>
        <w:tc>
          <w:tcPr>
            <w:tcW w:w="1216" w:type="dxa"/>
          </w:tcPr>
          <w:p w:rsidR="00467C2C" w:rsidRDefault="00467C2C" w:rsidP="0077585C">
            <w:pPr>
              <w:jc w:val="left"/>
            </w:pPr>
            <w:r>
              <w:t>10.1</w:t>
            </w:r>
          </w:p>
        </w:tc>
        <w:tc>
          <w:tcPr>
            <w:tcW w:w="1331" w:type="dxa"/>
          </w:tcPr>
          <w:p w:rsidR="00467C2C" w:rsidRDefault="00467C2C" w:rsidP="0077585C">
            <w:pPr>
              <w:jc w:val="left"/>
            </w:pPr>
            <w:r>
              <w:t>99.0</w:t>
            </w:r>
          </w:p>
        </w:tc>
        <w:tc>
          <w:tcPr>
            <w:tcW w:w="1804" w:type="dxa"/>
          </w:tcPr>
          <w:p w:rsidR="00467C2C" w:rsidRDefault="00467C2C" w:rsidP="0077585C">
            <w:pPr>
              <w:jc w:val="left"/>
            </w:pPr>
            <w:r>
              <w:t>9.90</w:t>
            </w:r>
          </w:p>
        </w:tc>
        <w:tc>
          <w:tcPr>
            <w:tcW w:w="2993" w:type="dxa"/>
          </w:tcPr>
          <w:p w:rsidR="00467C2C" w:rsidRDefault="00467C2C" w:rsidP="0077585C">
            <w:pPr>
              <w:jc w:val="left"/>
            </w:pPr>
            <w:r>
              <w:t>helicopter self-scattering</w:t>
            </w:r>
          </w:p>
        </w:tc>
      </w:tr>
      <w:tr w:rsidR="00467C2C" w:rsidTr="00467C2C">
        <w:tc>
          <w:tcPr>
            <w:tcW w:w="943" w:type="dxa"/>
          </w:tcPr>
          <w:p w:rsidR="00467C2C" w:rsidRDefault="00BC4981" w:rsidP="0077585C">
            <w:pPr>
              <w:jc w:val="left"/>
            </w:pPr>
            <w:r>
              <w:fldChar w:fldCharType="begin"/>
            </w:r>
            <w:r w:rsidR="00467C2C">
              <w:instrText xml:space="preserve"> REF _Ref505787286 \r \h </w:instrText>
            </w:r>
            <w:r>
              <w:fldChar w:fldCharType="separate"/>
            </w:r>
            <w:r w:rsidR="00E25A81">
              <w:t>[35]</w:t>
            </w:r>
            <w:r>
              <w:fldChar w:fldCharType="end"/>
            </w:r>
            <w:r w:rsidR="00467C2C">
              <w:t xml:space="preserve">, </w:t>
            </w:r>
            <w:r>
              <w:fldChar w:fldCharType="begin"/>
            </w:r>
            <w:r w:rsidR="00467C2C">
              <w:instrText xml:space="preserve"> REF _Ref505790545 \r \h </w:instrText>
            </w:r>
            <w:r>
              <w:fldChar w:fldCharType="separate"/>
            </w:r>
            <w:r w:rsidR="00E25A81">
              <w:t>[36]</w:t>
            </w:r>
            <w:r>
              <w:fldChar w:fldCharType="end"/>
            </w:r>
          </w:p>
        </w:tc>
        <w:tc>
          <w:tcPr>
            <w:tcW w:w="1477" w:type="dxa"/>
          </w:tcPr>
          <w:p w:rsidR="00467C2C" w:rsidRDefault="00467C2C" w:rsidP="0077585C">
            <w:pPr>
              <w:jc w:val="left"/>
            </w:pPr>
          </w:p>
        </w:tc>
        <w:tc>
          <w:tcPr>
            <w:tcW w:w="1216" w:type="dxa"/>
          </w:tcPr>
          <w:p w:rsidR="00467C2C" w:rsidRDefault="00467C2C" w:rsidP="0077585C">
            <w:pPr>
              <w:jc w:val="left"/>
            </w:pPr>
            <w:r>
              <w:t>125</w:t>
            </w:r>
          </w:p>
        </w:tc>
        <w:tc>
          <w:tcPr>
            <w:tcW w:w="1331" w:type="dxa"/>
          </w:tcPr>
          <w:p w:rsidR="00467C2C" w:rsidRDefault="00467C2C" w:rsidP="0077585C">
            <w:pPr>
              <w:jc w:val="left"/>
            </w:pPr>
            <w:r>
              <w:t>8.00</w:t>
            </w:r>
          </w:p>
        </w:tc>
        <w:tc>
          <w:tcPr>
            <w:tcW w:w="1804" w:type="dxa"/>
          </w:tcPr>
          <w:p w:rsidR="00467C2C" w:rsidRDefault="00467C2C" w:rsidP="0077585C">
            <w:pPr>
              <w:jc w:val="left"/>
            </w:pPr>
            <w:r>
              <w:t>0.80</w:t>
            </w:r>
          </w:p>
        </w:tc>
        <w:tc>
          <w:tcPr>
            <w:tcW w:w="2993" w:type="dxa"/>
          </w:tcPr>
          <w:p w:rsidR="00467C2C" w:rsidRDefault="00467C2C" w:rsidP="0077585C">
            <w:pPr>
              <w:jc w:val="left"/>
            </w:pPr>
          </w:p>
        </w:tc>
      </w:tr>
      <w:tr w:rsidR="00467C2C" w:rsidTr="00467C2C">
        <w:tc>
          <w:tcPr>
            <w:tcW w:w="943" w:type="dxa"/>
          </w:tcPr>
          <w:p w:rsidR="00467C2C" w:rsidRDefault="00BC4981" w:rsidP="0077585C">
            <w:pPr>
              <w:jc w:val="left"/>
            </w:pPr>
            <w:r>
              <w:fldChar w:fldCharType="begin"/>
            </w:r>
            <w:r w:rsidR="00467C2C">
              <w:instrText xml:space="preserve"> REF _Ref505789026 \r \h </w:instrText>
            </w:r>
            <w:r>
              <w:fldChar w:fldCharType="separate"/>
            </w:r>
            <w:r w:rsidR="00E25A81">
              <w:t>[33]</w:t>
            </w:r>
            <w:r>
              <w:fldChar w:fldCharType="end"/>
            </w:r>
          </w:p>
        </w:tc>
        <w:tc>
          <w:tcPr>
            <w:tcW w:w="1477" w:type="dxa"/>
          </w:tcPr>
          <w:p w:rsidR="00467C2C" w:rsidRDefault="00467C2C" w:rsidP="0077585C">
            <w:pPr>
              <w:jc w:val="left"/>
            </w:pPr>
          </w:p>
        </w:tc>
        <w:tc>
          <w:tcPr>
            <w:tcW w:w="1216" w:type="dxa"/>
          </w:tcPr>
          <w:p w:rsidR="00467C2C" w:rsidRDefault="00467C2C" w:rsidP="0077585C">
            <w:pPr>
              <w:jc w:val="left"/>
            </w:pPr>
            <w:r>
              <w:t>100</w:t>
            </w:r>
          </w:p>
        </w:tc>
        <w:tc>
          <w:tcPr>
            <w:tcW w:w="1331" w:type="dxa"/>
          </w:tcPr>
          <w:p w:rsidR="00467C2C" w:rsidRDefault="00467C2C" w:rsidP="0077585C">
            <w:pPr>
              <w:jc w:val="left"/>
            </w:pPr>
            <w:r>
              <w:t>10.0</w:t>
            </w:r>
          </w:p>
        </w:tc>
        <w:tc>
          <w:tcPr>
            <w:tcW w:w="1804" w:type="dxa"/>
          </w:tcPr>
          <w:p w:rsidR="00467C2C" w:rsidRDefault="00467C2C" w:rsidP="0077585C">
            <w:pPr>
              <w:jc w:val="left"/>
            </w:pPr>
            <w:r>
              <w:t>1.00</w:t>
            </w:r>
          </w:p>
        </w:tc>
        <w:tc>
          <w:tcPr>
            <w:tcW w:w="2993" w:type="dxa"/>
          </w:tcPr>
          <w:p w:rsidR="00467C2C" w:rsidRDefault="00467C2C" w:rsidP="0077585C">
            <w:pPr>
              <w:jc w:val="left"/>
            </w:pPr>
          </w:p>
        </w:tc>
      </w:tr>
    </w:tbl>
    <w:p w:rsidR="00467C2C" w:rsidRDefault="00467C2C" w:rsidP="00467C2C"/>
    <w:p w:rsidR="00E60A46" w:rsidRDefault="00E60A46" w:rsidP="00E60A46">
      <w:pPr>
        <w:pStyle w:val="1"/>
      </w:pPr>
      <w:r>
        <w:t>Conclusion</w:t>
      </w:r>
    </w:p>
    <w:p w:rsidR="009F3272" w:rsidRDefault="00FD46E1">
      <w:pPr>
        <w:ind w:left="432"/>
      </w:pPr>
      <w:r>
        <w:t xml:space="preserve">This contribution summarized several publications on the delay spread and excess delay measurements in satellite to UE links. The results show that the </w:t>
      </w:r>
      <w:r w:rsidR="009A4949">
        <w:t>multipath propagation</w:t>
      </w:r>
      <w:r>
        <w:t xml:space="preserve"> is significant, and the delay spread can be up to 100s of ns. Therefore, the coherence bandwidth may be less than 10 MHz, and the flat fading assumption is not always valid.</w:t>
      </w:r>
      <w:bookmarkStart w:id="6" w:name="_GoBack"/>
      <w:bookmarkEnd w:id="6"/>
    </w:p>
    <w:p w:rsidR="009F3272" w:rsidRDefault="009F3272">
      <w:pPr>
        <w:ind w:left="432"/>
      </w:pPr>
    </w:p>
    <w:p w:rsidR="007E0D8B" w:rsidRPr="00C40D27" w:rsidRDefault="007E0D8B" w:rsidP="007E0D8B">
      <w:pPr>
        <w:rPr>
          <w:rFonts w:eastAsia="MS Mincho"/>
          <w:b/>
          <w:i/>
          <w:lang w:val="en-GB" w:eastAsia="ja-JP"/>
        </w:rPr>
      </w:pPr>
      <w:r>
        <w:rPr>
          <w:rFonts w:eastAsia="MS Mincho"/>
          <w:b/>
          <w:i/>
          <w:lang w:val="en-GB" w:eastAsia="ja-JP"/>
        </w:rPr>
        <w:t>Proposal 1</w:t>
      </w:r>
      <w:r w:rsidRPr="00057E35">
        <w:rPr>
          <w:rFonts w:eastAsia="MS Mincho"/>
          <w:b/>
          <w:i/>
          <w:lang w:val="en-GB" w:eastAsia="ja-JP"/>
        </w:rPr>
        <w:t xml:space="preserve">: The terrestrial multipath propagation </w:t>
      </w:r>
      <w:r>
        <w:rPr>
          <w:rFonts w:eastAsia="MS Mincho"/>
          <w:b/>
          <w:i/>
          <w:lang w:val="en-GB" w:eastAsia="ja-JP"/>
        </w:rPr>
        <w:t xml:space="preserve">caused by local scattering around the UE </w:t>
      </w:r>
      <w:r w:rsidRPr="00057E35">
        <w:rPr>
          <w:rFonts w:eastAsia="MS Mincho"/>
          <w:b/>
          <w:i/>
          <w:lang w:val="en-GB" w:eastAsia="ja-JP"/>
        </w:rPr>
        <w:t>should be included in the channel model.</w:t>
      </w:r>
    </w:p>
    <w:p w:rsidR="00736885" w:rsidRPr="00C40D27" w:rsidRDefault="00736885" w:rsidP="00C40D27">
      <w:pPr>
        <w:rPr>
          <w:rFonts w:eastAsia="MS Mincho"/>
          <w:b/>
          <w:i/>
          <w:lang w:val="en-GB" w:eastAsia="ja-JP"/>
        </w:rPr>
      </w:pPr>
      <w:r>
        <w:rPr>
          <w:rFonts w:eastAsia="MS Mincho"/>
          <w:b/>
          <w:i/>
          <w:lang w:val="en-GB" w:eastAsia="ja-JP"/>
        </w:rPr>
        <w:t xml:space="preserve"> </w:t>
      </w:r>
    </w:p>
    <w:p w:rsidR="00E60A46" w:rsidRDefault="00E60A46" w:rsidP="00E60A46">
      <w:pPr>
        <w:pStyle w:val="1"/>
      </w:pPr>
      <w:r>
        <w:t>References</w:t>
      </w:r>
    </w:p>
    <w:p w:rsidR="00E60A46" w:rsidRPr="009C4F88" w:rsidRDefault="00E60A46" w:rsidP="00E60A46">
      <w:pPr>
        <w:numPr>
          <w:ilvl w:val="0"/>
          <w:numId w:val="31"/>
        </w:numPr>
        <w:tabs>
          <w:tab w:val="left" w:pos="567"/>
        </w:tabs>
        <w:ind w:left="567" w:hanging="567"/>
        <w:rPr>
          <w:rFonts w:eastAsia="MS Mincho"/>
          <w:lang w:eastAsia="ja-JP"/>
        </w:rPr>
      </w:pPr>
      <w:bookmarkStart w:id="7" w:name="_Ref492282945"/>
      <w:r w:rsidRPr="00B833D5">
        <w:rPr>
          <w:kern w:val="2"/>
          <w:lang w:val="en-GB" w:eastAsia="zh-CN"/>
        </w:rPr>
        <w:t>RP-17</w:t>
      </w:r>
      <w:r>
        <w:rPr>
          <w:kern w:val="2"/>
          <w:lang w:val="en-GB" w:eastAsia="zh-CN"/>
        </w:rPr>
        <w:t>0717, Study on NR to support Non-Terrestrial Networks, 3GPP TSG RAN Meeting #75, Dubrovnik, Croatia, March 6 – 9, 2017.</w:t>
      </w:r>
      <w:bookmarkEnd w:id="7"/>
    </w:p>
    <w:p w:rsidR="00E60A46" w:rsidRDefault="00E60A46" w:rsidP="00E60A46">
      <w:pPr>
        <w:numPr>
          <w:ilvl w:val="0"/>
          <w:numId w:val="31"/>
        </w:numPr>
        <w:tabs>
          <w:tab w:val="left" w:pos="567"/>
        </w:tabs>
        <w:ind w:left="567" w:hanging="567"/>
        <w:rPr>
          <w:rFonts w:eastAsia="MS Mincho"/>
          <w:lang w:eastAsia="ja-JP"/>
        </w:rPr>
      </w:pPr>
      <w:bookmarkStart w:id="8" w:name="_Ref492327888"/>
      <w:r>
        <w:rPr>
          <w:rFonts w:eastAsia="MS Mincho"/>
          <w:lang w:eastAsia="ja-JP"/>
        </w:rPr>
        <w:t>Thales, “</w:t>
      </w:r>
      <w:r w:rsidRPr="003D352C">
        <w:rPr>
          <w:rFonts w:eastAsia="MS Mincho"/>
          <w:lang w:eastAsia="ja-JP"/>
        </w:rPr>
        <w:t>Non Terrestrial Network channel model considerations</w:t>
      </w:r>
      <w:r>
        <w:rPr>
          <w:rFonts w:eastAsia="MS Mincho"/>
          <w:lang w:eastAsia="ja-JP"/>
        </w:rPr>
        <w:t xml:space="preserve">”, </w:t>
      </w:r>
      <w:r w:rsidR="00452443" w:rsidRPr="003D352C">
        <w:rPr>
          <w:rFonts w:eastAsia="MS Mincho"/>
          <w:lang w:eastAsia="ja-JP"/>
        </w:rPr>
        <w:t>R1-1705778</w:t>
      </w:r>
      <w:r w:rsidR="00452443">
        <w:rPr>
          <w:rFonts w:eastAsia="MS Mincho"/>
          <w:lang w:eastAsia="ja-JP"/>
        </w:rPr>
        <w:t xml:space="preserve">, </w:t>
      </w:r>
      <w:r>
        <w:rPr>
          <w:rFonts w:eastAsia="MS Mincho"/>
          <w:lang w:eastAsia="ja-JP"/>
        </w:rPr>
        <w:t>3GPP TSG RAN WG1 Meeting #88bis, Spokane, WA, 3 – 7 April, 2017.</w:t>
      </w:r>
      <w:bookmarkEnd w:id="8"/>
    </w:p>
    <w:p w:rsidR="00E60A46" w:rsidRDefault="00E60A46" w:rsidP="00E60A46">
      <w:pPr>
        <w:numPr>
          <w:ilvl w:val="0"/>
          <w:numId w:val="31"/>
        </w:numPr>
        <w:tabs>
          <w:tab w:val="left" w:pos="567"/>
        </w:tabs>
        <w:ind w:left="567" w:hanging="567"/>
        <w:rPr>
          <w:rFonts w:eastAsia="MS Mincho"/>
          <w:lang w:eastAsia="ja-JP"/>
        </w:rPr>
      </w:pPr>
      <w:bookmarkStart w:id="9" w:name="_Ref492327889"/>
      <w:r>
        <w:rPr>
          <w:rFonts w:eastAsia="MS Mincho"/>
          <w:lang w:eastAsia="ja-JP"/>
        </w:rPr>
        <w:t>Thales, “</w:t>
      </w:r>
      <w:r w:rsidRPr="003D352C">
        <w:rPr>
          <w:rFonts w:eastAsia="MS Mincho"/>
          <w:lang w:eastAsia="ja-JP"/>
        </w:rPr>
        <w:t>Non Terrestrial Network channel models</w:t>
      </w:r>
      <w:r>
        <w:rPr>
          <w:rFonts w:eastAsia="MS Mincho"/>
          <w:lang w:eastAsia="ja-JP"/>
        </w:rPr>
        <w:t xml:space="preserve">”, </w:t>
      </w:r>
      <w:r w:rsidR="00452443" w:rsidRPr="003D352C">
        <w:rPr>
          <w:rFonts w:eastAsia="MS Mincho"/>
          <w:lang w:eastAsia="ja-JP"/>
        </w:rPr>
        <w:t>R1-1708183</w:t>
      </w:r>
      <w:r w:rsidR="00452443">
        <w:rPr>
          <w:rFonts w:eastAsia="MS Mincho"/>
          <w:lang w:eastAsia="ja-JP"/>
        </w:rPr>
        <w:t xml:space="preserve">, </w:t>
      </w:r>
      <w:r>
        <w:rPr>
          <w:rFonts w:eastAsia="MS Mincho"/>
          <w:lang w:eastAsia="ja-JP"/>
        </w:rPr>
        <w:t>3GPP TSG RAN1 Meeting #89, Hangzhou, China, 15 – 19 May, 2017.</w:t>
      </w:r>
      <w:bookmarkEnd w:id="9"/>
    </w:p>
    <w:p w:rsidR="00E60A46" w:rsidRDefault="00452443" w:rsidP="00E60A46">
      <w:pPr>
        <w:numPr>
          <w:ilvl w:val="0"/>
          <w:numId w:val="31"/>
        </w:numPr>
        <w:tabs>
          <w:tab w:val="left" w:pos="567"/>
        </w:tabs>
        <w:ind w:left="567" w:hanging="567"/>
        <w:rPr>
          <w:rFonts w:eastAsia="MS Mincho"/>
          <w:lang w:eastAsia="ja-JP"/>
        </w:rPr>
      </w:pPr>
      <w:bookmarkStart w:id="10" w:name="_Ref492327890"/>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Non-Terrestrial Network: Propagation delay and Doppler characterisation</w:t>
      </w:r>
      <w:r w:rsidR="00E60A46">
        <w:rPr>
          <w:rFonts w:eastAsia="MS Mincho"/>
          <w:lang w:eastAsia="ja-JP"/>
        </w:rPr>
        <w:t xml:space="preserve">”, </w:t>
      </w:r>
      <w:r w:rsidRPr="003D352C">
        <w:rPr>
          <w:rFonts w:eastAsia="MS Mincho"/>
          <w:lang w:eastAsia="ja-JP"/>
        </w:rPr>
        <w:t>R1-1708242</w:t>
      </w:r>
      <w:r>
        <w:rPr>
          <w:rFonts w:eastAsia="MS Mincho"/>
          <w:lang w:eastAsia="ja-JP"/>
        </w:rPr>
        <w:t xml:space="preserve">, </w:t>
      </w:r>
      <w:r w:rsidR="00E60A46">
        <w:rPr>
          <w:rFonts w:eastAsia="MS Mincho"/>
          <w:lang w:eastAsia="ja-JP"/>
        </w:rPr>
        <w:t>3GPP TSG RAN1 Meeting #89, Hangzhou, China, 15 – 19 May, 2017.</w:t>
      </w:r>
      <w:bookmarkEnd w:id="10"/>
    </w:p>
    <w:p w:rsidR="00E60A46" w:rsidRDefault="00452443" w:rsidP="00E60A46">
      <w:pPr>
        <w:numPr>
          <w:ilvl w:val="0"/>
          <w:numId w:val="31"/>
        </w:numPr>
        <w:tabs>
          <w:tab w:val="left" w:pos="567"/>
        </w:tabs>
        <w:ind w:left="567" w:hanging="567"/>
        <w:rPr>
          <w:rFonts w:eastAsia="MS Mincho"/>
          <w:lang w:eastAsia="ja-JP"/>
        </w:rPr>
      </w:pPr>
      <w:bookmarkStart w:id="11" w:name="_Ref492327892"/>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Propagation delay and Doppler in Non-Terrestrial Networks</w:t>
      </w:r>
      <w:r w:rsidR="00E60A46">
        <w:rPr>
          <w:rFonts w:eastAsia="MS Mincho"/>
          <w:lang w:eastAsia="ja-JP"/>
        </w:rPr>
        <w:t xml:space="preserve">”, </w:t>
      </w:r>
      <w:r>
        <w:rPr>
          <w:rFonts w:eastAsia="MS Mincho"/>
          <w:lang w:eastAsia="ja-JP"/>
        </w:rPr>
        <w:t>RP-</w:t>
      </w:r>
      <w:r w:rsidRPr="003D352C">
        <w:rPr>
          <w:rFonts w:eastAsia="MS Mincho"/>
          <w:lang w:eastAsia="ja-JP"/>
        </w:rPr>
        <w:t>171449</w:t>
      </w:r>
      <w:r>
        <w:rPr>
          <w:rFonts w:eastAsia="MS Mincho"/>
          <w:lang w:eastAsia="ja-JP"/>
        </w:rPr>
        <w:t xml:space="preserve">, </w:t>
      </w:r>
      <w:r w:rsidR="00E60A46" w:rsidRPr="003D352C">
        <w:rPr>
          <w:rFonts w:eastAsia="MS Mincho"/>
          <w:lang w:eastAsia="ja-JP"/>
        </w:rPr>
        <w:t xml:space="preserve">3GPP TSG RAN Meeting </w:t>
      </w:r>
      <w:r w:rsidR="00E60A46">
        <w:rPr>
          <w:rFonts w:eastAsia="MS Mincho"/>
          <w:lang w:eastAsia="ja-JP"/>
        </w:rPr>
        <w:t>#</w:t>
      </w:r>
      <w:r w:rsidR="00E60A46" w:rsidRPr="003D352C">
        <w:rPr>
          <w:rFonts w:eastAsia="MS Mincho"/>
          <w:lang w:eastAsia="ja-JP"/>
        </w:rPr>
        <w:t>76</w:t>
      </w:r>
      <w:r w:rsidR="00E60A46">
        <w:rPr>
          <w:rFonts w:eastAsia="MS Mincho"/>
          <w:lang w:eastAsia="ja-JP"/>
        </w:rPr>
        <w:t xml:space="preserve">, </w:t>
      </w:r>
      <w:r w:rsidR="00E60A46" w:rsidRPr="003D352C">
        <w:rPr>
          <w:rFonts w:eastAsia="MS Mincho"/>
          <w:lang w:eastAsia="ja-JP"/>
        </w:rPr>
        <w:t>West Palm Beach, USA</w:t>
      </w:r>
      <w:r w:rsidR="00E60A46">
        <w:rPr>
          <w:rFonts w:eastAsia="MS Mincho"/>
          <w:lang w:eastAsia="ja-JP"/>
        </w:rPr>
        <w:t>, 5 – 9 June, 2017.</w:t>
      </w:r>
      <w:bookmarkEnd w:id="11"/>
    </w:p>
    <w:p w:rsidR="00E60A46" w:rsidRDefault="00452443" w:rsidP="00E60A46">
      <w:pPr>
        <w:numPr>
          <w:ilvl w:val="0"/>
          <w:numId w:val="31"/>
        </w:numPr>
        <w:tabs>
          <w:tab w:val="left" w:pos="567"/>
        </w:tabs>
        <w:ind w:left="567" w:hanging="567"/>
        <w:rPr>
          <w:rFonts w:eastAsia="MS Mincho"/>
          <w:lang w:eastAsia="ja-JP"/>
        </w:rPr>
      </w:pPr>
      <w:bookmarkStart w:id="12" w:name="_Ref492327893"/>
      <w:r>
        <w:rPr>
          <w:rFonts w:eastAsia="MS Mincho"/>
          <w:lang w:eastAsia="ja-JP"/>
        </w:rPr>
        <w:t xml:space="preserve">Thales, </w:t>
      </w:r>
      <w:r w:rsidR="00E60A46">
        <w:rPr>
          <w:rFonts w:eastAsia="MS Mincho"/>
          <w:lang w:eastAsia="ja-JP"/>
        </w:rPr>
        <w:t>, “</w:t>
      </w:r>
      <w:r w:rsidR="00E60A46" w:rsidRPr="003D352C">
        <w:rPr>
          <w:rFonts w:eastAsia="MS Mincho"/>
          <w:lang w:eastAsia="ja-JP"/>
        </w:rPr>
        <w:t>Considerations on Satellite channel model</w:t>
      </w:r>
      <w:r w:rsidR="00E60A46">
        <w:rPr>
          <w:rFonts w:eastAsia="MS Mincho"/>
          <w:lang w:eastAsia="ja-JP"/>
        </w:rPr>
        <w:t xml:space="preserve">”, </w:t>
      </w:r>
      <w:r w:rsidRPr="003D352C">
        <w:rPr>
          <w:rFonts w:eastAsia="MS Mincho"/>
          <w:lang w:eastAsia="ja-JP"/>
        </w:rPr>
        <w:t>R1-1714476</w:t>
      </w:r>
      <w:r>
        <w:rPr>
          <w:rFonts w:eastAsia="MS Mincho"/>
          <w:lang w:eastAsia="ja-JP"/>
        </w:rPr>
        <w:t xml:space="preserve">, </w:t>
      </w:r>
      <w:r w:rsidR="00E60A46" w:rsidRPr="003D352C">
        <w:rPr>
          <w:rFonts w:eastAsia="MS Mincho"/>
          <w:lang w:eastAsia="ja-JP"/>
        </w:rPr>
        <w:t>3GPP TSG RAN WG1 Meeting #90</w:t>
      </w:r>
      <w:r w:rsidR="00E60A46">
        <w:rPr>
          <w:rFonts w:eastAsia="MS Mincho"/>
          <w:lang w:eastAsia="ja-JP"/>
        </w:rPr>
        <w:t xml:space="preserve">, </w:t>
      </w:r>
      <w:r w:rsidR="00E60A46" w:rsidRPr="003D352C">
        <w:rPr>
          <w:rFonts w:eastAsia="MS Mincho"/>
          <w:lang w:eastAsia="ja-JP"/>
        </w:rPr>
        <w:t>Prague, Czech Republic, 21st – 25th August 2017</w:t>
      </w:r>
      <w:r w:rsidR="00E60A46">
        <w:rPr>
          <w:rFonts w:eastAsia="MS Mincho"/>
          <w:lang w:eastAsia="ja-JP"/>
        </w:rPr>
        <w:t>.</w:t>
      </w:r>
      <w:bookmarkEnd w:id="12"/>
    </w:p>
    <w:p w:rsidR="00E60A46" w:rsidRDefault="00E60A46" w:rsidP="00E60A46">
      <w:pPr>
        <w:numPr>
          <w:ilvl w:val="0"/>
          <w:numId w:val="31"/>
        </w:numPr>
        <w:tabs>
          <w:tab w:val="left" w:pos="567"/>
        </w:tabs>
        <w:ind w:left="567" w:hanging="567"/>
        <w:rPr>
          <w:rFonts w:eastAsia="MS Mincho"/>
          <w:lang w:eastAsia="ja-JP"/>
        </w:rPr>
      </w:pPr>
      <w:bookmarkStart w:id="13" w:name="_Ref492328780"/>
      <w:r>
        <w:rPr>
          <w:rFonts w:eastAsia="MS Mincho"/>
          <w:lang w:eastAsia="ja-JP"/>
        </w:rPr>
        <w:t>ITU-R, “</w:t>
      </w:r>
      <w:r w:rsidRPr="00F02FE2">
        <w:rPr>
          <w:rFonts w:eastAsia="MS Mincho"/>
          <w:lang w:eastAsia="ja-JP"/>
        </w:rPr>
        <w:t>Propagation data and prediction methods required for the design of Earth-space telecommunication systems</w:t>
      </w:r>
      <w:r>
        <w:rPr>
          <w:rFonts w:eastAsia="MS Mincho"/>
          <w:lang w:eastAsia="ja-JP"/>
        </w:rPr>
        <w:t>”, Recommendation ITU-R P.618-12 (07/2015).</w:t>
      </w:r>
      <w:bookmarkEnd w:id="13"/>
    </w:p>
    <w:p w:rsidR="00E60A46" w:rsidRDefault="00E60A46" w:rsidP="00E60A46">
      <w:pPr>
        <w:numPr>
          <w:ilvl w:val="0"/>
          <w:numId w:val="31"/>
        </w:numPr>
        <w:tabs>
          <w:tab w:val="left" w:pos="567"/>
        </w:tabs>
        <w:ind w:left="567" w:hanging="567"/>
        <w:rPr>
          <w:rFonts w:eastAsia="MS Mincho"/>
          <w:lang w:eastAsia="ja-JP"/>
        </w:rPr>
      </w:pPr>
      <w:bookmarkStart w:id="14" w:name="_Ref492328781"/>
      <w:r w:rsidRPr="00F02FE2">
        <w:rPr>
          <w:rFonts w:eastAsia="MS Mincho"/>
          <w:lang w:eastAsia="ja-JP"/>
        </w:rPr>
        <w:t>ITU-R, “Prediction of path attenuation on links between an airborne platform and Space and between an airborne platform and the surface of the Earth”, Recommendation ITU-R P.2041 (09/2013)</w:t>
      </w:r>
      <w:r>
        <w:rPr>
          <w:rFonts w:eastAsia="MS Mincho"/>
          <w:lang w:eastAsia="ja-JP"/>
        </w:rPr>
        <w:t>.</w:t>
      </w:r>
      <w:bookmarkEnd w:id="14"/>
    </w:p>
    <w:p w:rsidR="00E60A46" w:rsidRDefault="00E60A46" w:rsidP="00E60A46">
      <w:pPr>
        <w:numPr>
          <w:ilvl w:val="0"/>
          <w:numId w:val="31"/>
        </w:numPr>
        <w:tabs>
          <w:tab w:val="left" w:pos="567"/>
        </w:tabs>
        <w:ind w:left="567" w:hanging="567"/>
        <w:rPr>
          <w:rFonts w:eastAsia="MS Mincho"/>
          <w:lang w:eastAsia="ja-JP"/>
        </w:rPr>
      </w:pPr>
      <w:bookmarkStart w:id="15" w:name="_Ref492328782"/>
      <w:r>
        <w:rPr>
          <w:rFonts w:eastAsia="MS Mincho"/>
          <w:lang w:eastAsia="ja-JP"/>
        </w:rPr>
        <w:t>ITU-R, “</w:t>
      </w:r>
      <w:r w:rsidRPr="00F02FE2">
        <w:rPr>
          <w:rFonts w:eastAsia="MS Mincho"/>
          <w:lang w:eastAsia="ja-JP"/>
        </w:rPr>
        <w:t>Ionospheric propagation data and prediction methods required for the design of satellite services and systems</w:t>
      </w:r>
      <w:r>
        <w:rPr>
          <w:rFonts w:eastAsia="MS Mincho"/>
          <w:lang w:eastAsia="ja-JP"/>
        </w:rPr>
        <w:t xml:space="preserve">”, </w:t>
      </w:r>
      <w:r w:rsidRPr="00F02FE2">
        <w:rPr>
          <w:rFonts w:eastAsia="MS Mincho"/>
          <w:lang w:eastAsia="ja-JP"/>
        </w:rPr>
        <w:t>Recommendation ITU-R P.531-13</w:t>
      </w:r>
      <w:r>
        <w:rPr>
          <w:rFonts w:eastAsia="MS Mincho"/>
          <w:lang w:eastAsia="ja-JP"/>
        </w:rPr>
        <w:t xml:space="preserve"> </w:t>
      </w:r>
      <w:r w:rsidRPr="00F02FE2">
        <w:rPr>
          <w:rFonts w:eastAsia="MS Mincho"/>
          <w:lang w:eastAsia="ja-JP"/>
        </w:rPr>
        <w:t>(09/2016)</w:t>
      </w:r>
      <w:r>
        <w:rPr>
          <w:rFonts w:eastAsia="MS Mincho"/>
          <w:lang w:eastAsia="ja-JP"/>
        </w:rPr>
        <w:t>.</w:t>
      </w:r>
      <w:bookmarkEnd w:id="15"/>
    </w:p>
    <w:p w:rsidR="00E60A46" w:rsidRDefault="00E60A46" w:rsidP="00E60A46">
      <w:pPr>
        <w:numPr>
          <w:ilvl w:val="0"/>
          <w:numId w:val="31"/>
        </w:numPr>
        <w:tabs>
          <w:tab w:val="left" w:pos="567"/>
        </w:tabs>
        <w:ind w:left="567" w:hanging="567"/>
        <w:rPr>
          <w:rFonts w:eastAsia="MS Mincho"/>
          <w:lang w:eastAsia="ja-JP"/>
        </w:rPr>
      </w:pPr>
      <w:bookmarkStart w:id="16" w:name="_Ref492328931"/>
      <w:r w:rsidRPr="00F02FE2">
        <w:rPr>
          <w:rFonts w:eastAsia="MS Mincho"/>
          <w:lang w:eastAsia="ja-JP"/>
        </w:rPr>
        <w:t>ITU-R, “Propagation data required for the design of Earth-space land mobile telecommunication systems”, Recommendation ITU-R P.681-9 (09/2016)</w:t>
      </w:r>
      <w:r>
        <w:rPr>
          <w:rFonts w:eastAsia="MS Mincho"/>
          <w:lang w:eastAsia="ja-JP"/>
        </w:rPr>
        <w:t>.</w:t>
      </w:r>
      <w:bookmarkEnd w:id="16"/>
    </w:p>
    <w:p w:rsidR="00E60A46" w:rsidRDefault="00452443" w:rsidP="00E60A46">
      <w:pPr>
        <w:numPr>
          <w:ilvl w:val="0"/>
          <w:numId w:val="31"/>
        </w:numPr>
        <w:tabs>
          <w:tab w:val="left" w:pos="567"/>
        </w:tabs>
        <w:ind w:left="567" w:hanging="567"/>
        <w:rPr>
          <w:rFonts w:eastAsia="MS Mincho"/>
          <w:lang w:eastAsia="ja-JP"/>
        </w:rPr>
      </w:pPr>
      <w:bookmarkStart w:id="17" w:name="_Ref497745302"/>
      <w:r>
        <w:rPr>
          <w:rFonts w:eastAsia="MS Mincho"/>
          <w:lang w:eastAsia="ja-JP"/>
        </w:rPr>
        <w:t xml:space="preserve">Huawei, HiSilicon, </w:t>
      </w:r>
      <w:r w:rsidR="00E60A46">
        <w:rPr>
          <w:rFonts w:eastAsia="MS Mincho"/>
          <w:lang w:eastAsia="ja-JP"/>
        </w:rPr>
        <w:t>“</w:t>
      </w:r>
      <w:r w:rsidR="00E60A46" w:rsidRPr="008D63F8">
        <w:rPr>
          <w:rFonts w:eastAsia="MS Mincho"/>
          <w:lang w:eastAsia="ja-JP"/>
        </w:rPr>
        <w:t>NTN Channel Modeling</w:t>
      </w:r>
      <w:r w:rsidR="00E60A46">
        <w:rPr>
          <w:rFonts w:eastAsia="MS Mincho"/>
          <w:lang w:eastAsia="ja-JP"/>
        </w:rPr>
        <w:t xml:space="preserve">”, </w:t>
      </w:r>
      <w:r>
        <w:rPr>
          <w:rFonts w:eastAsia="MS Mincho"/>
          <w:lang w:eastAsia="ja-JP"/>
        </w:rPr>
        <w:t>R1-17</w:t>
      </w:r>
      <w:r w:rsidRPr="008D63F8">
        <w:rPr>
          <w:rFonts w:eastAsia="MS Mincho"/>
          <w:lang w:eastAsia="ja-JP"/>
        </w:rPr>
        <w:t>15729</w:t>
      </w:r>
      <w:r>
        <w:rPr>
          <w:rFonts w:eastAsia="MS Mincho"/>
          <w:lang w:eastAsia="ja-JP"/>
        </w:rPr>
        <w:t xml:space="preserve">, </w:t>
      </w:r>
      <w:r w:rsidR="00E60A46" w:rsidRPr="008D63F8">
        <w:rPr>
          <w:rFonts w:eastAsia="MS Mincho"/>
          <w:lang w:eastAsia="ja-JP"/>
        </w:rPr>
        <w:t>3GPP TSG RAN WG1 Meeting NR#3</w:t>
      </w:r>
      <w:r w:rsidR="00E60A46">
        <w:rPr>
          <w:rFonts w:eastAsia="MS Mincho"/>
          <w:lang w:eastAsia="ja-JP"/>
        </w:rPr>
        <w:t xml:space="preserve">, </w:t>
      </w:r>
      <w:r w:rsidR="00E60A46" w:rsidRPr="008D63F8">
        <w:rPr>
          <w:rFonts w:eastAsia="MS Mincho"/>
          <w:lang w:eastAsia="ja-JP"/>
        </w:rPr>
        <w:t>Nagoya, Japan, 18th – 21st September, 2017</w:t>
      </w:r>
      <w:r w:rsidR="00E60A46">
        <w:rPr>
          <w:rFonts w:eastAsia="MS Mincho"/>
          <w:lang w:eastAsia="ja-JP"/>
        </w:rPr>
        <w:t>.</w:t>
      </w:r>
      <w:bookmarkEnd w:id="17"/>
    </w:p>
    <w:p w:rsidR="009D0F2B" w:rsidRDefault="009D0F2B" w:rsidP="009D0F2B">
      <w:pPr>
        <w:numPr>
          <w:ilvl w:val="0"/>
          <w:numId w:val="31"/>
        </w:numPr>
        <w:tabs>
          <w:tab w:val="left" w:pos="567"/>
        </w:tabs>
        <w:ind w:left="567" w:hanging="567"/>
        <w:rPr>
          <w:rFonts w:eastAsia="MS Mincho"/>
          <w:lang w:eastAsia="ja-JP"/>
        </w:rPr>
      </w:pPr>
      <w:bookmarkStart w:id="18" w:name="_Ref502315494"/>
      <w:r>
        <w:rPr>
          <w:rFonts w:eastAsia="MS Mincho"/>
          <w:lang w:eastAsia="ja-JP"/>
        </w:rPr>
        <w:t>Huawei, HiSilicon, “NTN Channel Modeling”, R1-1719844,</w:t>
      </w:r>
      <w:r w:rsidRPr="009D0F2B">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8"/>
    </w:p>
    <w:p w:rsidR="009D0F2B" w:rsidRDefault="009D0F2B" w:rsidP="009D0F2B">
      <w:pPr>
        <w:numPr>
          <w:ilvl w:val="0"/>
          <w:numId w:val="31"/>
        </w:numPr>
        <w:tabs>
          <w:tab w:val="left" w:pos="567"/>
        </w:tabs>
        <w:ind w:left="567" w:hanging="567"/>
        <w:rPr>
          <w:rFonts w:eastAsia="MS Mincho"/>
          <w:lang w:eastAsia="ja-JP"/>
        </w:rPr>
      </w:pPr>
      <w:bookmarkStart w:id="19" w:name="_Ref502315496"/>
      <w:r w:rsidRPr="00452443">
        <w:rPr>
          <w:rFonts w:eastAsia="MS Mincho"/>
          <w:lang w:eastAsia="ja-JP"/>
        </w:rPr>
        <w:t>CNES (French Space Agency)</w:t>
      </w:r>
      <w:r>
        <w:rPr>
          <w:rFonts w:eastAsia="MS Mincho"/>
          <w:lang w:eastAsia="ja-JP"/>
        </w:rPr>
        <w:t>, “</w:t>
      </w:r>
      <w:r w:rsidRPr="009D0F2B">
        <w:rPr>
          <w:rFonts w:eastAsia="MS Mincho"/>
          <w:lang w:eastAsia="ja-JP"/>
        </w:rPr>
        <w:t>NR-NTN Channel model: System level evaluations</w:t>
      </w:r>
      <w:r>
        <w:rPr>
          <w:rFonts w:eastAsia="MS Mincho"/>
          <w:lang w:eastAsia="ja-JP"/>
        </w:rPr>
        <w:t xml:space="preserve">”, </w:t>
      </w:r>
      <w:r w:rsidRPr="009D0F2B">
        <w:rPr>
          <w:rFonts w:eastAsia="MS Mincho"/>
          <w:lang w:eastAsia="ja-JP"/>
        </w:rPr>
        <w:t>R1-1720015</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9"/>
    </w:p>
    <w:p w:rsidR="00452443" w:rsidRDefault="00452443" w:rsidP="00452443">
      <w:pPr>
        <w:numPr>
          <w:ilvl w:val="0"/>
          <w:numId w:val="31"/>
        </w:numPr>
        <w:tabs>
          <w:tab w:val="left" w:pos="567"/>
        </w:tabs>
        <w:ind w:left="567" w:hanging="567"/>
        <w:rPr>
          <w:rFonts w:eastAsia="MS Mincho"/>
          <w:lang w:eastAsia="ja-JP"/>
        </w:rPr>
      </w:pPr>
      <w:bookmarkStart w:id="20" w:name="_Ref502315498"/>
      <w:r w:rsidRPr="00452443">
        <w:rPr>
          <w:rFonts w:eastAsia="MS Mincho"/>
          <w:lang w:eastAsia="ja-JP"/>
        </w:rPr>
        <w:lastRenderedPageBreak/>
        <w:t>CNES (French Space Agency)</w:t>
      </w:r>
      <w:r>
        <w:rPr>
          <w:rFonts w:eastAsia="MS Mincho"/>
          <w:lang w:eastAsia="ja-JP"/>
        </w:rPr>
        <w:t>, “</w:t>
      </w:r>
      <w:r w:rsidRPr="00452443">
        <w:rPr>
          <w:rFonts w:eastAsia="MS Mincho"/>
          <w:lang w:eastAsia="ja-JP"/>
        </w:rPr>
        <w:t>NR-NTN Channel model: Fast fading model</w:t>
      </w:r>
      <w:r>
        <w:rPr>
          <w:rFonts w:eastAsia="MS Mincho"/>
          <w:lang w:eastAsia="ja-JP"/>
        </w:rPr>
        <w:t xml:space="preserve">”, </w:t>
      </w:r>
      <w:r w:rsidRPr="00452443">
        <w:rPr>
          <w:rFonts w:eastAsia="MS Mincho"/>
          <w:lang w:eastAsia="ja-JP"/>
        </w:rPr>
        <w:t>R1-1720016</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0"/>
    </w:p>
    <w:p w:rsidR="00452443" w:rsidRDefault="00452443" w:rsidP="00452443">
      <w:pPr>
        <w:numPr>
          <w:ilvl w:val="0"/>
          <w:numId w:val="31"/>
        </w:numPr>
        <w:tabs>
          <w:tab w:val="left" w:pos="567"/>
        </w:tabs>
        <w:ind w:left="567" w:hanging="567"/>
        <w:rPr>
          <w:rFonts w:eastAsia="MS Mincho"/>
          <w:lang w:eastAsia="ja-JP"/>
        </w:rPr>
      </w:pPr>
      <w:bookmarkStart w:id="21" w:name="_Ref502315499"/>
      <w:r w:rsidRPr="00452443">
        <w:rPr>
          <w:rFonts w:eastAsia="MS Mincho"/>
          <w:lang w:eastAsia="ja-JP"/>
        </w:rPr>
        <w:t>CNES (French Space Agency)</w:t>
      </w:r>
      <w:r>
        <w:rPr>
          <w:rFonts w:eastAsia="MS Mincho"/>
          <w:lang w:eastAsia="ja-JP"/>
        </w:rPr>
        <w:t>, “</w:t>
      </w:r>
      <w:r w:rsidRPr="00452443">
        <w:rPr>
          <w:rFonts w:eastAsia="MS Mincho"/>
          <w:lang w:eastAsia="ja-JP"/>
        </w:rPr>
        <w:t>NR-NTN Channel model : justification and definition of HAPS channel model</w:t>
      </w:r>
      <w:r>
        <w:rPr>
          <w:rFonts w:eastAsia="MS Mincho"/>
          <w:lang w:eastAsia="ja-JP"/>
        </w:rPr>
        <w:t xml:space="preserve">”, </w:t>
      </w:r>
      <w:r w:rsidRPr="00452443">
        <w:rPr>
          <w:rFonts w:eastAsia="MS Mincho"/>
          <w:lang w:eastAsia="ja-JP"/>
        </w:rPr>
        <w:t>R1-1720017</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1"/>
    </w:p>
    <w:p w:rsidR="00452443" w:rsidRDefault="00452443" w:rsidP="00E60A46">
      <w:pPr>
        <w:numPr>
          <w:ilvl w:val="0"/>
          <w:numId w:val="31"/>
        </w:numPr>
        <w:tabs>
          <w:tab w:val="left" w:pos="567"/>
        </w:tabs>
        <w:ind w:left="567" w:hanging="567"/>
        <w:rPr>
          <w:rFonts w:eastAsia="MS Mincho"/>
          <w:lang w:eastAsia="ja-JP"/>
        </w:rPr>
      </w:pPr>
      <w:bookmarkStart w:id="22" w:name="_Ref502315501"/>
      <w:r>
        <w:rPr>
          <w:rFonts w:eastAsia="MS Mincho"/>
          <w:lang w:eastAsia="ja-JP"/>
        </w:rPr>
        <w:t>Fraunhofer IIS, “</w:t>
      </w:r>
      <w:r w:rsidRPr="00452443">
        <w:rPr>
          <w:rFonts w:eastAsia="MS Mincho"/>
          <w:lang w:eastAsia="ja-JP"/>
        </w:rPr>
        <w:t>NTN NR Channel model – Link level evaluations</w:t>
      </w:r>
      <w:r>
        <w:rPr>
          <w:rFonts w:eastAsia="MS Mincho"/>
          <w:lang w:eastAsia="ja-JP"/>
        </w:rPr>
        <w:t>”, R1-</w:t>
      </w:r>
      <w:r w:rsidRPr="00452443">
        <w:rPr>
          <w:rFonts w:eastAsia="MS Mincho"/>
          <w:lang w:eastAsia="ja-JP"/>
        </w:rPr>
        <w:t>1720521</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2"/>
    </w:p>
    <w:p w:rsidR="00452443" w:rsidRDefault="00452443" w:rsidP="00E60A46">
      <w:pPr>
        <w:numPr>
          <w:ilvl w:val="0"/>
          <w:numId w:val="31"/>
        </w:numPr>
        <w:tabs>
          <w:tab w:val="left" w:pos="567"/>
        </w:tabs>
        <w:ind w:left="567" w:hanging="567"/>
        <w:rPr>
          <w:rFonts w:eastAsia="MS Mincho"/>
          <w:lang w:eastAsia="ja-JP"/>
        </w:rPr>
      </w:pPr>
      <w:bookmarkStart w:id="23" w:name="_Ref502315502"/>
      <w:r>
        <w:rPr>
          <w:rFonts w:eastAsia="MS Mincho"/>
          <w:lang w:eastAsia="ja-JP"/>
        </w:rPr>
        <w:t>Thales, “</w:t>
      </w:r>
      <w:r w:rsidRPr="00452443">
        <w:rPr>
          <w:rFonts w:eastAsia="MS Mincho"/>
          <w:lang w:eastAsia="ja-JP"/>
        </w:rPr>
        <w:t>NR-NTN: Channel model principles</w:t>
      </w:r>
      <w:r>
        <w:rPr>
          <w:rFonts w:eastAsia="MS Mincho"/>
          <w:lang w:eastAsia="ja-JP"/>
        </w:rPr>
        <w:t xml:space="preserve">”, </w:t>
      </w:r>
      <w:r w:rsidRPr="00452443">
        <w:rPr>
          <w:rFonts w:eastAsia="MS Mincho"/>
          <w:lang w:eastAsia="ja-JP"/>
        </w:rPr>
        <w:t>R1-1720544</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3"/>
    </w:p>
    <w:p w:rsidR="00E60A46" w:rsidRPr="00C40D27" w:rsidRDefault="00F8565F" w:rsidP="000109E6">
      <w:pPr>
        <w:numPr>
          <w:ilvl w:val="0"/>
          <w:numId w:val="31"/>
        </w:numPr>
        <w:tabs>
          <w:tab w:val="left" w:pos="567"/>
        </w:tabs>
        <w:ind w:left="567" w:hanging="567"/>
        <w:rPr>
          <w:lang w:val="en-GB" w:eastAsia="ja-JP"/>
        </w:rPr>
      </w:pPr>
      <w:bookmarkStart w:id="24" w:name="_Ref502315972"/>
      <w:r w:rsidRPr="009F7C85">
        <w:rPr>
          <w:rFonts w:eastAsia="MS Mincho"/>
          <w:lang w:eastAsia="ja-JP"/>
        </w:rPr>
        <w:t>RP-172794, “Study on New Radio (NR) to support non terrestrial networks (Release 15)”, 3GPP TR 38.811V0.3.0 (2017-12).</w:t>
      </w:r>
      <w:bookmarkEnd w:id="2"/>
      <w:bookmarkEnd w:id="24"/>
    </w:p>
    <w:p w:rsidR="00C40D27" w:rsidRPr="00736885" w:rsidRDefault="00C40D27" w:rsidP="000109E6">
      <w:pPr>
        <w:numPr>
          <w:ilvl w:val="0"/>
          <w:numId w:val="31"/>
        </w:numPr>
        <w:tabs>
          <w:tab w:val="left" w:pos="567"/>
        </w:tabs>
        <w:ind w:left="567" w:hanging="567"/>
        <w:rPr>
          <w:lang w:val="en-GB" w:eastAsia="ja-JP"/>
        </w:rPr>
      </w:pPr>
      <w:bookmarkStart w:id="25" w:name="_Ref505683031"/>
      <w:r>
        <w:rPr>
          <w:rFonts w:eastAsia="MS Mincho"/>
          <w:lang w:eastAsia="ja-JP"/>
        </w:rPr>
        <w:t>Huawei, HiSilicon, “NTN Channel Modeling”, R1-1800027, Vancouver, Canada, January 22 – 26, 2018.</w:t>
      </w:r>
      <w:bookmarkEnd w:id="25"/>
    </w:p>
    <w:p w:rsidR="00736885" w:rsidRPr="00A130B8" w:rsidRDefault="00736885" w:rsidP="000109E6">
      <w:pPr>
        <w:numPr>
          <w:ilvl w:val="0"/>
          <w:numId w:val="31"/>
        </w:numPr>
        <w:tabs>
          <w:tab w:val="left" w:pos="567"/>
        </w:tabs>
        <w:ind w:left="567" w:hanging="567"/>
        <w:rPr>
          <w:lang w:val="en-GB" w:eastAsia="ja-JP"/>
        </w:rPr>
      </w:pPr>
      <w:bookmarkStart w:id="26" w:name="_Ref505685411"/>
      <w:r>
        <w:rPr>
          <w:rFonts w:eastAsia="MS Mincho"/>
          <w:lang w:eastAsia="ja-JP"/>
        </w:rPr>
        <w:t>Andreas Lehner, Multipath Channel Modelling for Satellite Navigation Systems, PhD dissertation, 2007.</w:t>
      </w:r>
      <w:bookmarkEnd w:id="26"/>
    </w:p>
    <w:p w:rsidR="00A130B8" w:rsidRPr="0079532C" w:rsidRDefault="00A130B8" w:rsidP="000109E6">
      <w:pPr>
        <w:numPr>
          <w:ilvl w:val="0"/>
          <w:numId w:val="31"/>
        </w:numPr>
        <w:tabs>
          <w:tab w:val="left" w:pos="567"/>
        </w:tabs>
        <w:ind w:left="567" w:hanging="567"/>
        <w:rPr>
          <w:lang w:val="en-GB" w:eastAsia="ja-JP"/>
        </w:rPr>
      </w:pPr>
      <w:bookmarkStart w:id="27" w:name="_Ref505857453"/>
      <w:r>
        <w:rPr>
          <w:rFonts w:eastAsia="MS Mincho"/>
          <w:lang w:eastAsia="ja-JP"/>
        </w:rPr>
        <w:t>W. G. Newhall, R. Mostafa, C. Dietrich, C. R. Anderson, K. Dietze, G. Joshi, J. H. Reed, “Wideband Air-to-Ground Radio Channel Measurements Using an Antenna Array at 2 GHz for Low-Altitude Operations”, IEEE MILCOM 2003.</w:t>
      </w:r>
      <w:bookmarkEnd w:id="27"/>
    </w:p>
    <w:p w:rsidR="0079532C" w:rsidRDefault="0079532C" w:rsidP="000109E6">
      <w:pPr>
        <w:numPr>
          <w:ilvl w:val="0"/>
          <w:numId w:val="31"/>
        </w:numPr>
        <w:tabs>
          <w:tab w:val="left" w:pos="567"/>
        </w:tabs>
        <w:ind w:left="567" w:hanging="567"/>
        <w:rPr>
          <w:lang w:val="en-GB" w:eastAsia="ja-JP"/>
        </w:rPr>
      </w:pPr>
      <w:r>
        <w:rPr>
          <w:lang w:val="en-GB" w:eastAsia="ja-JP"/>
        </w:rPr>
        <w:t>D. W. Matolak, “</w:t>
      </w:r>
      <w:r w:rsidRPr="0079532C">
        <w:rPr>
          <w:lang w:val="en-GB" w:eastAsia="ja-JP"/>
        </w:rPr>
        <w:t>Air-ground channels &amp; models: Comprehensive review and considerations for unmanned aircraft systems</w:t>
      </w:r>
      <w:r>
        <w:rPr>
          <w:lang w:val="en-GB" w:eastAsia="ja-JP"/>
        </w:rPr>
        <w:t>”, in Proc. Aerospace Conference, 2012.</w:t>
      </w:r>
    </w:p>
    <w:p w:rsidR="002856B0" w:rsidRDefault="002856B0" w:rsidP="000109E6">
      <w:pPr>
        <w:numPr>
          <w:ilvl w:val="0"/>
          <w:numId w:val="31"/>
        </w:numPr>
        <w:tabs>
          <w:tab w:val="left" w:pos="567"/>
        </w:tabs>
        <w:ind w:left="567" w:hanging="567"/>
        <w:rPr>
          <w:lang w:val="en-GB" w:eastAsia="ja-JP"/>
        </w:rPr>
      </w:pPr>
      <w:r>
        <w:rPr>
          <w:lang w:val="en-GB" w:eastAsia="ja-JP"/>
        </w:rPr>
        <w:t>F. Lacoste, J. Lemorton, L. Casadebaig, M. Ait-Ighil, B. M. Villacieros, G. Carrié, F. Rousseau, “SISO, MIMO and SIMO Characterisation of the Land Mobile and Nomadic Satellite Propagation Channels” in Proc 7</w:t>
      </w:r>
      <w:r w:rsidR="00F56C40" w:rsidRPr="00F56C40">
        <w:rPr>
          <w:vertAlign w:val="superscript"/>
          <w:lang w:val="en-GB" w:eastAsia="ja-JP"/>
        </w:rPr>
        <w:t>th</w:t>
      </w:r>
      <w:r>
        <w:rPr>
          <w:lang w:val="en-GB" w:eastAsia="ja-JP"/>
        </w:rPr>
        <w:t xml:space="preserve"> European Conference on Antennas and Propagation (EuCAP), 2013.</w:t>
      </w:r>
    </w:p>
    <w:p w:rsidR="00F109F7" w:rsidRPr="00736885" w:rsidRDefault="00F109F7" w:rsidP="000109E6">
      <w:pPr>
        <w:numPr>
          <w:ilvl w:val="0"/>
          <w:numId w:val="31"/>
        </w:numPr>
        <w:tabs>
          <w:tab w:val="left" w:pos="567"/>
        </w:tabs>
        <w:ind w:left="567" w:hanging="567"/>
        <w:rPr>
          <w:lang w:val="en-GB" w:eastAsia="ja-JP"/>
        </w:rPr>
      </w:pPr>
      <w:bookmarkStart w:id="28" w:name="_Ref505871364"/>
      <w:r>
        <w:rPr>
          <w:lang w:val="en-GB" w:eastAsia="ja-JP"/>
        </w:rPr>
        <w:t>P. Petropoulou, E. T: Michailidis, A. D. Panagopoulos, A. G. Kanatas, “Radio Propagation Channel Measurements for Multi-Antenna Satellite Communication Systems: A Survey”, IEEE Antennas and Propagation Magazine, December 2014.</w:t>
      </w:r>
      <w:bookmarkEnd w:id="28"/>
    </w:p>
    <w:p w:rsidR="006A4AA5" w:rsidRPr="00C81DD1" w:rsidRDefault="00736885" w:rsidP="006A4AA5">
      <w:pPr>
        <w:numPr>
          <w:ilvl w:val="0"/>
          <w:numId w:val="31"/>
        </w:numPr>
        <w:tabs>
          <w:tab w:val="left" w:pos="567"/>
        </w:tabs>
        <w:ind w:left="567" w:hanging="567"/>
        <w:rPr>
          <w:lang w:val="en-GB" w:eastAsia="ja-JP"/>
        </w:rPr>
      </w:pPr>
      <w:bookmarkStart w:id="29" w:name="_Ref505791141"/>
      <w:r>
        <w:rPr>
          <w:rFonts w:eastAsia="MS Mincho"/>
          <w:lang w:eastAsia="ja-JP"/>
        </w:rPr>
        <w:t xml:space="preserve">Huawei, HiSilicon, </w:t>
      </w:r>
      <w:r w:rsidR="00403F00">
        <w:rPr>
          <w:rFonts w:eastAsia="MS Mincho"/>
          <w:lang w:eastAsia="ja-JP"/>
        </w:rPr>
        <w:t>“</w:t>
      </w:r>
      <w:r w:rsidR="00403F00" w:rsidRPr="00403F00">
        <w:rPr>
          <w:rFonts w:eastAsia="MS Mincho"/>
          <w:lang w:eastAsia="ja-JP"/>
        </w:rPr>
        <w:t>Ray tracing simulation result for NTN</w:t>
      </w:r>
      <w:r w:rsidR="00403F00" w:rsidRPr="003B3383">
        <w:rPr>
          <w:rFonts w:eastAsia="MS Mincho"/>
          <w:lang w:eastAsia="ja-JP"/>
        </w:rPr>
        <w:t>”</w:t>
      </w:r>
      <w:r w:rsidRPr="003B3383">
        <w:rPr>
          <w:rFonts w:eastAsia="MS Mincho"/>
          <w:lang w:eastAsia="ja-JP"/>
        </w:rPr>
        <w:t>, R1-18</w:t>
      </w:r>
      <w:r w:rsidR="003B3383" w:rsidRPr="003B3383">
        <w:rPr>
          <w:rFonts w:eastAsia="MS Mincho"/>
          <w:lang w:eastAsia="ja-JP"/>
        </w:rPr>
        <w:t>02725</w:t>
      </w:r>
      <w:r w:rsidR="00403F00">
        <w:rPr>
          <w:rFonts w:eastAsia="MS Mincho"/>
          <w:lang w:eastAsia="ja-JP"/>
        </w:rPr>
        <w:t>, Athens , Greece,</w:t>
      </w:r>
      <w:r w:rsidRPr="00736885">
        <w:rPr>
          <w:rFonts w:eastAsia="MS Mincho"/>
          <w:lang w:eastAsia="ja-JP"/>
        </w:rPr>
        <w:t xml:space="preserve"> February 26 – March 2, 2018</w:t>
      </w:r>
      <w:r w:rsidR="006A4AA5">
        <w:rPr>
          <w:lang w:eastAsia="ja-JP"/>
        </w:rPr>
        <w:t>.</w:t>
      </w:r>
      <w:bookmarkEnd w:id="29"/>
    </w:p>
    <w:p w:rsidR="00C81DD1" w:rsidRPr="00FD46E1" w:rsidRDefault="00C81DD1" w:rsidP="006A4AA5">
      <w:pPr>
        <w:numPr>
          <w:ilvl w:val="0"/>
          <w:numId w:val="31"/>
        </w:numPr>
        <w:tabs>
          <w:tab w:val="left" w:pos="567"/>
        </w:tabs>
        <w:ind w:left="567" w:hanging="567"/>
        <w:rPr>
          <w:lang w:val="en-GB" w:eastAsia="ja-JP"/>
        </w:rPr>
      </w:pPr>
      <w:r>
        <w:rPr>
          <w:lang w:eastAsia="ja-JP"/>
        </w:rPr>
        <w:t>A. Lehner, A. Steingass, “A Novel Channel Model for Land Mobile Satellite Navigation”, ION GNSS 18</w:t>
      </w:r>
      <w:r w:rsidR="0066142C" w:rsidRPr="0066142C">
        <w:rPr>
          <w:vertAlign w:val="superscript"/>
          <w:lang w:eastAsia="ja-JP"/>
        </w:rPr>
        <w:t>th</w:t>
      </w:r>
      <w:r>
        <w:rPr>
          <w:lang w:eastAsia="ja-JP"/>
        </w:rPr>
        <w:t xml:space="preserve"> International Technical Meeting of the Satellite Division, 13-16 September 2005, Long Beach, CA.</w:t>
      </w:r>
    </w:p>
    <w:p w:rsidR="00FD46E1" w:rsidRPr="00846381" w:rsidRDefault="002C6121" w:rsidP="006A4AA5">
      <w:pPr>
        <w:numPr>
          <w:ilvl w:val="0"/>
          <w:numId w:val="31"/>
        </w:numPr>
        <w:tabs>
          <w:tab w:val="left" w:pos="567"/>
        </w:tabs>
        <w:ind w:left="567" w:hanging="567"/>
        <w:rPr>
          <w:lang w:val="en-GB" w:eastAsia="ja-JP"/>
        </w:rPr>
      </w:pPr>
      <w:bookmarkStart w:id="30" w:name="_Ref505852232"/>
      <w:r>
        <w:rPr>
          <w:lang w:val="en-GB" w:eastAsia="ja-JP"/>
        </w:rPr>
        <w:t>Nokia, R1-1800646, “</w:t>
      </w:r>
      <w:r w:rsidRPr="002C6121">
        <w:rPr>
          <w:lang w:val="en-GB" w:eastAsia="ja-JP"/>
        </w:rPr>
        <w:t>Challenges in NTN fast fading model</w:t>
      </w:r>
      <w:r>
        <w:rPr>
          <w:lang w:val="en-GB" w:eastAsia="ja-JP"/>
        </w:rPr>
        <w:t xml:space="preserve">”, </w:t>
      </w:r>
      <w:r>
        <w:rPr>
          <w:rFonts w:eastAsia="MS Mincho"/>
          <w:lang w:eastAsia="ja-JP"/>
        </w:rPr>
        <w:t>Vancouver, Canada, January 22 – 26, 2018.</w:t>
      </w:r>
      <w:bookmarkEnd w:id="30"/>
    </w:p>
    <w:p w:rsidR="00846381" w:rsidRPr="006A4AA5" w:rsidRDefault="00846381" w:rsidP="006A4AA5">
      <w:pPr>
        <w:numPr>
          <w:ilvl w:val="0"/>
          <w:numId w:val="31"/>
        </w:numPr>
        <w:tabs>
          <w:tab w:val="left" w:pos="567"/>
        </w:tabs>
        <w:ind w:left="567" w:hanging="567"/>
        <w:rPr>
          <w:lang w:val="en-GB" w:eastAsia="ja-JP"/>
        </w:rPr>
      </w:pPr>
      <w:bookmarkStart w:id="31" w:name="_Ref505851008"/>
      <w:r>
        <w:rPr>
          <w:rFonts w:eastAsia="MS Mincho"/>
          <w:lang w:eastAsia="ja-JP"/>
        </w:rPr>
        <w:t>N. Moraitis, A. D. Panagopoulos, I. Popescu, “Propagation Study of a Wideband SIMO Land Mobile Satellite System in a Dense Urban Environment”, in Proc. the 8</w:t>
      </w:r>
      <w:r w:rsidR="00F56C40" w:rsidRPr="00F56C40">
        <w:rPr>
          <w:rFonts w:eastAsia="MS Mincho"/>
          <w:vertAlign w:val="superscript"/>
          <w:lang w:eastAsia="ja-JP"/>
        </w:rPr>
        <w:t>th</w:t>
      </w:r>
      <w:r>
        <w:rPr>
          <w:rFonts w:eastAsia="MS Mincho"/>
          <w:lang w:eastAsia="ja-JP"/>
        </w:rPr>
        <w:t xml:space="preserve"> European Conference on Antennas and Propagation (EuCAP), 2014.</w:t>
      </w:r>
      <w:bookmarkEnd w:id="31"/>
    </w:p>
    <w:p w:rsidR="006A4AA5" w:rsidRPr="006B7DE0" w:rsidRDefault="006A4AA5" w:rsidP="006A4AA5">
      <w:pPr>
        <w:numPr>
          <w:ilvl w:val="0"/>
          <w:numId w:val="31"/>
        </w:numPr>
        <w:tabs>
          <w:tab w:val="left" w:pos="567"/>
        </w:tabs>
        <w:ind w:left="567" w:hanging="567"/>
        <w:rPr>
          <w:lang w:val="en-GB" w:eastAsia="ja-JP"/>
        </w:rPr>
      </w:pPr>
      <w:bookmarkStart w:id="32" w:name="_Ref505787135"/>
      <w:r>
        <w:rPr>
          <w:lang w:val="en-GB" w:eastAsia="ja-JP"/>
        </w:rPr>
        <w:t>E. L. Cid, M. G. Sánchez, A. V. Alejos, S. G. Fernández, “Measurement, Characterization, and Modeling of the Helicopter Satellite Communication Channel”, IEEE Trans. on Antennas and Propagation, Vol. 62, No. 7, July 2014.</w:t>
      </w:r>
      <w:bookmarkEnd w:id="32"/>
    </w:p>
    <w:p w:rsidR="006B7DE0" w:rsidRPr="006B7DE0" w:rsidRDefault="0066142C" w:rsidP="006A4AA5">
      <w:pPr>
        <w:numPr>
          <w:ilvl w:val="0"/>
          <w:numId w:val="31"/>
        </w:numPr>
        <w:tabs>
          <w:tab w:val="left" w:pos="567"/>
        </w:tabs>
        <w:ind w:left="567" w:hanging="567"/>
        <w:rPr>
          <w:lang w:eastAsia="ja-JP"/>
        </w:rPr>
      </w:pPr>
      <w:bookmarkStart w:id="33" w:name="_Ref505789238"/>
      <w:r w:rsidRPr="0066142C">
        <w:rPr>
          <w:lang w:eastAsia="ja-JP"/>
        </w:rPr>
        <w:t xml:space="preserve">T. Jost, T. Pelzmann, M. Schwinzerl, M. Walter, M. </w:t>
      </w:r>
      <w:r w:rsidR="006B7DE0">
        <w:rPr>
          <w:lang w:eastAsia="ja-JP"/>
        </w:rPr>
        <w:t>Schönhuber, N. Floury, “Using Airborne Measurements to Model the Satellite-to-Aircraft Channel Model at L-Band”, in Proc. 11</w:t>
      </w:r>
      <w:r w:rsidRPr="0066142C">
        <w:rPr>
          <w:vertAlign w:val="superscript"/>
          <w:lang w:eastAsia="ja-JP"/>
        </w:rPr>
        <w:t>th</w:t>
      </w:r>
      <w:r w:rsidR="006B7DE0">
        <w:rPr>
          <w:lang w:eastAsia="ja-JP"/>
        </w:rPr>
        <w:t xml:space="preserve"> European Conference on Antennas and Propagation (EuCAP), 2017.</w:t>
      </w:r>
      <w:bookmarkEnd w:id="33"/>
    </w:p>
    <w:p w:rsidR="006B7DE0" w:rsidRPr="006A4AA5" w:rsidRDefault="006B7DE0" w:rsidP="000109E6">
      <w:pPr>
        <w:numPr>
          <w:ilvl w:val="0"/>
          <w:numId w:val="31"/>
        </w:numPr>
        <w:tabs>
          <w:tab w:val="left" w:pos="567"/>
        </w:tabs>
        <w:ind w:left="567" w:hanging="567"/>
        <w:rPr>
          <w:lang w:val="en-GB" w:eastAsia="ja-JP"/>
        </w:rPr>
      </w:pPr>
      <w:bookmarkStart w:id="34" w:name="_Ref505789026"/>
      <w:r>
        <w:rPr>
          <w:rFonts w:eastAsia="MS Mincho"/>
          <w:lang w:eastAsia="ja-JP"/>
        </w:rPr>
        <w:t>W. J. Vogel, G. W. Torrence, “Propagation Measurements for Satellite Radio Reception Inside Buildings”, IEEE Trans.  Antennas and Propagation, Vol. 41, No. 7, July 1993.</w:t>
      </w:r>
      <w:bookmarkEnd w:id="34"/>
    </w:p>
    <w:p w:rsidR="006A4AA5" w:rsidRPr="006A4AA5" w:rsidRDefault="006A4AA5" w:rsidP="000109E6">
      <w:pPr>
        <w:numPr>
          <w:ilvl w:val="0"/>
          <w:numId w:val="31"/>
        </w:numPr>
        <w:tabs>
          <w:tab w:val="left" w:pos="567"/>
        </w:tabs>
        <w:ind w:left="567" w:hanging="567"/>
        <w:rPr>
          <w:lang w:val="en-GB" w:eastAsia="ja-JP"/>
        </w:rPr>
      </w:pPr>
      <w:bookmarkStart w:id="35" w:name="_Ref505787143"/>
      <w:r>
        <w:rPr>
          <w:rFonts w:eastAsia="MS Mincho"/>
          <w:lang w:eastAsia="ja-JP"/>
        </w:rPr>
        <w:t>T. Jost, G. Carrié, F. Pérez-Fontán, W. Wang, U-C Fiebig, “A Deterministic Satellite-to-Indoor Entry Loss Model”, IEEE Trans. on Antennas and Propagation, Vol. 61, No. 4, April 2013.</w:t>
      </w:r>
      <w:bookmarkEnd w:id="35"/>
    </w:p>
    <w:p w:rsidR="006A4AA5" w:rsidRDefault="001075D9" w:rsidP="000109E6">
      <w:pPr>
        <w:numPr>
          <w:ilvl w:val="0"/>
          <w:numId w:val="31"/>
        </w:numPr>
        <w:tabs>
          <w:tab w:val="left" w:pos="567"/>
        </w:tabs>
        <w:ind w:left="567" w:hanging="567"/>
        <w:rPr>
          <w:lang w:val="en-GB" w:eastAsia="ja-JP"/>
        </w:rPr>
      </w:pPr>
      <w:bookmarkStart w:id="36" w:name="_Ref505787286"/>
      <w:r>
        <w:rPr>
          <w:lang w:val="en-GB" w:eastAsia="ja-JP"/>
        </w:rPr>
        <w:lastRenderedPageBreak/>
        <w:t>T. Jost, W. Wang, U.-C. Fiebig, F. Pérez-Fontán, “Satellite-to-Indoor Channel Model for Mobile Receivers”, 2014.</w:t>
      </w:r>
      <w:bookmarkEnd w:id="36"/>
    </w:p>
    <w:p w:rsidR="00953EF9" w:rsidRDefault="00953EF9" w:rsidP="000109E6">
      <w:pPr>
        <w:numPr>
          <w:ilvl w:val="0"/>
          <w:numId w:val="31"/>
        </w:numPr>
        <w:tabs>
          <w:tab w:val="left" w:pos="567"/>
        </w:tabs>
        <w:ind w:left="567" w:hanging="567"/>
        <w:rPr>
          <w:lang w:val="en-GB" w:eastAsia="ja-JP"/>
        </w:rPr>
      </w:pPr>
      <w:bookmarkStart w:id="37" w:name="_Ref505790545"/>
      <w:r>
        <w:rPr>
          <w:lang w:val="en-GB" w:eastAsia="ja-JP"/>
        </w:rPr>
        <w:t>T. Jost, W. Wang, F. Pérez-Fontán, U.-C. Fiebig, “A Satellite-to-Indoor Channel Model for Pedestrian Applications”, in Proc. 8</w:t>
      </w:r>
      <w:r w:rsidR="0066142C" w:rsidRPr="0066142C">
        <w:rPr>
          <w:vertAlign w:val="superscript"/>
          <w:lang w:val="en-GB" w:eastAsia="ja-JP"/>
        </w:rPr>
        <w:t>th</w:t>
      </w:r>
      <w:r>
        <w:rPr>
          <w:lang w:val="en-GB" w:eastAsia="ja-JP"/>
        </w:rPr>
        <w:t xml:space="preserve"> European Conference on Antennas and Propagation (EuCAP), 2014.</w:t>
      </w:r>
      <w:bookmarkEnd w:id="37"/>
    </w:p>
    <w:sectPr w:rsidR="00953E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3C9" w:rsidRDefault="00B903C9">
      <w:r>
        <w:separator/>
      </w:r>
    </w:p>
  </w:endnote>
  <w:endnote w:type="continuationSeparator" w:id="0">
    <w:p w:rsidR="00B903C9" w:rsidRDefault="00B9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3C9" w:rsidRDefault="00B903C9">
      <w:r>
        <w:separator/>
      </w:r>
    </w:p>
  </w:footnote>
  <w:footnote w:type="continuationSeparator" w:id="0">
    <w:p w:rsidR="00B903C9" w:rsidRDefault="00B903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8"/>
  </w:num>
  <w:num w:numId="4">
    <w:abstractNumId w:val="16"/>
  </w:num>
  <w:num w:numId="5">
    <w:abstractNumId w:val="9"/>
  </w:num>
  <w:num w:numId="6">
    <w:abstractNumId w:val="31"/>
  </w:num>
  <w:num w:numId="7">
    <w:abstractNumId w:val="17"/>
  </w:num>
  <w:num w:numId="8">
    <w:abstractNumId w:val="23"/>
  </w:num>
  <w:num w:numId="9">
    <w:abstractNumId w:val="28"/>
  </w:num>
  <w:num w:numId="10">
    <w:abstractNumId w:val="29"/>
  </w:num>
  <w:num w:numId="11">
    <w:abstractNumId w:val="33"/>
  </w:num>
  <w:num w:numId="12">
    <w:abstractNumId w:val="14"/>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0"/>
  </w:num>
  <w:num w:numId="33">
    <w:abstractNumId w:val="15"/>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043"/>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57E35"/>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A92"/>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4B04"/>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A05"/>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5D9"/>
    <w:rsid w:val="00107779"/>
    <w:rsid w:val="001078C2"/>
    <w:rsid w:val="00107E1C"/>
    <w:rsid w:val="00110243"/>
    <w:rsid w:val="001112C4"/>
    <w:rsid w:val="00111444"/>
    <w:rsid w:val="00111723"/>
    <w:rsid w:val="001129B5"/>
    <w:rsid w:val="00112BE6"/>
    <w:rsid w:val="001141E3"/>
    <w:rsid w:val="001144DF"/>
    <w:rsid w:val="00114A32"/>
    <w:rsid w:val="0011557B"/>
    <w:rsid w:val="00117C85"/>
    <w:rsid w:val="00120B13"/>
    <w:rsid w:val="00124D84"/>
    <w:rsid w:val="001250DD"/>
    <w:rsid w:val="00125733"/>
    <w:rsid w:val="001263AA"/>
    <w:rsid w:val="001274D8"/>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96"/>
    <w:rsid w:val="00205627"/>
    <w:rsid w:val="002056D0"/>
    <w:rsid w:val="00210860"/>
    <w:rsid w:val="00210B6A"/>
    <w:rsid w:val="00212CB6"/>
    <w:rsid w:val="00212E37"/>
    <w:rsid w:val="002140FF"/>
    <w:rsid w:val="00220894"/>
    <w:rsid w:val="00224952"/>
    <w:rsid w:val="00224DD2"/>
    <w:rsid w:val="00225A6A"/>
    <w:rsid w:val="00225AC7"/>
    <w:rsid w:val="00225ACC"/>
    <w:rsid w:val="00225C4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AF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6B0"/>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0DD"/>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121"/>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6A49"/>
    <w:rsid w:val="003178DA"/>
    <w:rsid w:val="00317DB8"/>
    <w:rsid w:val="00320618"/>
    <w:rsid w:val="0032100B"/>
    <w:rsid w:val="0032192A"/>
    <w:rsid w:val="00321BD7"/>
    <w:rsid w:val="0032260F"/>
    <w:rsid w:val="003228DA"/>
    <w:rsid w:val="00323D6B"/>
    <w:rsid w:val="00326957"/>
    <w:rsid w:val="00326AE2"/>
    <w:rsid w:val="00331426"/>
    <w:rsid w:val="0033171D"/>
    <w:rsid w:val="00331FC3"/>
    <w:rsid w:val="00332AA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383"/>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368"/>
    <w:rsid w:val="003F788D"/>
    <w:rsid w:val="0040126E"/>
    <w:rsid w:val="004020D4"/>
    <w:rsid w:val="004021B6"/>
    <w:rsid w:val="00403F00"/>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2443"/>
    <w:rsid w:val="00453BB6"/>
    <w:rsid w:val="00453CAA"/>
    <w:rsid w:val="00455113"/>
    <w:rsid w:val="00456421"/>
    <w:rsid w:val="00456DAB"/>
    <w:rsid w:val="00460CC3"/>
    <w:rsid w:val="00460E86"/>
    <w:rsid w:val="004646B4"/>
    <w:rsid w:val="00464A88"/>
    <w:rsid w:val="004651A0"/>
    <w:rsid w:val="00466532"/>
    <w:rsid w:val="00467488"/>
    <w:rsid w:val="004674EE"/>
    <w:rsid w:val="00467C2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773"/>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340C"/>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B5"/>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0C4"/>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E81"/>
    <w:rsid w:val="00612A36"/>
    <w:rsid w:val="006130F7"/>
    <w:rsid w:val="00613AF8"/>
    <w:rsid w:val="00613D8E"/>
    <w:rsid w:val="00613FAA"/>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860"/>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42C"/>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AA5"/>
    <w:rsid w:val="006A6E17"/>
    <w:rsid w:val="006B120D"/>
    <w:rsid w:val="006B17E7"/>
    <w:rsid w:val="006B19E8"/>
    <w:rsid w:val="006B1A8A"/>
    <w:rsid w:val="006B1FD5"/>
    <w:rsid w:val="006B555A"/>
    <w:rsid w:val="006B600A"/>
    <w:rsid w:val="006B6635"/>
    <w:rsid w:val="006B7D22"/>
    <w:rsid w:val="006B7D2C"/>
    <w:rsid w:val="006B7DE0"/>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C18"/>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885"/>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1D0"/>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898"/>
    <w:rsid w:val="00786958"/>
    <w:rsid w:val="00786E71"/>
    <w:rsid w:val="0079162F"/>
    <w:rsid w:val="00794924"/>
    <w:rsid w:val="0079532C"/>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3DA"/>
    <w:rsid w:val="007B7DC1"/>
    <w:rsid w:val="007B7EDB"/>
    <w:rsid w:val="007C19AD"/>
    <w:rsid w:val="007C3598"/>
    <w:rsid w:val="007C3FA8"/>
    <w:rsid w:val="007C68DA"/>
    <w:rsid w:val="007D229A"/>
    <w:rsid w:val="007D2F44"/>
    <w:rsid w:val="007D2F4D"/>
    <w:rsid w:val="007D4178"/>
    <w:rsid w:val="007D4830"/>
    <w:rsid w:val="007D4D33"/>
    <w:rsid w:val="007D7175"/>
    <w:rsid w:val="007E0D8B"/>
    <w:rsid w:val="007E1369"/>
    <w:rsid w:val="007E1A1B"/>
    <w:rsid w:val="007E1A88"/>
    <w:rsid w:val="007E4802"/>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16B"/>
    <w:rsid w:val="00824FDF"/>
    <w:rsid w:val="00825125"/>
    <w:rsid w:val="008257CC"/>
    <w:rsid w:val="008274BF"/>
    <w:rsid w:val="00830625"/>
    <w:rsid w:val="00830DC3"/>
    <w:rsid w:val="00831555"/>
    <w:rsid w:val="00831F52"/>
    <w:rsid w:val="00832154"/>
    <w:rsid w:val="00832F5C"/>
    <w:rsid w:val="008359E0"/>
    <w:rsid w:val="00835EE5"/>
    <w:rsid w:val="008376F6"/>
    <w:rsid w:val="00837D5B"/>
    <w:rsid w:val="00840607"/>
    <w:rsid w:val="00841CD2"/>
    <w:rsid w:val="00842B77"/>
    <w:rsid w:val="0084309F"/>
    <w:rsid w:val="00845C12"/>
    <w:rsid w:val="00846381"/>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F94"/>
    <w:rsid w:val="00942C80"/>
    <w:rsid w:val="00943197"/>
    <w:rsid w:val="009435F2"/>
    <w:rsid w:val="00945180"/>
    <w:rsid w:val="0094590C"/>
    <w:rsid w:val="00946355"/>
    <w:rsid w:val="009468B7"/>
    <w:rsid w:val="0094724E"/>
    <w:rsid w:val="00947973"/>
    <w:rsid w:val="00947BE6"/>
    <w:rsid w:val="0095048D"/>
    <w:rsid w:val="00951ADB"/>
    <w:rsid w:val="0095380C"/>
    <w:rsid w:val="00953EF9"/>
    <w:rsid w:val="00954353"/>
    <w:rsid w:val="00955C0A"/>
    <w:rsid w:val="00955C4F"/>
    <w:rsid w:val="009657F1"/>
    <w:rsid w:val="0096625D"/>
    <w:rsid w:val="009709F8"/>
    <w:rsid w:val="00972929"/>
    <w:rsid w:val="00972F91"/>
    <w:rsid w:val="00973827"/>
    <w:rsid w:val="009742D3"/>
    <w:rsid w:val="0097555A"/>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949"/>
    <w:rsid w:val="009A6A6B"/>
    <w:rsid w:val="009B1EF9"/>
    <w:rsid w:val="009B26AC"/>
    <w:rsid w:val="009B37E2"/>
    <w:rsid w:val="009B4519"/>
    <w:rsid w:val="009B506B"/>
    <w:rsid w:val="009B57EF"/>
    <w:rsid w:val="009B5B85"/>
    <w:rsid w:val="009B7204"/>
    <w:rsid w:val="009C0074"/>
    <w:rsid w:val="009C0564"/>
    <w:rsid w:val="009C2685"/>
    <w:rsid w:val="009C39BC"/>
    <w:rsid w:val="009C47E1"/>
    <w:rsid w:val="009C4BC2"/>
    <w:rsid w:val="009C4D22"/>
    <w:rsid w:val="009C7320"/>
    <w:rsid w:val="009D0729"/>
    <w:rsid w:val="009D0F2B"/>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272"/>
    <w:rsid w:val="009F3FB5"/>
    <w:rsid w:val="009F521F"/>
    <w:rsid w:val="009F553C"/>
    <w:rsid w:val="009F59F8"/>
    <w:rsid w:val="009F7C85"/>
    <w:rsid w:val="00A005B0"/>
    <w:rsid w:val="00A01F17"/>
    <w:rsid w:val="00A022A5"/>
    <w:rsid w:val="00A03A22"/>
    <w:rsid w:val="00A04634"/>
    <w:rsid w:val="00A06119"/>
    <w:rsid w:val="00A07A48"/>
    <w:rsid w:val="00A108EE"/>
    <w:rsid w:val="00A10BB8"/>
    <w:rsid w:val="00A117E9"/>
    <w:rsid w:val="00A1200D"/>
    <w:rsid w:val="00A130B8"/>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C7E"/>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350"/>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7044"/>
    <w:rsid w:val="00B10558"/>
    <w:rsid w:val="00B156A9"/>
    <w:rsid w:val="00B15F83"/>
    <w:rsid w:val="00B160FF"/>
    <w:rsid w:val="00B16322"/>
    <w:rsid w:val="00B1662E"/>
    <w:rsid w:val="00B16A6F"/>
    <w:rsid w:val="00B22C0D"/>
    <w:rsid w:val="00B233D0"/>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B2F"/>
    <w:rsid w:val="00B51D1D"/>
    <w:rsid w:val="00B5310E"/>
    <w:rsid w:val="00B54ACC"/>
    <w:rsid w:val="00B54DCB"/>
    <w:rsid w:val="00B55AC2"/>
    <w:rsid w:val="00B560C9"/>
    <w:rsid w:val="00B56533"/>
    <w:rsid w:val="00B56CFC"/>
    <w:rsid w:val="00B57777"/>
    <w:rsid w:val="00B57A17"/>
    <w:rsid w:val="00B57F4A"/>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CC4"/>
    <w:rsid w:val="00B853BE"/>
    <w:rsid w:val="00B86476"/>
    <w:rsid w:val="00B86A3D"/>
    <w:rsid w:val="00B875C7"/>
    <w:rsid w:val="00B903C9"/>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4981"/>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AF9"/>
    <w:rsid w:val="00C03EE8"/>
    <w:rsid w:val="00C05BEC"/>
    <w:rsid w:val="00C06E7D"/>
    <w:rsid w:val="00C1112B"/>
    <w:rsid w:val="00C11A88"/>
    <w:rsid w:val="00C12012"/>
    <w:rsid w:val="00C1273C"/>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D27"/>
    <w:rsid w:val="00C411AF"/>
    <w:rsid w:val="00C4138D"/>
    <w:rsid w:val="00C41E3A"/>
    <w:rsid w:val="00C4304C"/>
    <w:rsid w:val="00C43315"/>
    <w:rsid w:val="00C45136"/>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1DD1"/>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E26"/>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AB7"/>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1CA0"/>
    <w:rsid w:val="00D82494"/>
    <w:rsid w:val="00D83AE9"/>
    <w:rsid w:val="00D857B8"/>
    <w:rsid w:val="00D87175"/>
    <w:rsid w:val="00D87ABF"/>
    <w:rsid w:val="00D90CD3"/>
    <w:rsid w:val="00D919E6"/>
    <w:rsid w:val="00D91BE1"/>
    <w:rsid w:val="00D92C29"/>
    <w:rsid w:val="00D9348A"/>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03E"/>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4D7E"/>
    <w:rsid w:val="00DF6C8B"/>
    <w:rsid w:val="00DF6F17"/>
    <w:rsid w:val="00DF78FA"/>
    <w:rsid w:val="00E002F1"/>
    <w:rsid w:val="00E0082C"/>
    <w:rsid w:val="00E01DAA"/>
    <w:rsid w:val="00E023E5"/>
    <w:rsid w:val="00E02432"/>
    <w:rsid w:val="00E02F89"/>
    <w:rsid w:val="00E04022"/>
    <w:rsid w:val="00E0728F"/>
    <w:rsid w:val="00E0755C"/>
    <w:rsid w:val="00E14A7E"/>
    <w:rsid w:val="00E151E1"/>
    <w:rsid w:val="00E17619"/>
    <w:rsid w:val="00E17805"/>
    <w:rsid w:val="00E20F79"/>
    <w:rsid w:val="00E21278"/>
    <w:rsid w:val="00E22CCD"/>
    <w:rsid w:val="00E23A11"/>
    <w:rsid w:val="00E23FB7"/>
    <w:rsid w:val="00E24A27"/>
    <w:rsid w:val="00E25A81"/>
    <w:rsid w:val="00E25F89"/>
    <w:rsid w:val="00E32D62"/>
    <w:rsid w:val="00E339DC"/>
    <w:rsid w:val="00E33E15"/>
    <w:rsid w:val="00E361B8"/>
    <w:rsid w:val="00E36A1B"/>
    <w:rsid w:val="00E378DE"/>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A46"/>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9F7"/>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C40"/>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5F"/>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12E"/>
    <w:rsid w:val="00FD2D7B"/>
    <w:rsid w:val="00FD37F6"/>
    <w:rsid w:val="00FD4589"/>
    <w:rsid w:val="00FD46E1"/>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E591D4-6D62-4523-BC5A-21D1CD9B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30625"/>
    <w:pPr>
      <w:keepNext/>
      <w:numPr>
        <w:numId w:val="3"/>
      </w:numPr>
      <w:tabs>
        <w:tab w:val="clear" w:pos="432"/>
      </w:tabs>
      <w:spacing w:before="120"/>
      <w:outlineLvl w:val="0"/>
    </w:pPr>
    <w:rPr>
      <w:b/>
      <w:bCs/>
      <w:sz w:val="28"/>
      <w:szCs w:val="28"/>
    </w:rPr>
  </w:style>
  <w:style w:type="paragraph" w:styleId="2">
    <w:name w:val="heading 2"/>
    <w:basedOn w:val="a"/>
    <w:next w:val="a"/>
    <w:qFormat/>
    <w:rsid w:val="00830625"/>
    <w:pPr>
      <w:keepNext/>
      <w:numPr>
        <w:ilvl w:val="1"/>
        <w:numId w:val="3"/>
      </w:numPr>
      <w:tabs>
        <w:tab w:val="clear" w:pos="576"/>
      </w:tabs>
      <w:spacing w:before="120"/>
      <w:outlineLvl w:val="1"/>
    </w:pPr>
    <w:rPr>
      <w:b/>
      <w:bCs/>
      <w:sz w:val="24"/>
    </w:rPr>
  </w:style>
  <w:style w:type="paragraph" w:styleId="3">
    <w:name w:val="heading 3"/>
    <w:basedOn w:val="a"/>
    <w:next w:val="a"/>
    <w:qFormat/>
    <w:rsid w:val="00830625"/>
    <w:pPr>
      <w:keepNext/>
      <w:numPr>
        <w:ilvl w:val="2"/>
        <w:numId w:val="3"/>
      </w:numPr>
      <w:tabs>
        <w:tab w:val="clear" w:pos="720"/>
      </w:tabs>
      <w:spacing w:before="120"/>
      <w:outlineLvl w:val="2"/>
    </w:pPr>
    <w:rPr>
      <w:b/>
    </w:rPr>
  </w:style>
  <w:style w:type="paragraph" w:styleId="4">
    <w:name w:val="heading 4"/>
    <w:basedOn w:val="a"/>
    <w:next w:val="a"/>
    <w:qFormat/>
    <w:rsid w:val="00830625"/>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830625"/>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830625"/>
    <w:pPr>
      <w:numPr>
        <w:ilvl w:val="5"/>
        <w:numId w:val="3"/>
      </w:numPr>
      <w:spacing w:before="240" w:after="60"/>
      <w:outlineLvl w:val="5"/>
    </w:pPr>
    <w:rPr>
      <w:b/>
      <w:bCs/>
    </w:rPr>
  </w:style>
  <w:style w:type="paragraph" w:styleId="7">
    <w:name w:val="heading 7"/>
    <w:basedOn w:val="a"/>
    <w:next w:val="a"/>
    <w:qFormat/>
    <w:rsid w:val="00830625"/>
    <w:pPr>
      <w:numPr>
        <w:ilvl w:val="6"/>
        <w:numId w:val="3"/>
      </w:numPr>
      <w:spacing w:before="240" w:after="60"/>
      <w:outlineLvl w:val="6"/>
    </w:pPr>
    <w:rPr>
      <w:sz w:val="24"/>
      <w:szCs w:val="24"/>
    </w:rPr>
  </w:style>
  <w:style w:type="paragraph" w:styleId="8">
    <w:name w:val="heading 8"/>
    <w:basedOn w:val="a"/>
    <w:next w:val="a"/>
    <w:qFormat/>
    <w:rsid w:val="00830625"/>
    <w:pPr>
      <w:numPr>
        <w:ilvl w:val="7"/>
        <w:numId w:val="3"/>
      </w:numPr>
      <w:spacing w:before="240" w:after="60"/>
      <w:outlineLvl w:val="7"/>
    </w:pPr>
    <w:rPr>
      <w:i/>
      <w:iCs/>
      <w:sz w:val="24"/>
      <w:szCs w:val="24"/>
    </w:rPr>
  </w:style>
  <w:style w:type="paragraph" w:styleId="9">
    <w:name w:val="heading 9"/>
    <w:basedOn w:val="a"/>
    <w:next w:val="a"/>
    <w:qFormat/>
    <w:rsid w:val="0083062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30625"/>
    <w:rPr>
      <w:sz w:val="20"/>
      <w:szCs w:val="20"/>
    </w:rPr>
  </w:style>
  <w:style w:type="character" w:customStyle="1" w:styleId="Char">
    <w:name w:val="正文文本 Char"/>
    <w:basedOn w:val="a0"/>
    <w:link w:val="a3"/>
    <w:rsid w:val="00CF195E"/>
  </w:style>
  <w:style w:type="character" w:styleId="a4">
    <w:name w:val="Hyperlink"/>
    <w:basedOn w:val="a0"/>
    <w:rsid w:val="00830625"/>
    <w:rPr>
      <w:color w:val="0000FF"/>
      <w:u w:val="single"/>
    </w:rPr>
  </w:style>
  <w:style w:type="paragraph" w:styleId="a5">
    <w:name w:val="caption"/>
    <w:aliases w:val="cap"/>
    <w:basedOn w:val="a"/>
    <w:next w:val="a"/>
    <w:link w:val="Char0"/>
    <w:qFormat/>
    <w:rsid w:val="00830625"/>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30625"/>
    <w:pPr>
      <w:autoSpaceDE/>
      <w:autoSpaceDN/>
      <w:adjustRightInd/>
      <w:spacing w:after="180"/>
      <w:ind w:left="568" w:hanging="284"/>
      <w:jc w:val="left"/>
    </w:pPr>
    <w:rPr>
      <w:sz w:val="20"/>
      <w:szCs w:val="20"/>
      <w:lang w:val="en-GB"/>
    </w:rPr>
  </w:style>
  <w:style w:type="paragraph" w:styleId="a7">
    <w:name w:val="List"/>
    <w:basedOn w:val="a"/>
    <w:rsid w:val="00830625"/>
    <w:pPr>
      <w:ind w:left="360" w:hanging="360"/>
    </w:pPr>
  </w:style>
  <w:style w:type="paragraph" w:styleId="20">
    <w:name w:val="Body Text 2"/>
    <w:basedOn w:val="a"/>
    <w:rsid w:val="00830625"/>
    <w:pPr>
      <w:spacing w:after="0"/>
      <w:jc w:val="left"/>
    </w:pPr>
    <w:rPr>
      <w:szCs w:val="20"/>
    </w:rPr>
  </w:style>
  <w:style w:type="paragraph" w:styleId="a8">
    <w:name w:val="Balloon Text"/>
    <w:basedOn w:val="a"/>
    <w:semiHidden/>
    <w:rsid w:val="00830625"/>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830625"/>
    <w:rPr>
      <w:color w:val="800080"/>
      <w:u w:val="single"/>
    </w:rPr>
  </w:style>
  <w:style w:type="paragraph" w:styleId="aa">
    <w:name w:val="footnote text"/>
    <w:basedOn w:val="a"/>
    <w:semiHidden/>
    <w:rsid w:val="00830625"/>
    <w:rPr>
      <w:sz w:val="20"/>
      <w:szCs w:val="20"/>
    </w:rPr>
  </w:style>
  <w:style w:type="character" w:styleId="ab">
    <w:name w:val="footnote reference"/>
    <w:basedOn w:val="a0"/>
    <w:semiHidden/>
    <w:rsid w:val="00830625"/>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9348A"/>
    <w:rPr>
      <w:rFonts w:ascii="宋体"/>
      <w:sz w:val="18"/>
      <w:szCs w:val="18"/>
    </w:rPr>
  </w:style>
  <w:style w:type="character" w:customStyle="1" w:styleId="Char3">
    <w:name w:val="文档结构图 Char"/>
    <w:basedOn w:val="a0"/>
    <w:link w:val="af"/>
    <w:rsid w:val="00D9348A"/>
    <w:rPr>
      <w:rFonts w:ascii="宋体"/>
      <w:sz w:val="18"/>
      <w:szCs w:val="18"/>
      <w:lang w:eastAsia="en-US"/>
    </w:rPr>
  </w:style>
  <w:style w:type="table" w:styleId="30">
    <w:name w:val="Table Columns 3"/>
    <w:basedOn w:val="a1"/>
    <w:rsid w:val="004B1773"/>
    <w:pPr>
      <w:autoSpaceDE w:val="0"/>
      <w:autoSpaceDN w:val="0"/>
      <w:adjustRightInd w:val="0"/>
      <w:snapToGrid w:val="0"/>
      <w:spacing w:after="12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0">
    <w:name w:val="Table List 4"/>
    <w:basedOn w:val="a1"/>
    <w:rsid w:val="004B1773"/>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af0">
    <w:name w:val="Placeholder Text"/>
    <w:basedOn w:val="a0"/>
    <w:uiPriority w:val="99"/>
    <w:semiHidden/>
    <w:rsid w:val="007953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C5F97-B436-4D6F-B21E-C74C89C4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2018-02-16T13:40:00Z</dcterms:created>
  <dcterms:modified xsi:type="dcterms:W3CDTF">2018-02-16T17:21:00Z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(3)JkgP4D9k4ksiFtvwcmnKAANXNN1SAKkTIA47V6XZFFLsvW2bUW8ciEq68syD++F7gU+LiP30
aWMyphVargDPSMSRfpnHFPX6EM8qGxwBeZiIPnNMUUbvqbE2DCBDEViwCit331hu/mSzFBVW
IIi/Q0V9vhsqo9coWxgghPkfYfrvRul+SLCSlzccUj8feJCZuE3kOUvbXIQ5HzV1nNxBAK59
mf+wlDfODKwRVAPJ5D</vt:lpwstr>
  </property>
  <property fmtid="{D5CDD505-2E9C-101B-9397-08002B2CF9AE}" pid="13" name="_2015_ms_pID_725343_00">
    <vt:lpwstr>_2015_ms_pID_725343</vt:lpwstr>
  </property>
  <property fmtid="{D5CDD505-2E9C-101B-9397-08002B2CF9AE}" pid="14" name="_2015_ms_pID_7253431">
    <vt:lpwstr>QGwaO1uuU+/CIxHisDLktKQ5T84VR6HoYWwWFIRo88UsLrvVBRLh6c
hVtaZ3/Iq4p/kzppJLOjfNceBrs+uK0bTd4QI+e6H6pYI9oNGEIdgz+OL2r8z+nhvcrXAjUe
iYSM8zT1r/ZdBDb1mEsJQQJlPY9bo3Ui//vLk/2mrPLognUu+eigsl+X2UpmJHeZ4yh4kquJ
hvJZngeHH+9pgcQW8vOanf4UAvyT1YEOkZld</vt:lpwstr>
  </property>
  <property fmtid="{D5CDD505-2E9C-101B-9397-08002B2CF9AE}" pid="15" name="_2015_ms_pID_7253431_00">
    <vt:lpwstr>_2015_ms_pID_7253431</vt:lpwstr>
  </property>
  <property fmtid="{D5CDD505-2E9C-101B-9397-08002B2CF9AE}" pid="16" name="_2015_ms_pID_7253432">
    <vt:lpwstr>eWrxExHhHVFNRma30YSAP2KD4LmD2OETrGco
ES5Ur4lv8tWdaAn5hsoJz8mihw6XKw==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1518801590</vt:lpwstr>
  </property>
</Properties>
</file>