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4C6ED582" w:rsidR="0051221F" w:rsidRPr="00E106C5" w:rsidRDefault="006B10EA" w:rsidP="0051221F">
      <w:pPr>
        <w:tabs>
          <w:tab w:val="center" w:pos="4536"/>
          <w:tab w:val="right" w:pos="9356"/>
          <w:tab w:val="right" w:pos="9639"/>
        </w:tabs>
        <w:spacing w:after="0"/>
        <w:rPr>
          <w:rFonts w:ascii="Arial" w:hAnsi="Arial" w:cs="Arial"/>
          <w:b/>
          <w:bCs/>
          <w:sz w:val="24"/>
        </w:rPr>
      </w:pPr>
      <w:r w:rsidRPr="006B10EA">
        <w:rPr>
          <w:rFonts w:ascii="Arial" w:hAnsi="Arial" w:cs="Arial"/>
          <w:b/>
          <w:bCs/>
          <w:sz w:val="24"/>
        </w:rPr>
        <w:t>3GPP TSG RAN WG1 Meeting #92</w:t>
      </w:r>
      <w:r w:rsidR="0051221F" w:rsidRPr="00E106C5">
        <w:rPr>
          <w:rFonts w:ascii="Arial" w:hAnsi="Arial" w:cs="Arial"/>
          <w:b/>
          <w:bCs/>
          <w:sz w:val="24"/>
        </w:rPr>
        <w:t xml:space="preserve">           </w:t>
      </w:r>
      <w:r w:rsidR="0051221F">
        <w:rPr>
          <w:rFonts w:ascii="Arial" w:hAnsi="Arial" w:cs="Arial"/>
          <w:b/>
          <w:bCs/>
          <w:sz w:val="24"/>
        </w:rPr>
        <w:tab/>
      </w:r>
      <w:r w:rsidR="0051221F" w:rsidRPr="00BD0E81">
        <w:rPr>
          <w:rFonts w:ascii="Arial" w:hAnsi="Arial" w:cs="Arial"/>
          <w:b/>
          <w:bCs/>
          <w:sz w:val="24"/>
        </w:rPr>
        <w:t>R1-1</w:t>
      </w:r>
      <w:r>
        <w:rPr>
          <w:rFonts w:ascii="Arial" w:eastAsia="MS Mincho" w:hAnsi="Arial" w:cs="Arial"/>
          <w:b/>
          <w:bCs/>
          <w:sz w:val="24"/>
          <w:lang w:eastAsia="ja-JP"/>
        </w:rPr>
        <w:t>8</w:t>
      </w:r>
      <w:r w:rsidR="00EA4A75">
        <w:rPr>
          <w:rFonts w:ascii="Arial" w:eastAsia="MS Mincho" w:hAnsi="Arial" w:cs="Arial"/>
          <w:b/>
          <w:bCs/>
          <w:sz w:val="24"/>
          <w:lang w:eastAsia="ja-JP"/>
        </w:rPr>
        <w:t>02283</w:t>
      </w:r>
    </w:p>
    <w:p w14:paraId="56A8114B" w14:textId="5301B2EB" w:rsidR="00CA26CE" w:rsidRDefault="006B10EA" w:rsidP="00CA26CE">
      <w:pPr>
        <w:pStyle w:val="Header"/>
        <w:rPr>
          <w:rFonts w:eastAsia="MS Mincho" w:cs="Arial"/>
          <w:bCs/>
          <w:noProof w:val="0"/>
          <w:sz w:val="24"/>
          <w:lang w:val="en-GB" w:eastAsia="ja-JP"/>
        </w:rPr>
      </w:pPr>
      <w:r w:rsidRPr="006B10EA">
        <w:rPr>
          <w:rFonts w:eastAsia="MS Mincho" w:cs="Arial"/>
          <w:bCs/>
          <w:noProof w:val="0"/>
          <w:sz w:val="24"/>
          <w:lang w:val="en-GB" w:eastAsia="ja-JP"/>
        </w:rPr>
        <w:t>Athens, Greece, February 26</w:t>
      </w:r>
      <w:r w:rsidRPr="00867574">
        <w:rPr>
          <w:rFonts w:eastAsia="MS Mincho" w:cs="Arial"/>
          <w:bCs/>
          <w:noProof w:val="0"/>
          <w:sz w:val="24"/>
          <w:vertAlign w:val="superscript"/>
          <w:lang w:val="en-GB" w:eastAsia="ja-JP"/>
        </w:rPr>
        <w:t>th</w:t>
      </w:r>
      <w:r w:rsidR="00EA4A75">
        <w:rPr>
          <w:rFonts w:eastAsia="MS Mincho" w:cs="Arial"/>
          <w:bCs/>
          <w:noProof w:val="0"/>
          <w:sz w:val="24"/>
          <w:lang w:val="en-GB" w:eastAsia="ja-JP"/>
        </w:rPr>
        <w:t xml:space="preserve"> </w:t>
      </w:r>
      <w:r w:rsidRPr="006B10EA">
        <w:rPr>
          <w:rFonts w:eastAsia="MS Mincho" w:cs="Arial"/>
          <w:bCs/>
          <w:noProof w:val="0"/>
          <w:sz w:val="24"/>
          <w:lang w:val="en-GB" w:eastAsia="ja-JP"/>
        </w:rPr>
        <w:t>– March 2</w:t>
      </w:r>
      <w:r w:rsidRPr="00867574">
        <w:rPr>
          <w:rFonts w:eastAsia="MS Mincho" w:cs="Arial"/>
          <w:bCs/>
          <w:noProof w:val="0"/>
          <w:sz w:val="24"/>
          <w:vertAlign w:val="superscript"/>
          <w:lang w:val="en-GB" w:eastAsia="ja-JP"/>
        </w:rPr>
        <w:t>nd</w:t>
      </w:r>
      <w:r w:rsidRPr="006B10EA">
        <w:rPr>
          <w:rFonts w:eastAsia="MS Mincho" w:cs="Arial"/>
          <w:bCs/>
          <w:noProof w:val="0"/>
          <w:sz w:val="24"/>
          <w:lang w:val="en-GB" w:eastAsia="ja-JP"/>
        </w:rPr>
        <w:t>, 2018</w:t>
      </w:r>
    </w:p>
    <w:p w14:paraId="4E847B5D" w14:textId="77777777" w:rsidR="006B10EA" w:rsidRPr="0016316A" w:rsidRDefault="006B10EA" w:rsidP="00CA26CE">
      <w:pPr>
        <w:pStyle w:val="Header"/>
        <w:rPr>
          <w:bCs/>
          <w:noProof w:val="0"/>
          <w:sz w:val="24"/>
          <w:lang w:val="en-GB" w:eastAsia="ja-JP"/>
        </w:rPr>
      </w:pPr>
    </w:p>
    <w:p w14:paraId="08AC4AD5" w14:textId="0339C149"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6B10EA">
        <w:rPr>
          <w:rFonts w:eastAsia="SimSun" w:cs="Arial"/>
          <w:b/>
          <w:bCs/>
          <w:sz w:val="24"/>
        </w:rPr>
        <w:t>6.</w:t>
      </w:r>
      <w:r w:rsidR="00EA4A75">
        <w:rPr>
          <w:rFonts w:eastAsia="SimSun" w:cs="Arial"/>
          <w:b/>
          <w:bCs/>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6F2E7969"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227353">
        <w:rPr>
          <w:rFonts w:ascii="Arial" w:hAnsi="Arial" w:cs="Arial"/>
          <w:b/>
          <w:bCs/>
          <w:sz w:val="24"/>
        </w:rPr>
        <w:t>S</w:t>
      </w:r>
      <w:r w:rsidR="0036348A">
        <w:rPr>
          <w:rFonts w:ascii="Arial" w:hAnsi="Arial" w:cs="Arial"/>
          <w:b/>
          <w:bCs/>
          <w:sz w:val="24"/>
        </w:rPr>
        <w:t>pectrum band candidates</w:t>
      </w:r>
      <w:r w:rsidR="006B10EA" w:rsidRPr="006B10EA">
        <w:rPr>
          <w:rFonts w:ascii="Arial" w:hAnsi="Arial" w:cs="Arial"/>
          <w:b/>
          <w:bCs/>
          <w:sz w:val="24"/>
        </w:rPr>
        <w:t xml:space="preserve"> for NR unlicensed</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62A1368" w14:textId="5CF7A5F8" w:rsidR="00390ECB" w:rsidRPr="00390ECB" w:rsidRDefault="0034111C" w:rsidP="00390ECB">
      <w:pPr>
        <w:pStyle w:val="Heading1"/>
        <w:ind w:left="567" w:hanging="567"/>
      </w:pPr>
      <w:r w:rsidRPr="0016316A">
        <w:t>1</w:t>
      </w:r>
      <w:r w:rsidR="00390ECB">
        <w:t xml:space="preserve"> </w:t>
      </w:r>
      <w:r w:rsidR="00390ECB">
        <w:tab/>
      </w:r>
      <w:r w:rsidR="00EE7FA7" w:rsidRPr="0016316A">
        <w:t>Introduction</w:t>
      </w:r>
    </w:p>
    <w:p w14:paraId="2A0F7C7F" w14:textId="59B8ADD0" w:rsidR="00C53BBB" w:rsidRDefault="0036348A" w:rsidP="0036348A">
      <w:pPr>
        <w:spacing w:after="120"/>
        <w:jc w:val="both"/>
        <w:rPr>
          <w:rFonts w:eastAsia="Times New Roman"/>
          <w:lang w:val="en-US" w:eastAsia="fi-FI"/>
        </w:rPr>
      </w:pPr>
      <w:r>
        <w:rPr>
          <w:rFonts w:eastAsia="Times New Roman"/>
          <w:lang w:eastAsia="fi-FI"/>
        </w:rPr>
        <w:t>In</w:t>
      </w:r>
      <w:r w:rsidR="1CEFF1BD" w:rsidRPr="1CEFF1BD">
        <w:rPr>
          <w:rFonts w:eastAsia="Times New Roman"/>
          <w:lang w:val="en-US" w:eastAsia="fi-FI"/>
        </w:rPr>
        <w:t xml:space="preserve"> RAN plenary #78, the release 15 NR specifications supporting licensed band operation were approved.</w:t>
      </w:r>
      <w:r w:rsidR="004F3F74">
        <w:rPr>
          <w:rFonts w:eastAsia="Times New Roman"/>
          <w:lang w:val="en-US" w:eastAsia="fi-FI"/>
        </w:rPr>
        <w:t xml:space="preserve"> RAN plenary#77 approved a revised SI description [1] for NR-based access to unlicensed spectrum</w:t>
      </w:r>
      <w:r>
        <w:rPr>
          <w:rFonts w:eastAsia="Times New Roman"/>
          <w:lang w:val="en-US" w:eastAsia="fi-FI"/>
        </w:rPr>
        <w:t xml:space="preserve">. </w:t>
      </w:r>
      <w:r w:rsidR="00A23069">
        <w:rPr>
          <w:rFonts w:eastAsia="Times New Roman"/>
          <w:szCs w:val="24"/>
          <w:lang w:val="en-US" w:eastAsia="fi-FI"/>
        </w:rPr>
        <w:t>In</w:t>
      </w:r>
      <w:r>
        <w:rPr>
          <w:rFonts w:eastAsia="Times New Roman"/>
          <w:szCs w:val="24"/>
          <w:lang w:val="en-US" w:eastAsia="fi-FI"/>
        </w:rPr>
        <w:t xml:space="preserve"> this contribution we consider unlicensed spectrum band candidates for </w:t>
      </w:r>
      <w:r w:rsidR="00A23069" w:rsidRPr="00A23069">
        <w:rPr>
          <w:rFonts w:eastAsia="Times New Roman"/>
          <w:szCs w:val="24"/>
          <w:lang w:val="en-US" w:eastAsia="fi-FI"/>
        </w:rPr>
        <w:t>NR unlicensed</w:t>
      </w:r>
      <w:r w:rsidR="00A23069">
        <w:rPr>
          <w:rFonts w:eastAsia="Times New Roman"/>
          <w:szCs w:val="24"/>
          <w:lang w:val="en-US" w:eastAsia="fi-FI"/>
        </w:rPr>
        <w:t xml:space="preserve"> </w:t>
      </w:r>
      <w:r>
        <w:rPr>
          <w:rFonts w:eastAsia="Times New Roman"/>
          <w:szCs w:val="24"/>
          <w:lang w:val="en-US" w:eastAsia="fi-FI"/>
        </w:rPr>
        <w:t>operation</w:t>
      </w:r>
      <w:r w:rsidR="006D1C6A">
        <w:rPr>
          <w:rFonts w:eastAsia="Times New Roman"/>
          <w:lang w:val="en-US" w:eastAsia="fi-FI"/>
        </w:rPr>
        <w:t xml:space="preserve">, leading to proposals </w:t>
      </w:r>
      <w:r w:rsidR="00EA4A75">
        <w:rPr>
          <w:rFonts w:eastAsia="Times New Roman"/>
          <w:lang w:val="en-US" w:eastAsia="fi-FI"/>
        </w:rPr>
        <w:t xml:space="preserve">regarding on </w:t>
      </w:r>
      <w:r w:rsidR="006D1C6A">
        <w:rPr>
          <w:rFonts w:eastAsia="Times New Roman"/>
          <w:lang w:val="en-US" w:eastAsia="fi-FI"/>
        </w:rPr>
        <w:t xml:space="preserve">which unlicensed bands the study item efforts should be primarily focused. </w:t>
      </w:r>
      <w:r w:rsidR="00390ECB">
        <w:rPr>
          <w:rFonts w:eastAsia="Times New Roman"/>
          <w:lang w:val="en-US" w:eastAsia="fi-FI"/>
        </w:rPr>
        <w:t xml:space="preserve">We also briefly discuss the unlicensed band regulatory requirements in Section 3. </w:t>
      </w:r>
    </w:p>
    <w:p w14:paraId="5CC1B524" w14:textId="41F2C6CE" w:rsidR="00186C5C" w:rsidRPr="001F28AA" w:rsidRDefault="00186C5C" w:rsidP="00390ECB">
      <w:pPr>
        <w:pStyle w:val="Heading1"/>
        <w:ind w:left="567" w:hanging="567"/>
      </w:pPr>
      <w:r>
        <w:rPr>
          <w:color w:val="000000"/>
        </w:rPr>
        <w:t>2</w:t>
      </w:r>
      <w:r w:rsidRPr="00A51522">
        <w:rPr>
          <w:color w:val="000000"/>
        </w:rPr>
        <w:tab/>
      </w:r>
      <w:r w:rsidR="007F42AB">
        <w:t>Candidate spectrum bands</w:t>
      </w:r>
    </w:p>
    <w:p w14:paraId="7A3D1B23" w14:textId="7D48DB98" w:rsidR="006D1C6A" w:rsidRDefault="00DF302E" w:rsidP="00EA26BD">
      <w:pPr>
        <w:spacing w:after="240"/>
        <w:jc w:val="both"/>
      </w:pPr>
      <w:r>
        <w:t xml:space="preserve">In this section various candidate </w:t>
      </w:r>
      <w:r w:rsidR="006D1C6A">
        <w:t xml:space="preserve">unlicensed </w:t>
      </w:r>
      <w:r>
        <w:t>bands</w:t>
      </w:r>
      <w:r w:rsidR="006D1C6A">
        <w:t xml:space="preserve"> are </w:t>
      </w:r>
      <w:r>
        <w:t>considered</w:t>
      </w:r>
      <w:r w:rsidR="006D1C6A">
        <w:t xml:space="preserve"> with brief assessment of the feasibility for NR unlicensed operations.</w:t>
      </w:r>
    </w:p>
    <w:p w14:paraId="79EFE52C" w14:textId="3852CC30" w:rsidR="00216856" w:rsidRPr="005636AF" w:rsidRDefault="00AA3F51" w:rsidP="00C640FE">
      <w:pPr>
        <w:spacing w:after="0"/>
        <w:jc w:val="both"/>
        <w:rPr>
          <w:b/>
          <w:u w:val="single"/>
        </w:rPr>
      </w:pPr>
      <w:r w:rsidRPr="005636AF">
        <w:rPr>
          <w:b/>
          <w:u w:val="single"/>
        </w:rPr>
        <w:t>Sub-1 GHz bands</w:t>
      </w:r>
    </w:p>
    <w:p w14:paraId="2C86D60A" w14:textId="672DE778" w:rsidR="005636AF" w:rsidRDefault="005636AF" w:rsidP="005636AF">
      <w:pPr>
        <w:spacing w:before="120" w:after="0"/>
        <w:jc w:val="both"/>
        <w:rPr>
          <w:lang w:eastAsia="ko-KR"/>
        </w:rPr>
      </w:pPr>
      <w:r>
        <w:rPr>
          <w:lang w:eastAsia="ko-KR"/>
        </w:rPr>
        <w:t xml:space="preserve">There are multiple unlicensed bands below 1 GHz, mostly in the rough range of 750-930 MHz. Bands are rather narrow, </w:t>
      </w:r>
      <w:r w:rsidR="000C0513">
        <w:rPr>
          <w:lang w:eastAsia="ko-KR"/>
        </w:rPr>
        <w:t xml:space="preserve">with bandwidths </w:t>
      </w:r>
      <w:r>
        <w:rPr>
          <w:lang w:eastAsia="ko-KR"/>
        </w:rPr>
        <w:t xml:space="preserve">roughly in </w:t>
      </w:r>
      <w:r w:rsidR="000C0513">
        <w:rPr>
          <w:lang w:eastAsia="ko-KR"/>
        </w:rPr>
        <w:t xml:space="preserve">the </w:t>
      </w:r>
      <w:r>
        <w:rPr>
          <w:lang w:eastAsia="ko-KR"/>
        </w:rPr>
        <w:t xml:space="preserve">order of 5 MHz to 25 MHz. There is no globally available band. </w:t>
      </w:r>
    </w:p>
    <w:p w14:paraId="23944572" w14:textId="61378B15" w:rsidR="00AA3F51" w:rsidRPr="00C66E37" w:rsidRDefault="005636AF" w:rsidP="00EA26BD">
      <w:pPr>
        <w:spacing w:before="120" w:after="0"/>
        <w:jc w:val="both"/>
        <w:rPr>
          <w:lang w:eastAsia="ko-KR"/>
        </w:rPr>
      </w:pPr>
      <w:r>
        <w:rPr>
          <w:rFonts w:eastAsia="Malgun Gothic"/>
          <w:lang w:eastAsia="zh-CN"/>
        </w:rPr>
        <w:t>T</w:t>
      </w:r>
      <w:r w:rsidR="00EA26BD">
        <w:rPr>
          <w:rFonts w:eastAsia="Malgun Gothic"/>
          <w:lang w:val="en-US" w:eastAsia="zh-CN"/>
        </w:rPr>
        <w:t>he bandwidth available</w:t>
      </w:r>
      <w:r w:rsidRPr="00C66E37">
        <w:rPr>
          <w:rFonts w:eastAsia="Malgun Gothic"/>
          <w:lang w:val="en-US" w:eastAsia="zh-CN"/>
        </w:rPr>
        <w:t xml:space="preserve"> is relatively narrow</w:t>
      </w:r>
      <w:r w:rsidR="00EA26BD">
        <w:rPr>
          <w:rFonts w:eastAsia="Malgun Gothic"/>
          <w:lang w:val="en-US" w:eastAsia="zh-CN"/>
        </w:rPr>
        <w:t xml:space="preserve"> for example for</w:t>
      </w:r>
      <w:r>
        <w:rPr>
          <w:rFonts w:eastAsia="Malgun Gothic"/>
          <w:lang w:val="en-US" w:eastAsia="zh-CN"/>
        </w:rPr>
        <w:t xml:space="preserve"> eMBB</w:t>
      </w:r>
      <w:r w:rsidRPr="00C66E37">
        <w:rPr>
          <w:rFonts w:eastAsia="Malgun Gothic"/>
          <w:lang w:val="en-US" w:eastAsia="zh-CN"/>
        </w:rPr>
        <w:t>,</w:t>
      </w:r>
      <w:r w:rsidR="00EA26BD">
        <w:rPr>
          <w:rFonts w:eastAsia="Malgun Gothic"/>
          <w:lang w:val="en-US" w:eastAsia="zh-CN"/>
        </w:rPr>
        <w:t xml:space="preserve"> </w:t>
      </w:r>
      <w:r w:rsidR="00EA4A75">
        <w:rPr>
          <w:rFonts w:eastAsia="Malgun Gothic"/>
          <w:lang w:val="en-US" w:eastAsia="zh-CN"/>
        </w:rPr>
        <w:t>and therefore</w:t>
      </w:r>
      <w:r w:rsidR="00EA26BD">
        <w:rPr>
          <w:rFonts w:eastAsia="Malgun Gothic"/>
          <w:lang w:val="en-US" w:eastAsia="zh-CN"/>
        </w:rPr>
        <w:t xml:space="preserve"> not attractive for initial NR unlicensed</w:t>
      </w:r>
      <w:r w:rsidRPr="00C66E37">
        <w:rPr>
          <w:rFonts w:eastAsia="Malgun Gothic"/>
          <w:lang w:val="en-US" w:eastAsia="zh-CN"/>
        </w:rPr>
        <w:t xml:space="preserve"> deplo</w:t>
      </w:r>
      <w:r w:rsidR="00EA26BD">
        <w:rPr>
          <w:rFonts w:eastAsia="Malgun Gothic"/>
          <w:lang w:val="en-US" w:eastAsia="zh-CN"/>
        </w:rPr>
        <w:t>yments. Hence</w:t>
      </w:r>
      <w:r w:rsidR="000C0513">
        <w:rPr>
          <w:rFonts w:eastAsia="Malgun Gothic"/>
          <w:lang w:val="en-US" w:eastAsia="zh-CN"/>
        </w:rPr>
        <w:t>,</w:t>
      </w:r>
      <w:r w:rsidR="00EA26BD">
        <w:rPr>
          <w:rFonts w:eastAsia="Malgun Gothic"/>
          <w:lang w:val="en-US" w:eastAsia="zh-CN"/>
        </w:rPr>
        <w:t xml:space="preserve"> we see that bands below 1GHz </w:t>
      </w:r>
      <w:r w:rsidRPr="00C66E37">
        <w:rPr>
          <w:rFonts w:eastAsia="Malgun Gothic"/>
          <w:lang w:val="en-US" w:eastAsia="zh-CN"/>
        </w:rPr>
        <w:t>can be dep</w:t>
      </w:r>
      <w:r w:rsidR="00EA26BD">
        <w:rPr>
          <w:rFonts w:eastAsia="Malgun Gothic"/>
          <w:lang w:val="en-US" w:eastAsia="zh-CN"/>
        </w:rPr>
        <w:t>rioritized in the SI. T</w:t>
      </w:r>
      <w:r w:rsidRPr="00C66E37">
        <w:rPr>
          <w:rFonts w:eastAsia="Malgun Gothic"/>
          <w:lang w:val="en-US" w:eastAsia="zh-CN"/>
        </w:rPr>
        <w:t xml:space="preserve">his spectrum </w:t>
      </w:r>
      <w:r w:rsidR="00EA26BD">
        <w:rPr>
          <w:rFonts w:eastAsia="Malgun Gothic"/>
          <w:lang w:val="en-US" w:eastAsia="zh-CN"/>
        </w:rPr>
        <w:t xml:space="preserve">is considerably more attractive for IoT use cases, for which it can be </w:t>
      </w:r>
      <w:r w:rsidRPr="00C66E37">
        <w:rPr>
          <w:rFonts w:eastAsia="Malgun Gothic"/>
          <w:lang w:val="en-US" w:eastAsia="zh-CN"/>
        </w:rPr>
        <w:t>considered</w:t>
      </w:r>
      <w:r w:rsidR="00EA26BD">
        <w:rPr>
          <w:rFonts w:eastAsia="Malgun Gothic"/>
          <w:lang w:val="en-US" w:eastAsia="zh-CN"/>
        </w:rPr>
        <w:t xml:space="preserve"> later.</w:t>
      </w:r>
    </w:p>
    <w:p w14:paraId="010E3E70" w14:textId="3215CF53" w:rsidR="00EA26BD" w:rsidRPr="00EA26BD" w:rsidRDefault="00AA3F51" w:rsidP="00EA26BD">
      <w:pPr>
        <w:spacing w:before="240" w:after="120"/>
        <w:jc w:val="both"/>
        <w:rPr>
          <w:b/>
          <w:u w:val="single"/>
        </w:rPr>
      </w:pPr>
      <w:r w:rsidRPr="00EA26BD">
        <w:rPr>
          <w:b/>
          <w:u w:val="single"/>
        </w:rPr>
        <w:t>2.4 GHz</w:t>
      </w:r>
      <w:r w:rsidR="00EA26BD" w:rsidRPr="00EA26BD">
        <w:rPr>
          <w:b/>
          <w:u w:val="single"/>
        </w:rPr>
        <w:t xml:space="preserve"> band</w:t>
      </w:r>
    </w:p>
    <w:p w14:paraId="1205F703" w14:textId="796BDFD7" w:rsidR="00AA3F51" w:rsidRPr="00EA26BD" w:rsidRDefault="00FA47ED" w:rsidP="00EA26BD">
      <w:pPr>
        <w:spacing w:before="20" w:after="40" w:line="259" w:lineRule="auto"/>
        <w:jc w:val="both"/>
        <w:rPr>
          <w:rFonts w:eastAsia="Malgun Gothic"/>
          <w:lang w:val="en-US" w:eastAsia="zh-CN"/>
        </w:rPr>
      </w:pPr>
      <w:r>
        <w:rPr>
          <w:rFonts w:eastAsia="Malgun Gothic"/>
          <w:lang w:val="en-US" w:eastAsia="zh-CN"/>
        </w:rPr>
        <w:t>T</w:t>
      </w:r>
      <w:r w:rsidR="000C0513">
        <w:rPr>
          <w:rFonts w:eastAsia="Malgun Gothic"/>
          <w:lang w:val="en-US" w:eastAsia="zh-CN"/>
        </w:rPr>
        <w:t>he globally available band offers roughly 80 MHz spectrum. However, t</w:t>
      </w:r>
      <w:r w:rsidR="00D33433" w:rsidRPr="00C66E37">
        <w:rPr>
          <w:rFonts w:eastAsia="Malgun Gothic"/>
          <w:lang w:val="en-US" w:eastAsia="zh-CN"/>
        </w:rPr>
        <w:t>his band is already extensively used by other systems</w:t>
      </w:r>
      <w:r w:rsidR="000C0513">
        <w:rPr>
          <w:rFonts w:eastAsia="Malgun Gothic"/>
          <w:lang w:val="en-US" w:eastAsia="zh-CN"/>
        </w:rPr>
        <w:t xml:space="preserve"> like WiFi and Bluetooth meaning that there occurs also high congestion relatively frequently. Additionally, it </w:t>
      </w:r>
      <w:r w:rsidR="00D33433" w:rsidRPr="00C66E37">
        <w:rPr>
          <w:rFonts w:eastAsia="Malgun Gothic"/>
          <w:lang w:val="en-US" w:eastAsia="zh-CN"/>
        </w:rPr>
        <w:t>does not provide very large bandwidths.</w:t>
      </w:r>
      <w:r w:rsidR="000C0513">
        <w:rPr>
          <w:rFonts w:eastAsia="Malgun Gothic"/>
          <w:lang w:val="en-US" w:eastAsia="zh-CN"/>
        </w:rPr>
        <w:t xml:space="preserve"> Based on these aspects we do not see it </w:t>
      </w:r>
      <w:r w:rsidR="00EA4A75">
        <w:rPr>
          <w:rFonts w:eastAsia="Malgun Gothic"/>
          <w:lang w:val="en-US" w:eastAsia="zh-CN"/>
        </w:rPr>
        <w:t xml:space="preserve">as </w:t>
      </w:r>
      <w:r w:rsidR="000C0513">
        <w:rPr>
          <w:rFonts w:eastAsia="Malgun Gothic"/>
          <w:lang w:val="en-US" w:eastAsia="zh-CN"/>
        </w:rPr>
        <w:t>attractive for NR unlicensed deployments.</w:t>
      </w:r>
      <w:r w:rsidR="00D33433" w:rsidRPr="00C66E37">
        <w:rPr>
          <w:rFonts w:eastAsia="Malgun Gothic"/>
          <w:lang w:val="en-US" w:eastAsia="zh-CN"/>
        </w:rPr>
        <w:t xml:space="preserve"> In our view this band can be </w:t>
      </w:r>
      <w:r w:rsidR="0028271A">
        <w:rPr>
          <w:rFonts w:eastAsia="Malgun Gothic"/>
          <w:lang w:val="en-US" w:eastAsia="zh-CN"/>
        </w:rPr>
        <w:t>de</w:t>
      </w:r>
      <w:r w:rsidR="00D33433" w:rsidRPr="00C66E37">
        <w:rPr>
          <w:rFonts w:eastAsia="Malgun Gothic"/>
          <w:lang w:val="en-US" w:eastAsia="zh-CN"/>
        </w:rPr>
        <w:t>prioritized in the SI.</w:t>
      </w:r>
    </w:p>
    <w:p w14:paraId="3C51C9EC" w14:textId="13DE6FCF" w:rsidR="00AA3F51" w:rsidRPr="00EA26BD" w:rsidRDefault="00AA3F51" w:rsidP="00EA26BD">
      <w:pPr>
        <w:spacing w:before="240" w:after="120"/>
        <w:jc w:val="both"/>
        <w:rPr>
          <w:b/>
          <w:u w:val="single"/>
        </w:rPr>
      </w:pPr>
      <w:r w:rsidRPr="00EA26BD">
        <w:rPr>
          <w:b/>
          <w:u w:val="single"/>
        </w:rPr>
        <w:t>3.5 GHz</w:t>
      </w:r>
      <w:r w:rsidR="0012333A">
        <w:rPr>
          <w:b/>
          <w:u w:val="single"/>
        </w:rPr>
        <w:t xml:space="preserve"> band</w:t>
      </w:r>
    </w:p>
    <w:p w14:paraId="0071A9BA" w14:textId="2ADF7CF9" w:rsidR="002E0DF9" w:rsidRDefault="002E0DF9" w:rsidP="00C640FE">
      <w:pPr>
        <w:spacing w:after="0"/>
        <w:jc w:val="both"/>
      </w:pPr>
      <w:r>
        <w:t xml:space="preserve">In </w:t>
      </w:r>
      <w:r w:rsidR="00EC1688">
        <w:t xml:space="preserve">the </w:t>
      </w:r>
      <w:r>
        <w:t xml:space="preserve">US, there is </w:t>
      </w:r>
      <w:r w:rsidR="00D04875">
        <w:t xml:space="preserve">the </w:t>
      </w:r>
      <w:r>
        <w:t>CBRS band available on shared access basis.</w:t>
      </w:r>
      <w:r w:rsidR="00D04875">
        <w:t xml:space="preserve"> The access to spectrum is coordinated based on </w:t>
      </w:r>
      <w:r w:rsidR="00EA4A75">
        <w:t xml:space="preserve">a </w:t>
      </w:r>
      <w:r w:rsidR="00D04875">
        <w:t>unique three-tiered access model, with di</w:t>
      </w:r>
      <w:r w:rsidR="00A41D75">
        <w:t>fferent access priorities assigned to</w:t>
      </w:r>
      <w:r w:rsidR="00D04875">
        <w:t xml:space="preserve"> the tiers.</w:t>
      </w:r>
      <w:r w:rsidR="00A41D75">
        <w:t xml:space="preserve"> The access to the spectrum is</w:t>
      </w:r>
      <w:r w:rsidR="00733093">
        <w:t xml:space="preserve"> coordinated and</w:t>
      </w:r>
      <w:r w:rsidR="00A41D75">
        <w:t xml:space="preserve"> authorized by </w:t>
      </w:r>
      <w:r w:rsidR="00733093">
        <w:t>central control entities. These control entities protect higher priority systems from interference from lower priority systems as well as control</w:t>
      </w:r>
      <w:r w:rsidR="00A41D75">
        <w:t xml:space="preserve"> the overall interference by </w:t>
      </w:r>
      <w:r w:rsidR="00733093">
        <w:t xml:space="preserve">coordinating and </w:t>
      </w:r>
      <w:r w:rsidR="00A41D75">
        <w:t>restricting the access to spectrum.</w:t>
      </w:r>
      <w:r w:rsidR="00733093">
        <w:t xml:space="preserve"> On the lowest tier, general authorized access (GAA), spectrum access can be obtained without a license.</w:t>
      </w:r>
      <w:r w:rsidR="00A41D75">
        <w:t xml:space="preserve">  </w:t>
      </w:r>
      <w:r w:rsidR="00D04875">
        <w:t xml:space="preserve"> </w:t>
      </w:r>
      <w:r>
        <w:t xml:space="preserve"> </w:t>
      </w:r>
    </w:p>
    <w:p w14:paraId="61131CB3" w14:textId="77777777" w:rsidR="00A41D75" w:rsidRDefault="00A41D75" w:rsidP="00C640FE">
      <w:pPr>
        <w:spacing w:after="0"/>
        <w:jc w:val="both"/>
      </w:pPr>
    </w:p>
    <w:p w14:paraId="78AB0BF9" w14:textId="531C0349" w:rsidR="00AA3F51" w:rsidRPr="00C66E37" w:rsidRDefault="00D33433" w:rsidP="00C640FE">
      <w:pPr>
        <w:spacing w:after="0"/>
        <w:jc w:val="both"/>
      </w:pPr>
      <w:r w:rsidRPr="00C66E37">
        <w:rPr>
          <w:rFonts w:eastAsia="Malgun Gothic"/>
          <w:lang w:val="en-US" w:eastAsia="zh-CN"/>
        </w:rPr>
        <w:t xml:space="preserve">This band is currently available </w:t>
      </w:r>
      <w:r w:rsidR="00A41D75">
        <w:rPr>
          <w:rFonts w:eastAsia="Malgun Gothic"/>
          <w:lang w:val="en-US" w:eastAsia="zh-CN"/>
        </w:rPr>
        <w:t xml:space="preserve">only </w:t>
      </w:r>
      <w:r w:rsidRPr="00C66E37">
        <w:rPr>
          <w:rFonts w:eastAsia="Malgun Gothic"/>
          <w:lang w:val="en-US" w:eastAsia="zh-CN"/>
        </w:rPr>
        <w:t xml:space="preserve">in </w:t>
      </w:r>
      <w:r w:rsidR="00EC1688">
        <w:rPr>
          <w:rFonts w:eastAsia="Malgun Gothic"/>
          <w:lang w:val="en-US" w:eastAsia="zh-CN"/>
        </w:rPr>
        <w:t xml:space="preserve">the </w:t>
      </w:r>
      <w:r w:rsidRPr="00C66E37">
        <w:rPr>
          <w:rFonts w:eastAsia="Malgun Gothic"/>
          <w:lang w:val="en-US" w:eastAsia="zh-CN"/>
        </w:rPr>
        <w:t>US, and at least part of it may assigned for</w:t>
      </w:r>
      <w:r w:rsidR="00BA4F1F">
        <w:rPr>
          <w:rFonts w:eastAsia="Malgun Gothic"/>
          <w:lang w:val="en-US" w:eastAsia="zh-CN"/>
        </w:rPr>
        <w:t xml:space="preserve"> priority access licensee</w:t>
      </w:r>
      <w:r w:rsidRPr="00C66E37">
        <w:rPr>
          <w:rFonts w:eastAsia="Malgun Gothic"/>
          <w:lang w:val="en-US" w:eastAsia="zh-CN"/>
        </w:rPr>
        <w:t xml:space="preserve"> </w:t>
      </w:r>
      <w:r w:rsidR="00AA7A24">
        <w:rPr>
          <w:rFonts w:eastAsia="Malgun Gothic"/>
          <w:lang w:val="en-US" w:eastAsia="zh-CN"/>
        </w:rPr>
        <w:t>(</w:t>
      </w:r>
      <w:r w:rsidRPr="00C66E37">
        <w:rPr>
          <w:rFonts w:eastAsia="Malgun Gothic"/>
          <w:lang w:val="en-US" w:eastAsia="zh-CN"/>
        </w:rPr>
        <w:t>PAL</w:t>
      </w:r>
      <w:r w:rsidR="00AA7A24">
        <w:rPr>
          <w:rFonts w:eastAsia="Malgun Gothic"/>
          <w:lang w:val="en-US" w:eastAsia="zh-CN"/>
        </w:rPr>
        <w:t>)</w:t>
      </w:r>
      <w:r w:rsidRPr="00C66E37">
        <w:rPr>
          <w:rFonts w:eastAsia="Malgun Gothic"/>
          <w:lang w:val="en-US" w:eastAsia="zh-CN"/>
        </w:rPr>
        <w:t xml:space="preserve"> users making it in practice partially licensed. It is also not clear to what extent this band requires a specific unlicensed design, as e.g. the use of LTE FS2 should be possible as well.</w:t>
      </w:r>
      <w:r w:rsidR="00733093">
        <w:rPr>
          <w:rFonts w:eastAsia="Malgun Gothic"/>
          <w:lang w:val="en-US" w:eastAsia="zh-CN"/>
        </w:rPr>
        <w:t xml:space="preserve"> </w:t>
      </w:r>
      <w:r w:rsidRPr="00C66E37">
        <w:rPr>
          <w:rFonts w:eastAsia="Malgun Gothic"/>
          <w:lang w:val="en-US" w:eastAsia="zh-CN"/>
        </w:rPr>
        <w:t>Therefore</w:t>
      </w:r>
      <w:r w:rsidR="009C19F5">
        <w:rPr>
          <w:rFonts w:eastAsia="Malgun Gothic"/>
          <w:lang w:val="en-US" w:eastAsia="zh-CN"/>
        </w:rPr>
        <w:t>,</w:t>
      </w:r>
      <w:r w:rsidRPr="00C66E37">
        <w:rPr>
          <w:rFonts w:eastAsia="Malgun Gothic"/>
          <w:lang w:val="en-US" w:eastAsia="zh-CN"/>
        </w:rPr>
        <w:t xml:space="preserve"> we see that </w:t>
      </w:r>
      <w:r w:rsidR="00EA4A75">
        <w:rPr>
          <w:rFonts w:eastAsia="Malgun Gothic"/>
          <w:lang w:val="en-US" w:eastAsia="zh-CN"/>
        </w:rPr>
        <w:t xml:space="preserve">since </w:t>
      </w:r>
      <w:r w:rsidR="00AA7A24">
        <w:rPr>
          <w:rFonts w:eastAsia="Malgun Gothic"/>
          <w:lang w:val="en-US" w:eastAsia="zh-CN"/>
        </w:rPr>
        <w:t>Rel-15</w:t>
      </w:r>
      <w:r w:rsidRPr="00C66E37">
        <w:rPr>
          <w:rFonts w:eastAsia="Malgun Gothic"/>
          <w:lang w:val="en-US" w:eastAsia="zh-CN"/>
        </w:rPr>
        <w:t xml:space="preserve"> NR </w:t>
      </w:r>
      <w:r w:rsidR="00AA7A24">
        <w:rPr>
          <w:rFonts w:eastAsia="Malgun Gothic"/>
          <w:lang w:val="en-US" w:eastAsia="zh-CN"/>
        </w:rPr>
        <w:t>may</w:t>
      </w:r>
      <w:r w:rsidRPr="00C66E37">
        <w:rPr>
          <w:rFonts w:eastAsia="Malgun Gothic"/>
          <w:lang w:val="en-US" w:eastAsia="zh-CN"/>
        </w:rPr>
        <w:t xml:space="preserve"> in principle be deployed on this spectrum, this band can be deprioritized in the </w:t>
      </w:r>
      <w:r w:rsidR="009C19F5">
        <w:rPr>
          <w:rFonts w:eastAsia="Malgun Gothic"/>
          <w:lang w:val="en-US" w:eastAsia="zh-CN"/>
        </w:rPr>
        <w:t xml:space="preserve">current </w:t>
      </w:r>
      <w:r w:rsidRPr="00C66E37">
        <w:rPr>
          <w:rFonts w:eastAsia="Malgun Gothic"/>
          <w:lang w:val="en-US" w:eastAsia="zh-CN"/>
        </w:rPr>
        <w:t>SI</w:t>
      </w:r>
      <w:r w:rsidR="00AA7A24">
        <w:rPr>
          <w:rFonts w:eastAsia="Malgun Gothic"/>
          <w:lang w:val="en-US" w:eastAsia="zh-CN"/>
        </w:rPr>
        <w:t xml:space="preserve"> focusing on design for unlicensed access</w:t>
      </w:r>
      <w:r w:rsidR="009C14C6">
        <w:rPr>
          <w:rFonts w:eastAsia="Malgun Gothic"/>
          <w:lang w:val="en-US" w:eastAsia="zh-CN"/>
        </w:rPr>
        <w:t>. We see that SI should focus</w:t>
      </w:r>
      <w:r w:rsidR="009C19F5">
        <w:rPr>
          <w:rFonts w:eastAsia="Malgun Gothic"/>
          <w:lang w:val="en-US" w:eastAsia="zh-CN"/>
        </w:rPr>
        <w:t xml:space="preserve"> to a more generic NR design for unlicensed access</w:t>
      </w:r>
      <w:r w:rsidRPr="00C66E37">
        <w:rPr>
          <w:rFonts w:eastAsia="Malgun Gothic"/>
          <w:lang w:val="en-US" w:eastAsia="zh-CN"/>
        </w:rPr>
        <w:t xml:space="preserve">.    </w:t>
      </w:r>
    </w:p>
    <w:p w14:paraId="60B2A0DC" w14:textId="57740AC6" w:rsidR="00AA3F51" w:rsidRPr="00EA26BD" w:rsidRDefault="00AA3F51" w:rsidP="00EA26BD">
      <w:pPr>
        <w:spacing w:before="240" w:after="120"/>
        <w:jc w:val="both"/>
        <w:rPr>
          <w:b/>
          <w:u w:val="single"/>
        </w:rPr>
      </w:pPr>
      <w:r w:rsidRPr="00EA26BD">
        <w:rPr>
          <w:b/>
          <w:u w:val="single"/>
        </w:rPr>
        <w:t>5 GH</w:t>
      </w:r>
      <w:r w:rsidR="00EA26BD">
        <w:rPr>
          <w:b/>
          <w:u w:val="single"/>
        </w:rPr>
        <w:t>z band</w:t>
      </w:r>
      <w:r w:rsidR="0012333A">
        <w:rPr>
          <w:b/>
          <w:u w:val="single"/>
        </w:rPr>
        <w:t>s</w:t>
      </w:r>
    </w:p>
    <w:p w14:paraId="36689044" w14:textId="55200869" w:rsidR="00AA3F51" w:rsidRPr="00C66E37" w:rsidRDefault="00D33433" w:rsidP="00C640FE">
      <w:pPr>
        <w:spacing w:after="0"/>
        <w:jc w:val="both"/>
      </w:pPr>
      <w:r w:rsidRPr="00C66E37">
        <w:rPr>
          <w:rFonts w:eastAsia="Malgun Gothic"/>
          <w:lang w:val="en-US" w:eastAsia="zh-CN"/>
        </w:rPr>
        <w:t xml:space="preserve">As discussed during LTE LAA studies, various unlicensed bands are available </w:t>
      </w:r>
      <w:r w:rsidR="000B2978">
        <w:rPr>
          <w:rFonts w:eastAsia="Malgun Gothic"/>
          <w:lang w:val="en-US" w:eastAsia="zh-CN"/>
        </w:rPr>
        <w:t>in most parts of the world</w:t>
      </w:r>
      <w:r w:rsidRPr="00C66E37">
        <w:rPr>
          <w:rFonts w:eastAsia="Malgun Gothic"/>
          <w:lang w:val="en-US" w:eastAsia="zh-CN"/>
        </w:rPr>
        <w:t xml:space="preserve"> at 5 GHz region with hundreds of MHz of spectrum.</w:t>
      </w:r>
      <w:r w:rsidR="00C637DF">
        <w:rPr>
          <w:rFonts w:eastAsia="Malgun Gothic"/>
          <w:lang w:val="en-US" w:eastAsia="zh-CN"/>
        </w:rPr>
        <w:t xml:space="preserve"> These are the widest unlicensed bands globally available below 6 GHz. </w:t>
      </w:r>
      <w:r w:rsidRPr="00C66E37">
        <w:rPr>
          <w:rFonts w:eastAsia="Malgun Gothic"/>
          <w:lang w:val="en-US" w:eastAsia="zh-CN"/>
        </w:rPr>
        <w:t xml:space="preserve">This makes 5 GHz </w:t>
      </w:r>
      <w:r w:rsidR="000B2978">
        <w:rPr>
          <w:rFonts w:eastAsia="Malgun Gothic"/>
          <w:lang w:val="en-US" w:eastAsia="zh-CN"/>
        </w:rPr>
        <w:t>bands a key target for also NR unlicensed</w:t>
      </w:r>
      <w:r w:rsidRPr="00C66E37">
        <w:rPr>
          <w:rFonts w:eastAsia="Malgun Gothic"/>
          <w:lang w:val="en-US" w:eastAsia="zh-CN"/>
        </w:rPr>
        <w:t>. Much of the work done for LTE LAA can</w:t>
      </w:r>
      <w:r w:rsidR="009C14C6">
        <w:rPr>
          <w:rFonts w:eastAsia="Malgun Gothic"/>
          <w:lang w:val="en-US" w:eastAsia="zh-CN"/>
        </w:rPr>
        <w:t xml:space="preserve"> be reused (especially on</w:t>
      </w:r>
      <w:r w:rsidRPr="00C66E37">
        <w:rPr>
          <w:rFonts w:eastAsia="Malgun Gothic"/>
          <w:lang w:val="en-US" w:eastAsia="zh-CN"/>
        </w:rPr>
        <w:t xml:space="preserve"> channel access), reducing the effort required.</w:t>
      </w:r>
    </w:p>
    <w:p w14:paraId="27B83319" w14:textId="77777777" w:rsidR="00C637DF" w:rsidRDefault="00C637DF" w:rsidP="00EA26BD">
      <w:pPr>
        <w:spacing w:before="240" w:after="120"/>
        <w:jc w:val="both"/>
        <w:rPr>
          <w:b/>
          <w:u w:val="single"/>
        </w:rPr>
      </w:pPr>
    </w:p>
    <w:p w14:paraId="7D7B159E" w14:textId="519E3D56" w:rsidR="00AA3F51" w:rsidRPr="00EA26BD" w:rsidRDefault="00EA26BD" w:rsidP="00EA26BD">
      <w:pPr>
        <w:spacing w:before="240" w:after="120"/>
        <w:jc w:val="both"/>
        <w:rPr>
          <w:b/>
          <w:u w:val="single"/>
        </w:rPr>
      </w:pPr>
      <w:r w:rsidRPr="00EA26BD">
        <w:rPr>
          <w:b/>
          <w:u w:val="single"/>
        </w:rPr>
        <w:t>6 GHz band</w:t>
      </w:r>
    </w:p>
    <w:p w14:paraId="38AC5C73" w14:textId="6F505D4E" w:rsidR="00AA3F51" w:rsidRPr="00EA26BD" w:rsidRDefault="00CF2BF9" w:rsidP="00EA26BD">
      <w:pPr>
        <w:spacing w:before="20" w:after="40" w:line="259" w:lineRule="auto"/>
        <w:jc w:val="both"/>
        <w:rPr>
          <w:rFonts w:eastAsia="Malgun Gothic"/>
          <w:lang w:val="en-US" w:eastAsia="zh-CN"/>
        </w:rPr>
      </w:pPr>
      <w:r w:rsidRPr="00CF2BF9">
        <w:rPr>
          <w:rFonts w:eastAsia="Malgun Gothic"/>
          <w:lang w:val="en-US" w:eastAsia="zh-CN"/>
        </w:rPr>
        <w:t>Opening</w:t>
      </w:r>
      <w:r w:rsidR="00876C27">
        <w:rPr>
          <w:rFonts w:eastAsia="Malgun Gothic"/>
          <w:lang w:val="en-US" w:eastAsia="zh-CN"/>
        </w:rPr>
        <w:t xml:space="preserve"> s</w:t>
      </w:r>
      <w:r>
        <w:rPr>
          <w:rFonts w:eastAsia="Malgun Gothic"/>
          <w:lang w:val="en-US" w:eastAsia="zh-CN"/>
        </w:rPr>
        <w:t xml:space="preserve">ignificant bands </w:t>
      </w:r>
      <w:r w:rsidR="00876C27">
        <w:rPr>
          <w:rFonts w:eastAsia="Malgun Gothic"/>
          <w:lang w:val="en-US" w:eastAsia="zh-CN"/>
        </w:rPr>
        <w:t>on 6 GHz</w:t>
      </w:r>
      <w:r>
        <w:rPr>
          <w:rFonts w:eastAsia="Malgun Gothic"/>
          <w:lang w:val="en-US" w:eastAsia="zh-CN"/>
        </w:rPr>
        <w:t xml:space="preserve"> for unlicensed access</w:t>
      </w:r>
      <w:r w:rsidR="00876C27">
        <w:rPr>
          <w:rFonts w:eastAsia="Malgun Gothic"/>
          <w:lang w:val="en-US" w:eastAsia="zh-CN"/>
        </w:rPr>
        <w:t xml:space="preserve"> is</w:t>
      </w:r>
      <w:r w:rsidR="0012333A">
        <w:rPr>
          <w:rFonts w:eastAsia="Malgun Gothic"/>
          <w:lang w:val="en-US" w:eastAsia="zh-CN"/>
        </w:rPr>
        <w:t xml:space="preserve"> currently considered</w:t>
      </w:r>
      <w:r w:rsidR="00876C27">
        <w:rPr>
          <w:rFonts w:eastAsia="Malgun Gothic"/>
          <w:lang w:val="en-US" w:eastAsia="zh-CN"/>
        </w:rPr>
        <w:t xml:space="preserve"> in USA and EU regulatory bodies. If unlicensed access is allowed, Wi-Fi systems are expected to start to use also this spectrum. Additionally</w:t>
      </w:r>
      <w:r w:rsidR="00D33433" w:rsidRPr="00C66E37">
        <w:rPr>
          <w:rFonts w:eastAsia="Malgun Gothic"/>
          <w:lang w:val="en-US" w:eastAsia="zh-CN"/>
        </w:rPr>
        <w:t>, there are other incumbent systems especially in the US, where fixed satellite services (earth-to-space) and fixed services (links) have been deployed widely. Regulatory discussion on whether this spectrum becomes available, and if so, how to protect the incumb</w:t>
      </w:r>
      <w:r w:rsidR="00876C27">
        <w:rPr>
          <w:rFonts w:eastAsia="Malgun Gothic"/>
          <w:lang w:val="en-US" w:eastAsia="zh-CN"/>
        </w:rPr>
        <w:t xml:space="preserve">ent systems is </w:t>
      </w:r>
      <w:r w:rsidR="00D33433" w:rsidRPr="00C66E37">
        <w:rPr>
          <w:rFonts w:eastAsia="Malgun Gothic"/>
          <w:lang w:val="en-US" w:eastAsia="zh-CN"/>
        </w:rPr>
        <w:t>outside</w:t>
      </w:r>
      <w:r w:rsidR="00807C5A">
        <w:rPr>
          <w:rFonts w:eastAsia="Malgun Gothic"/>
          <w:lang w:val="en-US" w:eastAsia="zh-CN"/>
        </w:rPr>
        <w:t xml:space="preserve"> of</w:t>
      </w:r>
      <w:r w:rsidR="00D33433" w:rsidRPr="00C66E37">
        <w:rPr>
          <w:rFonts w:eastAsia="Malgun Gothic"/>
          <w:lang w:val="en-US" w:eastAsia="zh-CN"/>
        </w:rPr>
        <w:t xml:space="preserve"> the scope of this study. However, if regulatory rules permit WAS/RLAN operation at 6</w:t>
      </w:r>
      <w:r w:rsidR="00C637DF">
        <w:rPr>
          <w:rFonts w:eastAsia="Malgun Gothic"/>
          <w:lang w:val="en-US" w:eastAsia="zh-CN"/>
        </w:rPr>
        <w:t xml:space="preserve"> </w:t>
      </w:r>
      <w:r w:rsidR="00D33433" w:rsidRPr="00C66E37">
        <w:rPr>
          <w:rFonts w:eastAsia="Malgun Gothic"/>
          <w:lang w:val="en-US" w:eastAsia="zh-CN"/>
        </w:rPr>
        <w:t>GHz</w:t>
      </w:r>
      <w:r w:rsidR="00C637DF">
        <w:rPr>
          <w:rFonts w:eastAsia="Malgun Gothic"/>
          <w:lang w:val="en-US" w:eastAsia="zh-CN"/>
        </w:rPr>
        <w:t xml:space="preserve"> band</w:t>
      </w:r>
      <w:r w:rsidR="00D33433" w:rsidRPr="00C66E37">
        <w:rPr>
          <w:rFonts w:eastAsia="Malgun Gothic"/>
          <w:lang w:val="en-US" w:eastAsia="zh-CN"/>
        </w:rPr>
        <w:t xml:space="preserve">, this band is </w:t>
      </w:r>
      <w:r w:rsidR="00C637DF">
        <w:rPr>
          <w:rFonts w:eastAsia="Malgun Gothic"/>
          <w:lang w:val="en-US" w:eastAsia="zh-CN"/>
        </w:rPr>
        <w:t>an attractive candidate for NR unlicensed</w:t>
      </w:r>
      <w:r w:rsidR="00D33433" w:rsidRPr="00C66E37">
        <w:rPr>
          <w:rFonts w:eastAsia="Malgun Gothic"/>
          <w:lang w:val="en-US" w:eastAsia="zh-CN"/>
        </w:rPr>
        <w:t xml:space="preserve"> operation as well.</w:t>
      </w:r>
    </w:p>
    <w:p w14:paraId="4F595D1B" w14:textId="1BD083AB" w:rsidR="00AA3F51" w:rsidRPr="00EA26BD" w:rsidRDefault="00AA3F51" w:rsidP="00EA26BD">
      <w:pPr>
        <w:spacing w:before="240" w:after="120"/>
        <w:jc w:val="both"/>
        <w:rPr>
          <w:b/>
          <w:u w:val="single"/>
        </w:rPr>
      </w:pPr>
      <w:r w:rsidRPr="00EA26BD">
        <w:rPr>
          <w:b/>
          <w:u w:val="single"/>
        </w:rPr>
        <w:t>37 GHz</w:t>
      </w:r>
      <w:r w:rsidR="00FC6109">
        <w:rPr>
          <w:b/>
          <w:u w:val="single"/>
        </w:rPr>
        <w:t xml:space="preserve"> band</w:t>
      </w:r>
    </w:p>
    <w:p w14:paraId="52FE2BC6" w14:textId="78D2BBD0" w:rsidR="00CF2BF9" w:rsidRDefault="00CF2BF9" w:rsidP="004E42AE">
      <w:pPr>
        <w:spacing w:before="120" w:after="0"/>
        <w:jc w:val="both"/>
        <w:rPr>
          <w:lang w:eastAsia="ko-KR"/>
        </w:rPr>
      </w:pPr>
      <w:r>
        <w:rPr>
          <w:lang w:eastAsia="ko-KR"/>
        </w:rPr>
        <w:t xml:space="preserve">It is expected that a significant </w:t>
      </w:r>
      <w:r w:rsidR="00807C5A">
        <w:rPr>
          <w:lang w:eastAsia="ko-KR"/>
        </w:rPr>
        <w:t xml:space="preserve">amount of spectrum at 37 GHz </w:t>
      </w:r>
      <w:r>
        <w:rPr>
          <w:lang w:eastAsia="ko-KR"/>
        </w:rPr>
        <w:t>will be opened in the US. The</w:t>
      </w:r>
      <w:r w:rsidR="004E42AE">
        <w:rPr>
          <w:lang w:eastAsia="ko-KR"/>
        </w:rPr>
        <w:t xml:space="preserve"> regulations are currently under development but they may involve </w:t>
      </w:r>
      <w:r w:rsidR="00807C5A">
        <w:rPr>
          <w:lang w:eastAsia="ko-KR"/>
        </w:rPr>
        <w:t xml:space="preserve">spectrum </w:t>
      </w:r>
      <w:r w:rsidR="004E42AE">
        <w:rPr>
          <w:lang w:eastAsia="ko-KR"/>
        </w:rPr>
        <w:t xml:space="preserve">sharing, at least between </w:t>
      </w:r>
      <w:bookmarkStart w:id="0" w:name="_GoBack"/>
      <w:bookmarkEnd w:id="0"/>
      <w:r w:rsidR="004E42AE">
        <w:rPr>
          <w:lang w:eastAsia="ko-KR"/>
        </w:rPr>
        <w:t>commercial systems and federal systems.</w:t>
      </w:r>
    </w:p>
    <w:p w14:paraId="1657E6F8" w14:textId="0FC779CF" w:rsidR="00AA3F51" w:rsidRPr="00C66E37" w:rsidRDefault="004E42AE" w:rsidP="004E42AE">
      <w:pPr>
        <w:spacing w:before="120" w:after="0"/>
        <w:jc w:val="both"/>
      </w:pPr>
      <w:r>
        <w:rPr>
          <w:rFonts w:eastAsia="Malgun Gothic"/>
          <w:lang w:eastAsia="zh-CN"/>
        </w:rPr>
        <w:t>Th</w:t>
      </w:r>
      <w:r w:rsidR="00807C5A">
        <w:rPr>
          <w:rFonts w:eastAsia="Malgun Gothic"/>
          <w:lang w:eastAsia="zh-CN"/>
        </w:rPr>
        <w:t>is</w:t>
      </w:r>
      <w:r w:rsidR="00C66E37" w:rsidRPr="00C66E37">
        <w:rPr>
          <w:rFonts w:eastAsia="Malgun Gothic"/>
          <w:lang w:val="en-US" w:eastAsia="zh-CN"/>
        </w:rPr>
        <w:t xml:space="preserve"> band is </w:t>
      </w:r>
      <w:r>
        <w:rPr>
          <w:rFonts w:eastAsia="Malgun Gothic"/>
          <w:lang w:val="en-US" w:eastAsia="zh-CN"/>
        </w:rPr>
        <w:t xml:space="preserve">available only regionally but </w:t>
      </w:r>
      <w:r w:rsidR="00C66E37" w:rsidRPr="00C66E37">
        <w:rPr>
          <w:rFonts w:eastAsia="Malgun Gothic"/>
          <w:lang w:val="en-US" w:eastAsia="zh-CN"/>
        </w:rPr>
        <w:t xml:space="preserve">not </w:t>
      </w:r>
      <w:r>
        <w:rPr>
          <w:rFonts w:eastAsia="Malgun Gothic"/>
          <w:lang w:val="en-US" w:eastAsia="zh-CN"/>
        </w:rPr>
        <w:t>globally.</w:t>
      </w:r>
      <w:r w:rsidR="00C66E37" w:rsidRPr="00C66E37">
        <w:rPr>
          <w:rFonts w:eastAsia="Malgun Gothic"/>
          <w:lang w:val="en-US" w:eastAsia="zh-CN"/>
        </w:rPr>
        <w:t xml:space="preserve"> </w:t>
      </w:r>
      <w:r>
        <w:rPr>
          <w:rFonts w:eastAsia="Malgun Gothic"/>
          <w:lang w:val="en-US" w:eastAsia="zh-CN"/>
        </w:rPr>
        <w:t>Further</w:t>
      </w:r>
      <w:r w:rsidR="00807C5A">
        <w:rPr>
          <w:rFonts w:eastAsia="Malgun Gothic"/>
          <w:lang w:val="en-US" w:eastAsia="zh-CN"/>
        </w:rPr>
        <w:t xml:space="preserve">more, </w:t>
      </w:r>
      <w:r w:rsidR="00C66E37" w:rsidRPr="00C66E37">
        <w:rPr>
          <w:rFonts w:eastAsia="Malgun Gothic"/>
          <w:lang w:val="en-US" w:eastAsia="zh-CN"/>
        </w:rPr>
        <w:t>the regulations are still under development</w:t>
      </w:r>
      <w:r>
        <w:rPr>
          <w:rFonts w:eastAsia="Malgun Gothic"/>
          <w:lang w:val="en-US" w:eastAsia="zh-CN"/>
        </w:rPr>
        <w:t xml:space="preserve"> and may involve sharing which may differentiate the access mechanism from the general unlicensed channel access framework. Hence,</w:t>
      </w:r>
      <w:r w:rsidR="00C66E37" w:rsidRPr="00C66E37">
        <w:rPr>
          <w:rFonts w:eastAsia="Malgun Gothic"/>
          <w:lang w:val="en-US" w:eastAsia="zh-CN"/>
        </w:rPr>
        <w:t xml:space="preserve"> we do not see this band as a priority candidate </w:t>
      </w:r>
      <w:r>
        <w:rPr>
          <w:rFonts w:eastAsia="Malgun Gothic"/>
          <w:lang w:val="en-US" w:eastAsia="zh-CN"/>
        </w:rPr>
        <w:t xml:space="preserve">for NR unlicensed operation </w:t>
      </w:r>
      <w:r w:rsidR="00C66E37" w:rsidRPr="00C66E37">
        <w:rPr>
          <w:rFonts w:eastAsia="Malgun Gothic"/>
          <w:lang w:val="en-US" w:eastAsia="zh-CN"/>
        </w:rPr>
        <w:t>in the first phase.</w:t>
      </w:r>
    </w:p>
    <w:p w14:paraId="6F5DB4FF" w14:textId="6F408B94" w:rsidR="00AA3F51" w:rsidRPr="00EA26BD" w:rsidRDefault="00AA3F51" w:rsidP="00EA26BD">
      <w:pPr>
        <w:spacing w:before="240" w:after="120"/>
        <w:jc w:val="both"/>
        <w:rPr>
          <w:b/>
          <w:u w:val="single"/>
        </w:rPr>
      </w:pPr>
      <w:r w:rsidRPr="00EA26BD">
        <w:rPr>
          <w:b/>
          <w:u w:val="single"/>
        </w:rPr>
        <w:t xml:space="preserve">60 GHz </w:t>
      </w:r>
      <w:r w:rsidR="00FC6109">
        <w:rPr>
          <w:b/>
          <w:u w:val="single"/>
        </w:rPr>
        <w:t>band</w:t>
      </w:r>
    </w:p>
    <w:p w14:paraId="30CA2C8F" w14:textId="77777777" w:rsidR="002555D3" w:rsidRDefault="007F5491" w:rsidP="000C2F3C">
      <w:pPr>
        <w:spacing w:after="120"/>
        <w:jc w:val="both"/>
        <w:rPr>
          <w:rFonts w:eastAsia="Malgun Gothic"/>
          <w:lang w:val="en-US" w:eastAsia="zh-CN"/>
        </w:rPr>
      </w:pPr>
      <w:r w:rsidRPr="007F5491">
        <w:rPr>
          <w:lang w:val="en-US"/>
        </w:rPr>
        <w:t xml:space="preserve">On 60 GHz, there is a huge amount of spectrum in </w:t>
      </w:r>
      <w:r w:rsidR="002555D3">
        <w:rPr>
          <w:lang w:val="en-US"/>
        </w:rPr>
        <w:t xml:space="preserve">the </w:t>
      </w:r>
      <w:r w:rsidRPr="007F5491">
        <w:rPr>
          <w:lang w:val="en-US"/>
        </w:rPr>
        <w:t xml:space="preserve">order of multiple GHz globally available for unlicensed operation. This means that </w:t>
      </w:r>
      <w:r w:rsidR="00C66E37" w:rsidRPr="007F5491">
        <w:rPr>
          <w:rFonts w:eastAsia="Malgun Gothic"/>
          <w:lang w:val="en-US" w:eastAsia="zh-CN"/>
        </w:rPr>
        <w:t>60 GHz spe</w:t>
      </w:r>
      <w:r w:rsidRPr="007F5491">
        <w:rPr>
          <w:rFonts w:eastAsia="Malgun Gothic"/>
          <w:lang w:val="en-US" w:eastAsia="zh-CN"/>
        </w:rPr>
        <w:t>ctrum</w:t>
      </w:r>
      <w:r w:rsidR="00C66E37" w:rsidRPr="007F5491">
        <w:rPr>
          <w:rFonts w:eastAsia="Malgun Gothic"/>
          <w:lang w:val="en-US" w:eastAsia="zh-CN"/>
        </w:rPr>
        <w:t xml:space="preserve"> </w:t>
      </w:r>
      <w:r>
        <w:rPr>
          <w:rFonts w:eastAsia="Malgun Gothic"/>
          <w:lang w:val="en-US" w:eastAsia="zh-CN"/>
        </w:rPr>
        <w:t xml:space="preserve">has </w:t>
      </w:r>
      <w:r w:rsidR="00C66E37" w:rsidRPr="007F5491">
        <w:rPr>
          <w:rFonts w:eastAsia="Malgun Gothic"/>
          <w:lang w:val="en-US" w:eastAsia="zh-CN"/>
        </w:rPr>
        <w:t>significant potential</w:t>
      </w:r>
      <w:r w:rsidR="002555D3">
        <w:rPr>
          <w:rFonts w:eastAsia="Malgun Gothic"/>
          <w:lang w:val="en-US" w:eastAsia="zh-CN"/>
        </w:rPr>
        <w:t xml:space="preserve"> for </w:t>
      </w:r>
      <w:r w:rsidRPr="007F5491">
        <w:rPr>
          <w:rFonts w:eastAsia="Malgun Gothic"/>
          <w:lang w:val="en-US" w:eastAsia="zh-CN"/>
        </w:rPr>
        <w:t>NR unlicensed operations</w:t>
      </w:r>
      <w:r w:rsidR="00C66E37" w:rsidRPr="007F5491">
        <w:rPr>
          <w:rFonts w:eastAsia="Malgun Gothic"/>
          <w:lang w:val="en-US" w:eastAsia="zh-CN"/>
        </w:rPr>
        <w:t xml:space="preserve">. </w:t>
      </w:r>
    </w:p>
    <w:p w14:paraId="5AB73CF1" w14:textId="2A4D9A0F" w:rsidR="0025066C" w:rsidRDefault="00C66E37" w:rsidP="00E33C47">
      <w:pPr>
        <w:spacing w:after="120"/>
        <w:jc w:val="both"/>
        <w:rPr>
          <w:rFonts w:eastAsia="Malgun Gothic"/>
          <w:lang w:val="en-US" w:eastAsia="zh-CN"/>
        </w:rPr>
      </w:pPr>
      <w:r w:rsidRPr="007F5491">
        <w:rPr>
          <w:rFonts w:eastAsia="Malgun Gothic"/>
          <w:lang w:val="en-US" w:eastAsia="zh-CN"/>
        </w:rPr>
        <w:t xml:space="preserve">From practical point of view, work related to this band will need to be synchronized with </w:t>
      </w:r>
      <w:r w:rsidR="002555D3">
        <w:rPr>
          <w:rFonts w:eastAsia="Malgun Gothic"/>
          <w:lang w:val="en-US" w:eastAsia="zh-CN"/>
        </w:rPr>
        <w:t xml:space="preserve">the generic </w:t>
      </w:r>
      <w:r w:rsidRPr="007F5491">
        <w:rPr>
          <w:rFonts w:eastAsia="Malgun Gothic"/>
          <w:lang w:val="en-US" w:eastAsia="zh-CN"/>
        </w:rPr>
        <w:t>NR development for &gt;52.6 GHz.</w:t>
      </w:r>
      <w:r w:rsidR="002555D3">
        <w:rPr>
          <w:rFonts w:eastAsia="Malgun Gothic"/>
          <w:lang w:val="en-US" w:eastAsia="zh-CN"/>
        </w:rPr>
        <w:t xml:space="preserve"> Additionally, channel access studies related to the high</w:t>
      </w:r>
      <w:r w:rsidR="00EC1688">
        <w:rPr>
          <w:rFonts w:eastAsia="Malgun Gothic"/>
          <w:lang w:val="en-US" w:eastAsia="zh-CN"/>
        </w:rPr>
        <w:t>-gain</w:t>
      </w:r>
      <w:r w:rsidR="002555D3">
        <w:rPr>
          <w:rFonts w:eastAsia="Malgun Gothic"/>
          <w:lang w:val="en-US" w:eastAsia="zh-CN"/>
        </w:rPr>
        <w:t xml:space="preserve"> beamforming </w:t>
      </w:r>
      <w:r w:rsidR="00EC1688">
        <w:rPr>
          <w:rFonts w:eastAsia="Malgun Gothic"/>
          <w:lang w:val="en-US" w:eastAsia="zh-CN"/>
        </w:rPr>
        <w:t xml:space="preserve">operation </w:t>
      </w:r>
      <w:r w:rsidR="002555D3">
        <w:rPr>
          <w:rFonts w:eastAsia="Malgun Gothic"/>
          <w:lang w:val="en-US" w:eastAsia="zh-CN"/>
        </w:rPr>
        <w:t>may be needed for this band. These studies can be carried out more efficiently after a generic NR unlicensed framework is designed. These aspects</w:t>
      </w:r>
      <w:r w:rsidRPr="007F5491">
        <w:rPr>
          <w:rFonts w:eastAsia="Malgun Gothic"/>
          <w:lang w:val="en-US" w:eastAsia="zh-CN"/>
        </w:rPr>
        <w:t xml:space="preserve"> may require phasing this part of th</w:t>
      </w:r>
      <w:r w:rsidR="000C2F3C">
        <w:rPr>
          <w:rFonts w:eastAsia="Malgun Gothic"/>
          <w:lang w:val="en-US" w:eastAsia="zh-CN"/>
        </w:rPr>
        <w:t>e work some time later than the work</w:t>
      </w:r>
      <w:r w:rsidRPr="007F5491">
        <w:rPr>
          <w:rFonts w:eastAsia="Malgun Gothic"/>
          <w:lang w:val="en-US" w:eastAsia="zh-CN"/>
        </w:rPr>
        <w:t xml:space="preserve"> related to non-mmWave bands.</w:t>
      </w:r>
    </w:p>
    <w:p w14:paraId="788269D7" w14:textId="2B50DA39" w:rsidR="00913187" w:rsidRDefault="00E33C47" w:rsidP="00E33C47">
      <w:pPr>
        <w:spacing w:after="240"/>
        <w:jc w:val="both"/>
        <w:rPr>
          <w:rFonts w:eastAsia="Malgun Gothic"/>
          <w:lang w:val="en-US" w:eastAsia="zh-CN"/>
        </w:rPr>
      </w:pPr>
      <w:r>
        <w:rPr>
          <w:rFonts w:eastAsia="Malgun Gothic"/>
          <w:lang w:val="en-US" w:eastAsia="zh-CN"/>
        </w:rPr>
        <w:t xml:space="preserve">The previous discussion on the candidate bands for NR unlicensed is summarized in Table 1. Based on the discussion, we make the following proposals:  </w:t>
      </w:r>
    </w:p>
    <w:p w14:paraId="648012FA" w14:textId="5A6B5C5E" w:rsidR="00913187" w:rsidRPr="002127B2" w:rsidRDefault="000C2F3C" w:rsidP="00E33C47">
      <w:pPr>
        <w:spacing w:after="240"/>
        <w:jc w:val="both"/>
        <w:rPr>
          <w:rFonts w:eastAsia="Malgun Gothic"/>
          <w:b/>
          <w:lang w:val="en-US" w:eastAsia="zh-CN"/>
        </w:rPr>
      </w:pPr>
      <w:r w:rsidRPr="002127B2">
        <w:rPr>
          <w:rFonts w:eastAsia="Malgun Gothic"/>
          <w:b/>
          <w:lang w:val="en-US" w:eastAsia="zh-CN"/>
        </w:rPr>
        <w:t xml:space="preserve">Proposal #1: </w:t>
      </w:r>
      <w:r w:rsidRPr="002127B2">
        <w:rPr>
          <w:rFonts w:eastAsia="Malgun Gothic"/>
          <w:b/>
          <w:i/>
          <w:lang w:val="en-US" w:eastAsia="zh-CN"/>
        </w:rPr>
        <w:t xml:space="preserve">5 GHz bands together with </w:t>
      </w:r>
      <w:r w:rsidR="002127B2">
        <w:rPr>
          <w:rFonts w:eastAsia="Malgun Gothic"/>
          <w:b/>
          <w:i/>
          <w:lang w:val="en-US" w:eastAsia="zh-CN"/>
        </w:rPr>
        <w:t xml:space="preserve">potential </w:t>
      </w:r>
      <w:r w:rsidRPr="002127B2">
        <w:rPr>
          <w:rFonts w:eastAsia="Malgun Gothic"/>
          <w:b/>
          <w:i/>
          <w:lang w:val="en-US" w:eastAsia="zh-CN"/>
        </w:rPr>
        <w:t>6 GHz bands are prioritized in the NR unlicensed studie</w:t>
      </w:r>
      <w:r w:rsidRPr="002127B2">
        <w:rPr>
          <w:rFonts w:eastAsia="Malgun Gothic"/>
          <w:b/>
          <w:lang w:val="en-US" w:eastAsia="zh-CN"/>
        </w:rPr>
        <w:t>s.</w:t>
      </w:r>
    </w:p>
    <w:p w14:paraId="09897183" w14:textId="60F9FAE7" w:rsidR="00913187" w:rsidRPr="00E33C47" w:rsidRDefault="00913187" w:rsidP="00E33C47">
      <w:pPr>
        <w:spacing w:after="240"/>
        <w:jc w:val="both"/>
        <w:rPr>
          <w:rFonts w:eastAsia="Malgun Gothic"/>
          <w:b/>
          <w:i/>
          <w:lang w:val="en-US" w:eastAsia="zh-CN"/>
        </w:rPr>
      </w:pPr>
      <w:r w:rsidRPr="002127B2">
        <w:rPr>
          <w:rFonts w:eastAsia="Malgun Gothic"/>
          <w:b/>
          <w:lang w:val="en-US" w:eastAsia="zh-CN"/>
        </w:rPr>
        <w:t>Proposal #</w:t>
      </w:r>
      <w:r w:rsidR="00E33C47">
        <w:rPr>
          <w:rFonts w:eastAsia="Malgun Gothic"/>
          <w:b/>
          <w:lang w:val="en-US" w:eastAsia="zh-CN"/>
        </w:rPr>
        <w:t>2</w:t>
      </w:r>
      <w:r w:rsidRPr="002127B2">
        <w:rPr>
          <w:rFonts w:eastAsia="Malgun Gothic"/>
          <w:b/>
          <w:lang w:val="en-US" w:eastAsia="zh-CN"/>
        </w:rPr>
        <w:t xml:space="preserve">: </w:t>
      </w:r>
      <w:r w:rsidR="002127B2" w:rsidRPr="00E33C47">
        <w:rPr>
          <w:rFonts w:eastAsia="Malgun Gothic"/>
          <w:b/>
          <w:i/>
          <w:lang w:val="en-US" w:eastAsia="zh-CN"/>
        </w:rPr>
        <w:t xml:space="preserve">60 GHz band having significant potential is considered </w:t>
      </w:r>
      <w:r w:rsidR="00E82A28">
        <w:rPr>
          <w:rFonts w:eastAsia="Malgun Gothic"/>
          <w:b/>
          <w:i/>
          <w:lang w:val="en-US" w:eastAsia="zh-CN"/>
        </w:rPr>
        <w:t xml:space="preserve">on second priority </w:t>
      </w:r>
      <w:r w:rsidR="002127B2" w:rsidRPr="00E33C47">
        <w:rPr>
          <w:rFonts w:eastAsia="Malgun Gothic"/>
          <w:b/>
          <w:i/>
          <w:lang w:val="en-US" w:eastAsia="zh-CN"/>
        </w:rPr>
        <w:t xml:space="preserve">after completing generic NR support for bands above 52.6 GHz. </w:t>
      </w:r>
    </w:p>
    <w:tbl>
      <w:tblPr>
        <w:tblpPr w:leftFromText="141" w:rightFromText="141" w:vertAnchor="page" w:horzAnchor="margin" w:tblpY="10357"/>
        <w:tblW w:w="5000" w:type="pct"/>
        <w:tblCellMar>
          <w:left w:w="0" w:type="dxa"/>
          <w:right w:w="0" w:type="dxa"/>
        </w:tblCellMar>
        <w:tblLook w:val="0420" w:firstRow="1" w:lastRow="0" w:firstColumn="0" w:lastColumn="0" w:noHBand="0" w:noVBand="1"/>
      </w:tblPr>
      <w:tblGrid>
        <w:gridCol w:w="1238"/>
        <w:gridCol w:w="1391"/>
        <w:gridCol w:w="1402"/>
        <w:gridCol w:w="1395"/>
        <w:gridCol w:w="1397"/>
        <w:gridCol w:w="1397"/>
        <w:gridCol w:w="1399"/>
      </w:tblGrid>
      <w:tr w:rsidR="00C206C9" w:rsidRPr="0001796D" w14:paraId="70B85B49" w14:textId="77777777" w:rsidTr="00C206C9">
        <w:trPr>
          <w:trHeight w:val="715"/>
        </w:trPr>
        <w:tc>
          <w:tcPr>
            <w:tcW w:w="644" w:type="pct"/>
            <w:tcBorders>
              <w:top w:val="single" w:sz="8" w:space="0" w:color="98A2AE"/>
              <w:left w:val="single" w:sz="8" w:space="0" w:color="98A2AE"/>
              <w:bottom w:val="single" w:sz="18" w:space="0" w:color="98A2AE"/>
              <w:right w:val="single" w:sz="8" w:space="0" w:color="98A2AE"/>
            </w:tcBorders>
            <w:shd w:val="clear" w:color="auto" w:fill="D9D9D9" w:themeFill="background1" w:themeFillShade="D9"/>
            <w:tcMar>
              <w:top w:w="28" w:type="dxa"/>
              <w:left w:w="57" w:type="dxa"/>
              <w:bottom w:w="28" w:type="dxa"/>
              <w:right w:w="28" w:type="dxa"/>
            </w:tcMar>
            <w:vAlign w:val="center"/>
            <w:hideMark/>
          </w:tcPr>
          <w:p w14:paraId="32F71C72" w14:textId="77777777" w:rsidR="00C206C9" w:rsidRPr="000C2F3C" w:rsidRDefault="00C206C9" w:rsidP="00C206C9">
            <w:pPr>
              <w:spacing w:after="0"/>
              <w:rPr>
                <w:rFonts w:eastAsia="Malgun Gothic"/>
                <w:lang w:val="fi-FI" w:eastAsia="zh-CN"/>
              </w:rPr>
            </w:pPr>
            <w:r w:rsidRPr="000C2F3C">
              <w:rPr>
                <w:rFonts w:eastAsia="Malgun Gothic"/>
                <w:b/>
                <w:bCs/>
                <w:lang w:eastAsia="zh-CN"/>
              </w:rPr>
              <w:t>Band vs</w:t>
            </w:r>
            <w:r>
              <w:rPr>
                <w:rFonts w:eastAsia="Malgun Gothic"/>
                <w:b/>
                <w:bCs/>
                <w:lang w:val="en-US" w:eastAsia="zh-CN"/>
              </w:rPr>
              <w:t xml:space="preserve"> </w:t>
            </w:r>
            <w:r w:rsidRPr="000C2F3C">
              <w:rPr>
                <w:rFonts w:eastAsia="Malgun Gothic"/>
                <w:b/>
                <w:bCs/>
                <w:lang w:eastAsia="zh-CN"/>
              </w:rPr>
              <w:t>KPI</w:t>
            </w:r>
          </w:p>
        </w:tc>
        <w:tc>
          <w:tcPr>
            <w:tcW w:w="723" w:type="pct"/>
            <w:tcBorders>
              <w:top w:val="single" w:sz="8" w:space="0" w:color="98A2AE"/>
              <w:left w:val="single" w:sz="8" w:space="0" w:color="98A2AE"/>
              <w:bottom w:val="single" w:sz="18" w:space="0" w:color="98A2AE"/>
              <w:right w:val="single" w:sz="8" w:space="0" w:color="98A2AE"/>
            </w:tcBorders>
            <w:shd w:val="clear" w:color="auto" w:fill="D9D9D9" w:themeFill="background1" w:themeFillShade="D9"/>
            <w:tcMar>
              <w:top w:w="28" w:type="dxa"/>
              <w:left w:w="57" w:type="dxa"/>
              <w:bottom w:w="28" w:type="dxa"/>
              <w:right w:w="28" w:type="dxa"/>
            </w:tcMar>
            <w:vAlign w:val="center"/>
            <w:hideMark/>
          </w:tcPr>
          <w:p w14:paraId="4D0B08AC" w14:textId="77777777" w:rsidR="00C206C9" w:rsidRPr="000C2F3C" w:rsidRDefault="00C206C9" w:rsidP="00C206C9">
            <w:pPr>
              <w:spacing w:after="0"/>
              <w:jc w:val="center"/>
              <w:rPr>
                <w:rFonts w:eastAsia="Malgun Gothic"/>
                <w:lang w:val="fi-FI" w:eastAsia="zh-CN"/>
              </w:rPr>
            </w:pPr>
            <w:r w:rsidRPr="000C2F3C">
              <w:rPr>
                <w:rFonts w:eastAsia="Malgun Gothic"/>
                <w:b/>
                <w:bCs/>
                <w:lang w:eastAsia="zh-CN"/>
              </w:rPr>
              <w:t>Sub-1 GHz</w:t>
            </w:r>
          </w:p>
        </w:tc>
        <w:tc>
          <w:tcPr>
            <w:tcW w:w="729" w:type="pct"/>
            <w:tcBorders>
              <w:top w:val="single" w:sz="8" w:space="0" w:color="98A2AE"/>
              <w:left w:val="single" w:sz="8" w:space="0" w:color="98A2AE"/>
              <w:bottom w:val="single" w:sz="18" w:space="0" w:color="98A2AE"/>
              <w:right w:val="single" w:sz="8" w:space="0" w:color="98A2AE"/>
            </w:tcBorders>
            <w:shd w:val="clear" w:color="auto" w:fill="D9D9D9" w:themeFill="background1" w:themeFillShade="D9"/>
            <w:tcMar>
              <w:top w:w="28" w:type="dxa"/>
              <w:left w:w="57" w:type="dxa"/>
              <w:bottom w:w="28" w:type="dxa"/>
              <w:right w:w="28" w:type="dxa"/>
            </w:tcMar>
            <w:vAlign w:val="center"/>
            <w:hideMark/>
          </w:tcPr>
          <w:p w14:paraId="3B587E5C" w14:textId="77777777" w:rsidR="00C206C9" w:rsidRPr="000C2F3C" w:rsidRDefault="00C206C9" w:rsidP="00C206C9">
            <w:pPr>
              <w:spacing w:after="0"/>
              <w:jc w:val="center"/>
              <w:rPr>
                <w:rFonts w:eastAsia="Malgun Gothic"/>
                <w:lang w:val="fi-FI" w:eastAsia="zh-CN"/>
              </w:rPr>
            </w:pPr>
            <w:r w:rsidRPr="000C2F3C">
              <w:rPr>
                <w:rFonts w:eastAsia="Malgun Gothic"/>
                <w:b/>
                <w:bCs/>
                <w:lang w:eastAsia="zh-CN"/>
              </w:rPr>
              <w:t>2.4 GHz</w:t>
            </w:r>
          </w:p>
        </w:tc>
        <w:tc>
          <w:tcPr>
            <w:tcW w:w="725" w:type="pct"/>
            <w:tcBorders>
              <w:top w:val="single" w:sz="8" w:space="0" w:color="98A2AE"/>
              <w:left w:val="single" w:sz="8" w:space="0" w:color="98A2AE"/>
              <w:bottom w:val="single" w:sz="18" w:space="0" w:color="98A2AE"/>
              <w:right w:val="single" w:sz="8" w:space="0" w:color="98A2AE"/>
            </w:tcBorders>
            <w:shd w:val="clear" w:color="auto" w:fill="D9D9D9" w:themeFill="background1" w:themeFillShade="D9"/>
            <w:tcMar>
              <w:top w:w="28" w:type="dxa"/>
              <w:left w:w="57" w:type="dxa"/>
              <w:bottom w:w="28" w:type="dxa"/>
              <w:right w:w="28" w:type="dxa"/>
            </w:tcMar>
            <w:vAlign w:val="center"/>
          </w:tcPr>
          <w:p w14:paraId="4CF45B06" w14:textId="77777777" w:rsidR="00C206C9" w:rsidRDefault="00C206C9" w:rsidP="00C206C9">
            <w:pPr>
              <w:spacing w:after="0"/>
              <w:jc w:val="center"/>
              <w:rPr>
                <w:rFonts w:eastAsia="Malgun Gothic"/>
                <w:b/>
                <w:bCs/>
                <w:lang w:eastAsia="zh-CN"/>
              </w:rPr>
            </w:pPr>
            <w:r>
              <w:rPr>
                <w:rFonts w:eastAsia="Malgun Gothic"/>
                <w:b/>
                <w:bCs/>
                <w:lang w:eastAsia="zh-CN"/>
              </w:rPr>
              <w:t>3.5</w:t>
            </w:r>
            <w:r w:rsidRPr="000C2F3C">
              <w:rPr>
                <w:rFonts w:eastAsia="Malgun Gothic"/>
                <w:b/>
                <w:bCs/>
                <w:lang w:eastAsia="zh-CN"/>
              </w:rPr>
              <w:t xml:space="preserve"> GHz</w:t>
            </w:r>
          </w:p>
        </w:tc>
        <w:tc>
          <w:tcPr>
            <w:tcW w:w="726" w:type="pct"/>
            <w:tcBorders>
              <w:top w:val="single" w:sz="8" w:space="0" w:color="98A2AE"/>
              <w:left w:val="single" w:sz="8" w:space="0" w:color="98A2AE"/>
              <w:bottom w:val="single" w:sz="18" w:space="0" w:color="98A2AE"/>
              <w:right w:val="single" w:sz="8" w:space="0" w:color="98A2AE"/>
            </w:tcBorders>
            <w:shd w:val="clear" w:color="auto" w:fill="D9D9D9" w:themeFill="background1" w:themeFillShade="D9"/>
            <w:tcMar>
              <w:top w:w="28" w:type="dxa"/>
              <w:left w:w="57" w:type="dxa"/>
              <w:bottom w:w="28" w:type="dxa"/>
              <w:right w:w="28" w:type="dxa"/>
            </w:tcMar>
            <w:vAlign w:val="center"/>
            <w:hideMark/>
          </w:tcPr>
          <w:p w14:paraId="5554D995" w14:textId="77777777" w:rsidR="00C206C9" w:rsidRPr="0001796D" w:rsidRDefault="00C206C9" w:rsidP="00C206C9">
            <w:pPr>
              <w:spacing w:after="0"/>
              <w:jc w:val="center"/>
              <w:rPr>
                <w:rFonts w:eastAsia="Malgun Gothic"/>
                <w:lang w:val="en-US" w:eastAsia="zh-CN"/>
              </w:rPr>
            </w:pPr>
            <w:r>
              <w:rPr>
                <w:rFonts w:eastAsia="Malgun Gothic"/>
                <w:b/>
                <w:bCs/>
                <w:lang w:eastAsia="zh-CN"/>
              </w:rPr>
              <w:t xml:space="preserve">5 GHz &amp;    </w:t>
            </w:r>
            <w:r w:rsidRPr="000C2F3C">
              <w:rPr>
                <w:rFonts w:eastAsia="Malgun Gothic"/>
                <w:b/>
                <w:bCs/>
                <w:lang w:eastAsia="zh-CN"/>
              </w:rPr>
              <w:t>[6 GHz]</w:t>
            </w:r>
          </w:p>
        </w:tc>
        <w:tc>
          <w:tcPr>
            <w:tcW w:w="726" w:type="pct"/>
            <w:tcBorders>
              <w:top w:val="single" w:sz="8" w:space="0" w:color="98A2AE"/>
              <w:left w:val="single" w:sz="8" w:space="0" w:color="98A2AE"/>
              <w:bottom w:val="single" w:sz="18" w:space="0" w:color="98A2AE"/>
              <w:right w:val="single" w:sz="8" w:space="0" w:color="98A2AE"/>
            </w:tcBorders>
            <w:shd w:val="clear" w:color="auto" w:fill="D9D9D9" w:themeFill="background1" w:themeFillShade="D9"/>
            <w:tcMar>
              <w:top w:w="28" w:type="dxa"/>
              <w:left w:w="57" w:type="dxa"/>
              <w:bottom w:w="28" w:type="dxa"/>
              <w:right w:w="28" w:type="dxa"/>
            </w:tcMar>
            <w:vAlign w:val="center"/>
            <w:hideMark/>
          </w:tcPr>
          <w:p w14:paraId="332C1241" w14:textId="77777777" w:rsidR="00C206C9" w:rsidRPr="0001796D" w:rsidRDefault="00C206C9" w:rsidP="00C206C9">
            <w:pPr>
              <w:spacing w:after="0"/>
              <w:jc w:val="center"/>
              <w:rPr>
                <w:rFonts w:eastAsia="Malgun Gothic"/>
                <w:lang w:val="en-US" w:eastAsia="zh-CN"/>
              </w:rPr>
            </w:pPr>
            <w:r w:rsidRPr="000C2F3C">
              <w:rPr>
                <w:rFonts w:eastAsia="Malgun Gothic"/>
                <w:b/>
                <w:bCs/>
                <w:lang w:eastAsia="zh-CN"/>
              </w:rPr>
              <w:t>37 GHz</w:t>
            </w:r>
          </w:p>
        </w:tc>
        <w:tc>
          <w:tcPr>
            <w:tcW w:w="727" w:type="pct"/>
            <w:tcBorders>
              <w:top w:val="single" w:sz="8" w:space="0" w:color="98A2AE"/>
              <w:left w:val="single" w:sz="8" w:space="0" w:color="98A2AE"/>
              <w:bottom w:val="single" w:sz="18" w:space="0" w:color="98A2AE"/>
              <w:right w:val="single" w:sz="8" w:space="0" w:color="98A2AE"/>
            </w:tcBorders>
            <w:shd w:val="clear" w:color="auto" w:fill="D9D9D9" w:themeFill="background1" w:themeFillShade="D9"/>
            <w:tcMar>
              <w:top w:w="28" w:type="dxa"/>
              <w:left w:w="57" w:type="dxa"/>
              <w:bottom w:w="28" w:type="dxa"/>
              <w:right w:w="28" w:type="dxa"/>
            </w:tcMar>
            <w:vAlign w:val="center"/>
            <w:hideMark/>
          </w:tcPr>
          <w:p w14:paraId="3CC51B62" w14:textId="77777777" w:rsidR="00C206C9" w:rsidRPr="0001796D" w:rsidRDefault="00C206C9" w:rsidP="00C206C9">
            <w:pPr>
              <w:spacing w:after="0"/>
              <w:jc w:val="center"/>
              <w:rPr>
                <w:rFonts w:eastAsia="Malgun Gothic"/>
                <w:lang w:val="en-US" w:eastAsia="zh-CN"/>
              </w:rPr>
            </w:pPr>
            <w:r w:rsidRPr="000C2F3C">
              <w:rPr>
                <w:rFonts w:eastAsia="Malgun Gothic"/>
                <w:b/>
                <w:bCs/>
                <w:lang w:eastAsia="zh-CN"/>
              </w:rPr>
              <w:t>60 GHz</w:t>
            </w:r>
          </w:p>
        </w:tc>
      </w:tr>
      <w:tr w:rsidR="00C206C9" w:rsidRPr="000C2F3C" w14:paraId="37B3F216" w14:textId="77777777" w:rsidTr="00C206C9">
        <w:trPr>
          <w:trHeight w:val="689"/>
        </w:trPr>
        <w:tc>
          <w:tcPr>
            <w:tcW w:w="644" w:type="pct"/>
            <w:tcBorders>
              <w:top w:val="single" w:sz="1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6B92F3CE" w14:textId="77777777" w:rsidR="00C206C9" w:rsidRPr="00913187" w:rsidRDefault="00C206C9" w:rsidP="00C206C9">
            <w:pPr>
              <w:spacing w:after="0"/>
              <w:rPr>
                <w:rFonts w:eastAsia="Malgun Gothic"/>
                <w:sz w:val="18"/>
                <w:lang w:val="en-US" w:eastAsia="zh-CN"/>
              </w:rPr>
            </w:pPr>
            <w:r w:rsidRPr="00913187">
              <w:rPr>
                <w:rFonts w:eastAsia="Malgun Gothic"/>
                <w:sz w:val="18"/>
                <w:lang w:eastAsia="zh-CN"/>
              </w:rPr>
              <w:t>Deployment scenario</w:t>
            </w:r>
          </w:p>
        </w:tc>
        <w:tc>
          <w:tcPr>
            <w:tcW w:w="723" w:type="pct"/>
            <w:tcBorders>
              <w:top w:val="single" w:sz="1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7FA02270" w14:textId="77777777" w:rsidR="00C206C9" w:rsidRPr="005C3524" w:rsidRDefault="00C206C9" w:rsidP="00C206C9">
            <w:pPr>
              <w:spacing w:after="0"/>
              <w:jc w:val="center"/>
              <w:rPr>
                <w:rFonts w:eastAsia="Malgun Gothic"/>
                <w:sz w:val="18"/>
                <w:lang w:val="en-US" w:eastAsia="zh-CN"/>
              </w:rPr>
            </w:pPr>
            <w:r w:rsidRPr="005C3524">
              <w:rPr>
                <w:rFonts w:eastAsia="Malgun Gothic"/>
                <w:sz w:val="18"/>
                <w:lang w:eastAsia="zh-CN"/>
              </w:rPr>
              <w:t>Rural;</w:t>
            </w:r>
            <w:r w:rsidRPr="005C3524">
              <w:rPr>
                <w:rFonts w:eastAsia="Malgun Gothic"/>
                <w:sz w:val="18"/>
                <w:lang w:val="en-US" w:eastAsia="zh-CN"/>
              </w:rPr>
              <w:br/>
            </w:r>
            <w:r w:rsidRPr="005C3524">
              <w:rPr>
                <w:rFonts w:eastAsia="Malgun Gothic"/>
                <w:sz w:val="18"/>
                <w:lang w:eastAsia="zh-CN"/>
              </w:rPr>
              <w:t>tens of km</w:t>
            </w:r>
          </w:p>
        </w:tc>
        <w:tc>
          <w:tcPr>
            <w:tcW w:w="729" w:type="pct"/>
            <w:tcBorders>
              <w:top w:val="single" w:sz="1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3D562596" w14:textId="77777777" w:rsidR="00C206C9" w:rsidRPr="005C3524" w:rsidRDefault="00C206C9" w:rsidP="00C206C9">
            <w:pPr>
              <w:spacing w:after="0"/>
              <w:jc w:val="center"/>
              <w:rPr>
                <w:rFonts w:eastAsia="Malgun Gothic"/>
                <w:sz w:val="18"/>
                <w:lang w:val="en-US" w:eastAsia="zh-CN"/>
              </w:rPr>
            </w:pPr>
            <w:r w:rsidRPr="005C3524">
              <w:rPr>
                <w:rFonts w:eastAsia="Malgun Gothic"/>
                <w:sz w:val="18"/>
                <w:lang w:eastAsia="zh-CN"/>
              </w:rPr>
              <w:t>Indoor hotspot, Dense urban</w:t>
            </w:r>
          </w:p>
        </w:tc>
        <w:tc>
          <w:tcPr>
            <w:tcW w:w="725" w:type="pct"/>
            <w:tcBorders>
              <w:top w:val="single" w:sz="1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tcPr>
          <w:p w14:paraId="2CECD1EC" w14:textId="77777777" w:rsidR="00C206C9" w:rsidRPr="005C3524" w:rsidRDefault="00C206C9" w:rsidP="00C206C9">
            <w:pPr>
              <w:spacing w:after="0"/>
              <w:jc w:val="center"/>
              <w:rPr>
                <w:rFonts w:eastAsia="Malgun Gothic"/>
                <w:sz w:val="18"/>
                <w:lang w:eastAsia="zh-CN"/>
              </w:rPr>
            </w:pPr>
            <w:r w:rsidRPr="005C3524">
              <w:rPr>
                <w:rFonts w:eastAsia="Malgun Gothic"/>
                <w:sz w:val="18"/>
                <w:lang w:eastAsia="zh-CN"/>
              </w:rPr>
              <w:t>Indoor hotspot, Dense urban</w:t>
            </w:r>
          </w:p>
        </w:tc>
        <w:tc>
          <w:tcPr>
            <w:tcW w:w="726" w:type="pct"/>
            <w:tcBorders>
              <w:top w:val="single" w:sz="1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143E09D4" w14:textId="77777777" w:rsidR="00C206C9" w:rsidRPr="005C3524" w:rsidRDefault="00C206C9" w:rsidP="00C206C9">
            <w:pPr>
              <w:spacing w:after="0"/>
              <w:jc w:val="center"/>
              <w:rPr>
                <w:rFonts w:eastAsia="Malgun Gothic"/>
                <w:sz w:val="18"/>
                <w:lang w:val="fi-FI" w:eastAsia="zh-CN"/>
              </w:rPr>
            </w:pPr>
            <w:r w:rsidRPr="005C3524">
              <w:rPr>
                <w:rFonts w:eastAsia="Malgun Gothic"/>
                <w:sz w:val="18"/>
                <w:lang w:eastAsia="zh-CN"/>
              </w:rPr>
              <w:t>Indoor hotspot, Dense urban</w:t>
            </w:r>
          </w:p>
        </w:tc>
        <w:tc>
          <w:tcPr>
            <w:tcW w:w="726" w:type="pct"/>
            <w:tcBorders>
              <w:top w:val="single" w:sz="1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2B0BBB3F" w14:textId="77777777" w:rsidR="00C206C9" w:rsidRPr="005C3524" w:rsidRDefault="00C206C9" w:rsidP="00C206C9">
            <w:pPr>
              <w:spacing w:after="0"/>
              <w:jc w:val="center"/>
              <w:rPr>
                <w:rFonts w:eastAsia="Malgun Gothic"/>
                <w:sz w:val="18"/>
                <w:lang w:val="fi-FI" w:eastAsia="zh-CN"/>
              </w:rPr>
            </w:pPr>
            <w:r w:rsidRPr="005C3524">
              <w:rPr>
                <w:rFonts w:eastAsia="Malgun Gothic"/>
                <w:sz w:val="18"/>
                <w:lang w:eastAsia="zh-CN"/>
              </w:rPr>
              <w:t>Indoor hotspot, Dense urban</w:t>
            </w:r>
          </w:p>
        </w:tc>
        <w:tc>
          <w:tcPr>
            <w:tcW w:w="727" w:type="pct"/>
            <w:tcBorders>
              <w:top w:val="single" w:sz="1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7C1B2052"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Indoor hotspot, fixed wireless</w:t>
            </w:r>
          </w:p>
        </w:tc>
      </w:tr>
      <w:tr w:rsidR="00C206C9" w:rsidRPr="000C2F3C" w14:paraId="77CEB39F" w14:textId="77777777" w:rsidTr="00C206C9">
        <w:trPr>
          <w:trHeight w:val="668"/>
        </w:trPr>
        <w:tc>
          <w:tcPr>
            <w:tcW w:w="644" w:type="pct"/>
            <w:tcBorders>
              <w:top w:val="single" w:sz="8" w:space="0" w:color="98A2AE"/>
              <w:left w:val="single" w:sz="8" w:space="0" w:color="98A2AE"/>
              <w:bottom w:val="single" w:sz="8" w:space="0" w:color="98A2AE"/>
              <w:right w:val="single" w:sz="8" w:space="0" w:color="98A2AE"/>
            </w:tcBorders>
            <w:shd w:val="clear" w:color="auto" w:fill="auto"/>
            <w:tcMar>
              <w:top w:w="28" w:type="dxa"/>
              <w:left w:w="57" w:type="dxa"/>
              <w:bottom w:w="28" w:type="dxa"/>
              <w:right w:w="28" w:type="dxa"/>
            </w:tcMar>
            <w:vAlign w:val="center"/>
            <w:hideMark/>
          </w:tcPr>
          <w:p w14:paraId="0D5AF90E" w14:textId="77777777" w:rsidR="00C206C9" w:rsidRPr="00913187" w:rsidRDefault="00C206C9" w:rsidP="00C206C9">
            <w:pPr>
              <w:spacing w:after="0"/>
              <w:rPr>
                <w:rFonts w:eastAsia="Malgun Gothic"/>
                <w:sz w:val="18"/>
                <w:lang w:val="fi-FI" w:eastAsia="zh-CN"/>
              </w:rPr>
            </w:pPr>
            <w:r w:rsidRPr="00913187">
              <w:rPr>
                <w:rFonts w:eastAsia="Malgun Gothic"/>
                <w:sz w:val="18"/>
                <w:lang w:eastAsia="zh-CN"/>
              </w:rPr>
              <w:t>Available BW</w:t>
            </w:r>
          </w:p>
        </w:tc>
        <w:tc>
          <w:tcPr>
            <w:tcW w:w="723" w:type="pct"/>
            <w:tcBorders>
              <w:top w:val="single" w:sz="8" w:space="0" w:color="98A2AE"/>
              <w:left w:val="single" w:sz="8" w:space="0" w:color="98A2AE"/>
              <w:bottom w:val="single" w:sz="8" w:space="0" w:color="98A2AE"/>
              <w:right w:val="single" w:sz="8" w:space="0" w:color="98A2AE"/>
            </w:tcBorders>
            <w:shd w:val="clear" w:color="auto" w:fill="auto"/>
            <w:tcMar>
              <w:top w:w="28" w:type="dxa"/>
              <w:left w:w="57" w:type="dxa"/>
              <w:bottom w:w="28" w:type="dxa"/>
              <w:right w:w="28" w:type="dxa"/>
            </w:tcMar>
            <w:vAlign w:val="center"/>
            <w:hideMark/>
          </w:tcPr>
          <w:p w14:paraId="7611575D"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Few tens of  MHz</w:t>
            </w:r>
          </w:p>
        </w:tc>
        <w:tc>
          <w:tcPr>
            <w:tcW w:w="729" w:type="pct"/>
            <w:tcBorders>
              <w:top w:val="single" w:sz="8" w:space="0" w:color="98A2AE"/>
              <w:left w:val="single" w:sz="8" w:space="0" w:color="98A2AE"/>
              <w:bottom w:val="single" w:sz="8" w:space="0" w:color="98A2AE"/>
              <w:right w:val="single" w:sz="8" w:space="0" w:color="98A2AE"/>
            </w:tcBorders>
            <w:shd w:val="clear" w:color="auto" w:fill="auto"/>
            <w:tcMar>
              <w:top w:w="28" w:type="dxa"/>
              <w:left w:w="57" w:type="dxa"/>
              <w:bottom w:w="28" w:type="dxa"/>
              <w:right w:w="28" w:type="dxa"/>
            </w:tcMar>
            <w:vAlign w:val="center"/>
            <w:hideMark/>
          </w:tcPr>
          <w:p w14:paraId="12517D5B"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80 MHz</w:t>
            </w:r>
          </w:p>
        </w:tc>
        <w:tc>
          <w:tcPr>
            <w:tcW w:w="725" w:type="pct"/>
            <w:tcBorders>
              <w:top w:val="single" w:sz="8" w:space="0" w:color="98A2AE"/>
              <w:left w:val="single" w:sz="8" w:space="0" w:color="98A2AE"/>
              <w:bottom w:val="single" w:sz="8" w:space="0" w:color="98A2AE"/>
              <w:right w:val="single" w:sz="8" w:space="0" w:color="98A2AE"/>
            </w:tcBorders>
            <w:tcMar>
              <w:top w:w="28" w:type="dxa"/>
              <w:left w:w="57" w:type="dxa"/>
              <w:bottom w:w="28" w:type="dxa"/>
              <w:right w:w="28" w:type="dxa"/>
            </w:tcMar>
            <w:vAlign w:val="center"/>
          </w:tcPr>
          <w:p w14:paraId="5B42B531" w14:textId="77777777" w:rsidR="00C206C9" w:rsidRPr="005C3524" w:rsidRDefault="00C206C9" w:rsidP="00C206C9">
            <w:pPr>
              <w:spacing w:after="0"/>
              <w:jc w:val="center"/>
              <w:rPr>
                <w:rFonts w:eastAsia="Malgun Gothic"/>
                <w:sz w:val="18"/>
                <w:lang w:eastAsia="zh-CN"/>
              </w:rPr>
            </w:pPr>
            <w:r>
              <w:rPr>
                <w:rFonts w:eastAsia="Malgun Gothic"/>
                <w:sz w:val="18"/>
                <w:lang w:eastAsia="zh-CN"/>
              </w:rPr>
              <w:t>150 MHz</w:t>
            </w:r>
          </w:p>
        </w:tc>
        <w:tc>
          <w:tcPr>
            <w:tcW w:w="726" w:type="pct"/>
            <w:tcBorders>
              <w:top w:val="single" w:sz="8" w:space="0" w:color="98A2AE"/>
              <w:left w:val="single" w:sz="8" w:space="0" w:color="98A2AE"/>
              <w:bottom w:val="single" w:sz="8" w:space="0" w:color="98A2AE"/>
              <w:right w:val="single" w:sz="8" w:space="0" w:color="98A2AE"/>
            </w:tcBorders>
            <w:shd w:val="clear" w:color="auto" w:fill="auto"/>
            <w:tcMar>
              <w:top w:w="28" w:type="dxa"/>
              <w:left w:w="57" w:type="dxa"/>
              <w:bottom w:w="28" w:type="dxa"/>
              <w:right w:w="28" w:type="dxa"/>
            </w:tcMar>
            <w:vAlign w:val="center"/>
            <w:hideMark/>
          </w:tcPr>
          <w:p w14:paraId="292E0E4A"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Hundreds of   MHz</w:t>
            </w:r>
          </w:p>
        </w:tc>
        <w:tc>
          <w:tcPr>
            <w:tcW w:w="726" w:type="pct"/>
            <w:tcBorders>
              <w:top w:val="single" w:sz="8" w:space="0" w:color="98A2AE"/>
              <w:left w:val="single" w:sz="8" w:space="0" w:color="98A2AE"/>
              <w:bottom w:val="single" w:sz="8" w:space="0" w:color="98A2AE"/>
              <w:right w:val="single" w:sz="8" w:space="0" w:color="98A2AE"/>
            </w:tcBorders>
            <w:shd w:val="clear" w:color="auto" w:fill="auto"/>
            <w:tcMar>
              <w:top w:w="28" w:type="dxa"/>
              <w:left w:w="57" w:type="dxa"/>
              <w:bottom w:w="28" w:type="dxa"/>
              <w:right w:w="28" w:type="dxa"/>
            </w:tcMar>
            <w:vAlign w:val="center"/>
            <w:hideMark/>
          </w:tcPr>
          <w:p w14:paraId="66E6FF87"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Hundreds of  MHz</w:t>
            </w:r>
          </w:p>
        </w:tc>
        <w:tc>
          <w:tcPr>
            <w:tcW w:w="727" w:type="pct"/>
            <w:tcBorders>
              <w:top w:val="single" w:sz="8" w:space="0" w:color="98A2AE"/>
              <w:left w:val="single" w:sz="8" w:space="0" w:color="98A2AE"/>
              <w:bottom w:val="single" w:sz="8" w:space="0" w:color="98A2AE"/>
              <w:right w:val="single" w:sz="8" w:space="0" w:color="98A2AE"/>
            </w:tcBorders>
            <w:shd w:val="clear" w:color="auto" w:fill="auto"/>
            <w:tcMar>
              <w:top w:w="28" w:type="dxa"/>
              <w:left w:w="57" w:type="dxa"/>
              <w:bottom w:w="28" w:type="dxa"/>
              <w:right w:w="28" w:type="dxa"/>
            </w:tcMar>
            <w:vAlign w:val="center"/>
            <w:hideMark/>
          </w:tcPr>
          <w:p w14:paraId="46E5C54B"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Multiple GHz</w:t>
            </w:r>
          </w:p>
        </w:tc>
      </w:tr>
      <w:tr w:rsidR="00C206C9" w:rsidRPr="000C2F3C" w14:paraId="666026FF" w14:textId="77777777" w:rsidTr="00C206C9">
        <w:trPr>
          <w:trHeight w:val="416"/>
        </w:trPr>
        <w:tc>
          <w:tcPr>
            <w:tcW w:w="644" w:type="pct"/>
            <w:tcBorders>
              <w:top w:val="single" w:sz="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4FCDD1BF" w14:textId="77777777" w:rsidR="00C206C9" w:rsidRPr="00913187" w:rsidRDefault="00C206C9" w:rsidP="00C206C9">
            <w:pPr>
              <w:spacing w:after="0"/>
              <w:rPr>
                <w:rFonts w:eastAsia="Malgun Gothic"/>
                <w:sz w:val="18"/>
                <w:lang w:val="fi-FI" w:eastAsia="zh-CN"/>
              </w:rPr>
            </w:pPr>
            <w:r w:rsidRPr="00913187">
              <w:rPr>
                <w:rFonts w:eastAsia="Malgun Gothic"/>
                <w:sz w:val="18"/>
                <w:lang w:eastAsia="zh-CN"/>
              </w:rPr>
              <w:t xml:space="preserve">Regional availability </w:t>
            </w:r>
          </w:p>
        </w:tc>
        <w:tc>
          <w:tcPr>
            <w:tcW w:w="723" w:type="pct"/>
            <w:tcBorders>
              <w:top w:val="single" w:sz="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25F47750" w14:textId="77777777" w:rsidR="00C206C9" w:rsidRPr="00913187" w:rsidRDefault="00C206C9" w:rsidP="00C206C9">
            <w:pPr>
              <w:spacing w:after="0"/>
              <w:jc w:val="center"/>
              <w:rPr>
                <w:rFonts w:eastAsia="Malgun Gothic"/>
                <w:sz w:val="18"/>
                <w:lang w:val="en-US" w:eastAsia="zh-CN"/>
              </w:rPr>
            </w:pPr>
            <w:r>
              <w:rPr>
                <w:rFonts w:eastAsia="Malgun Gothic"/>
                <w:sz w:val="18"/>
                <w:lang w:eastAsia="zh-CN"/>
              </w:rPr>
              <w:t>Different bands in different regions</w:t>
            </w:r>
          </w:p>
        </w:tc>
        <w:tc>
          <w:tcPr>
            <w:tcW w:w="729" w:type="pct"/>
            <w:tcBorders>
              <w:top w:val="single" w:sz="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2E91F342"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Wide geographical availability</w:t>
            </w:r>
          </w:p>
        </w:tc>
        <w:tc>
          <w:tcPr>
            <w:tcW w:w="725" w:type="pct"/>
            <w:tcBorders>
              <w:top w:val="single" w:sz="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tcPr>
          <w:p w14:paraId="302DF17C" w14:textId="77777777" w:rsidR="00C206C9" w:rsidRPr="005C3524" w:rsidRDefault="00C206C9" w:rsidP="00C206C9">
            <w:pPr>
              <w:spacing w:after="0"/>
              <w:jc w:val="center"/>
              <w:rPr>
                <w:rFonts w:eastAsia="Malgun Gothic"/>
                <w:sz w:val="18"/>
                <w:lang w:eastAsia="zh-CN"/>
              </w:rPr>
            </w:pPr>
            <w:r>
              <w:rPr>
                <w:rFonts w:eastAsia="Malgun Gothic"/>
                <w:sz w:val="18"/>
                <w:lang w:eastAsia="zh-CN"/>
              </w:rPr>
              <w:t>Regional</w:t>
            </w:r>
          </w:p>
        </w:tc>
        <w:tc>
          <w:tcPr>
            <w:tcW w:w="726" w:type="pct"/>
            <w:tcBorders>
              <w:top w:val="single" w:sz="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6D95F8F6"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Wide geographical availability</w:t>
            </w:r>
          </w:p>
        </w:tc>
        <w:tc>
          <w:tcPr>
            <w:tcW w:w="726" w:type="pct"/>
            <w:tcBorders>
              <w:top w:val="single" w:sz="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2D7CEA2F"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Regional</w:t>
            </w:r>
          </w:p>
        </w:tc>
        <w:tc>
          <w:tcPr>
            <w:tcW w:w="727" w:type="pct"/>
            <w:tcBorders>
              <w:top w:val="single" w:sz="8" w:space="0" w:color="98A2AE"/>
              <w:left w:val="single" w:sz="8" w:space="0" w:color="98A2AE"/>
              <w:bottom w:val="single" w:sz="8" w:space="0" w:color="98A2AE"/>
              <w:right w:val="single" w:sz="8" w:space="0" w:color="98A2AE"/>
            </w:tcBorders>
            <w:shd w:val="clear" w:color="auto" w:fill="EFF0F2"/>
            <w:tcMar>
              <w:top w:w="28" w:type="dxa"/>
              <w:left w:w="57" w:type="dxa"/>
              <w:bottom w:w="28" w:type="dxa"/>
              <w:right w:w="28" w:type="dxa"/>
            </w:tcMar>
            <w:vAlign w:val="center"/>
            <w:hideMark/>
          </w:tcPr>
          <w:p w14:paraId="2C30C772" w14:textId="77777777" w:rsidR="00C206C9" w:rsidRPr="005C3524" w:rsidRDefault="00C206C9" w:rsidP="00C206C9">
            <w:pPr>
              <w:spacing w:after="0"/>
              <w:jc w:val="center"/>
              <w:rPr>
                <w:rFonts w:eastAsia="Malgun Gothic"/>
                <w:sz w:val="18"/>
                <w:lang w:val="fi-FI" w:eastAsia="zh-CN"/>
              </w:rPr>
            </w:pPr>
            <w:r>
              <w:rPr>
                <w:rFonts w:eastAsia="Malgun Gothic"/>
                <w:sz w:val="18"/>
                <w:lang w:eastAsia="zh-CN"/>
              </w:rPr>
              <w:t>Wide geographical availability</w:t>
            </w:r>
          </w:p>
        </w:tc>
      </w:tr>
      <w:tr w:rsidR="00C206C9" w:rsidRPr="000C2F3C" w14:paraId="647287EB" w14:textId="77777777" w:rsidTr="00C206C9">
        <w:trPr>
          <w:trHeight w:val="668"/>
        </w:trPr>
        <w:tc>
          <w:tcPr>
            <w:tcW w:w="644" w:type="pct"/>
            <w:tcBorders>
              <w:top w:val="single" w:sz="8" w:space="0" w:color="98A2AE"/>
              <w:left w:val="single" w:sz="8" w:space="0" w:color="98A2AE"/>
              <w:bottom w:val="single" w:sz="8" w:space="0" w:color="98A2AE"/>
              <w:right w:val="single" w:sz="8" w:space="0" w:color="98A2AE"/>
            </w:tcBorders>
            <w:shd w:val="clear" w:color="auto" w:fill="auto"/>
            <w:tcMar>
              <w:top w:w="28" w:type="dxa"/>
              <w:left w:w="57" w:type="dxa"/>
              <w:bottom w:w="28" w:type="dxa"/>
              <w:right w:w="28" w:type="dxa"/>
            </w:tcMar>
            <w:vAlign w:val="center"/>
            <w:hideMark/>
          </w:tcPr>
          <w:p w14:paraId="11C4E286" w14:textId="77777777" w:rsidR="00C206C9" w:rsidRPr="00913187" w:rsidRDefault="00C206C9" w:rsidP="00C206C9">
            <w:pPr>
              <w:spacing w:after="0"/>
              <w:rPr>
                <w:rFonts w:eastAsia="Malgun Gothic"/>
                <w:sz w:val="18"/>
                <w:lang w:val="fi-FI" w:eastAsia="zh-CN"/>
              </w:rPr>
            </w:pPr>
            <w:r w:rsidRPr="00913187">
              <w:rPr>
                <w:rFonts w:eastAsia="Malgun Gothic"/>
                <w:sz w:val="18"/>
                <w:lang w:eastAsia="zh-CN"/>
              </w:rPr>
              <w:t>Priority for NR unlicensed</w:t>
            </w:r>
          </w:p>
        </w:tc>
        <w:tc>
          <w:tcPr>
            <w:tcW w:w="723" w:type="pct"/>
            <w:tcBorders>
              <w:top w:val="single" w:sz="8" w:space="0" w:color="98A2AE"/>
              <w:left w:val="single" w:sz="8" w:space="0" w:color="98A2AE"/>
              <w:bottom w:val="single" w:sz="8" w:space="0" w:color="98A2AE"/>
              <w:right w:val="single" w:sz="8" w:space="0" w:color="98A2AE"/>
            </w:tcBorders>
            <w:shd w:val="clear" w:color="auto" w:fill="auto"/>
            <w:tcMar>
              <w:top w:w="28" w:type="dxa"/>
              <w:left w:w="57" w:type="dxa"/>
              <w:bottom w:w="28" w:type="dxa"/>
              <w:right w:w="28" w:type="dxa"/>
            </w:tcMar>
            <w:vAlign w:val="center"/>
            <w:hideMark/>
          </w:tcPr>
          <w:p w14:paraId="4932F902" w14:textId="77777777" w:rsidR="00C206C9" w:rsidRPr="005C3524" w:rsidRDefault="00C206C9" w:rsidP="00C206C9">
            <w:pPr>
              <w:spacing w:after="0"/>
              <w:jc w:val="center"/>
              <w:rPr>
                <w:rFonts w:eastAsia="Malgun Gothic"/>
                <w:sz w:val="18"/>
                <w:lang w:val="fi-FI" w:eastAsia="zh-CN"/>
              </w:rPr>
            </w:pPr>
            <w:r w:rsidRPr="005C3524">
              <w:rPr>
                <w:rFonts w:eastAsia="Malgun Gothic"/>
                <w:sz w:val="18"/>
                <w:lang w:eastAsia="zh-CN"/>
              </w:rPr>
              <w:t>*</w:t>
            </w:r>
          </w:p>
        </w:tc>
        <w:tc>
          <w:tcPr>
            <w:tcW w:w="729" w:type="pct"/>
            <w:tcBorders>
              <w:top w:val="single" w:sz="8" w:space="0" w:color="98A2AE"/>
              <w:left w:val="single" w:sz="8" w:space="0" w:color="98A2AE"/>
              <w:bottom w:val="single" w:sz="8" w:space="0" w:color="98A2AE"/>
              <w:right w:val="single" w:sz="8" w:space="0" w:color="98A2AE"/>
            </w:tcBorders>
            <w:shd w:val="clear" w:color="auto" w:fill="auto"/>
            <w:tcMar>
              <w:top w:w="28" w:type="dxa"/>
              <w:left w:w="57" w:type="dxa"/>
              <w:bottom w:w="28" w:type="dxa"/>
              <w:right w:w="28" w:type="dxa"/>
            </w:tcMar>
            <w:vAlign w:val="center"/>
            <w:hideMark/>
          </w:tcPr>
          <w:p w14:paraId="4387A2C2" w14:textId="77777777" w:rsidR="00C206C9" w:rsidRPr="005C3524" w:rsidRDefault="00C206C9" w:rsidP="00C206C9">
            <w:pPr>
              <w:spacing w:after="0"/>
              <w:jc w:val="center"/>
              <w:rPr>
                <w:rFonts w:eastAsia="Malgun Gothic"/>
                <w:sz w:val="18"/>
                <w:lang w:val="fi-FI" w:eastAsia="zh-CN"/>
              </w:rPr>
            </w:pPr>
            <w:r w:rsidRPr="005C3524">
              <w:rPr>
                <w:rFonts w:eastAsia="Malgun Gothic"/>
                <w:sz w:val="18"/>
                <w:lang w:eastAsia="zh-CN"/>
              </w:rPr>
              <w:t>*</w:t>
            </w:r>
          </w:p>
          <w:p w14:paraId="457BCEEF" w14:textId="77777777" w:rsidR="00C206C9" w:rsidRPr="005C3524" w:rsidRDefault="00C206C9" w:rsidP="00C206C9">
            <w:pPr>
              <w:spacing w:after="0"/>
              <w:jc w:val="center"/>
              <w:rPr>
                <w:rFonts w:eastAsia="Malgun Gothic"/>
                <w:sz w:val="18"/>
                <w:lang w:val="fi-FI" w:eastAsia="zh-CN"/>
              </w:rPr>
            </w:pPr>
            <w:r w:rsidRPr="005C3524">
              <w:rPr>
                <w:rFonts w:eastAsia="Malgun Gothic"/>
                <w:sz w:val="18"/>
                <w:lang w:eastAsia="zh-CN"/>
              </w:rPr>
              <w:t>(potentially higher for IoT)</w:t>
            </w:r>
          </w:p>
        </w:tc>
        <w:tc>
          <w:tcPr>
            <w:tcW w:w="725" w:type="pct"/>
            <w:tcBorders>
              <w:top w:val="single" w:sz="8" w:space="0" w:color="98A2AE"/>
              <w:left w:val="single" w:sz="8" w:space="0" w:color="98A2AE"/>
              <w:bottom w:val="single" w:sz="8" w:space="0" w:color="98A2AE"/>
              <w:right w:val="single" w:sz="8" w:space="0" w:color="98A2AE"/>
            </w:tcBorders>
            <w:tcMar>
              <w:top w:w="28" w:type="dxa"/>
              <w:left w:w="57" w:type="dxa"/>
              <w:bottom w:w="28" w:type="dxa"/>
              <w:right w:w="28" w:type="dxa"/>
            </w:tcMar>
            <w:vAlign w:val="center"/>
          </w:tcPr>
          <w:p w14:paraId="39BE743A" w14:textId="77777777" w:rsidR="00C206C9" w:rsidRPr="005C3524" w:rsidRDefault="00C206C9" w:rsidP="00C206C9">
            <w:pPr>
              <w:spacing w:after="0"/>
              <w:jc w:val="center"/>
              <w:rPr>
                <w:rFonts w:eastAsia="Malgun Gothic"/>
                <w:sz w:val="18"/>
                <w:lang w:eastAsia="zh-CN"/>
              </w:rPr>
            </w:pPr>
            <w:r w:rsidRPr="005C3524">
              <w:rPr>
                <w:rFonts w:eastAsia="Malgun Gothic"/>
                <w:sz w:val="18"/>
                <w:lang w:eastAsia="zh-CN"/>
              </w:rPr>
              <w:t>*</w:t>
            </w:r>
          </w:p>
          <w:p w14:paraId="5A7DA0E5" w14:textId="77777777" w:rsidR="00C206C9" w:rsidRPr="00241674" w:rsidRDefault="00C206C9" w:rsidP="00C206C9">
            <w:pPr>
              <w:spacing w:after="0"/>
              <w:jc w:val="center"/>
              <w:rPr>
                <w:rFonts w:eastAsia="Malgun Gothic"/>
                <w:sz w:val="18"/>
                <w:lang w:val="en-US" w:eastAsia="zh-CN"/>
              </w:rPr>
            </w:pPr>
            <w:r w:rsidRPr="00241674">
              <w:rPr>
                <w:rFonts w:eastAsia="Malgun Gothic"/>
                <w:sz w:val="18"/>
                <w:lang w:val="en-US" w:eastAsia="zh-CN"/>
              </w:rPr>
              <w:t>(potentially higher for Rel-15 NR)</w:t>
            </w:r>
          </w:p>
        </w:tc>
        <w:tc>
          <w:tcPr>
            <w:tcW w:w="726" w:type="pct"/>
            <w:tcBorders>
              <w:top w:val="single" w:sz="8" w:space="0" w:color="98A2AE"/>
              <w:left w:val="single" w:sz="8" w:space="0" w:color="98A2AE"/>
              <w:bottom w:val="single" w:sz="8" w:space="0" w:color="98A2AE"/>
              <w:right w:val="single" w:sz="8" w:space="0" w:color="98A2AE"/>
            </w:tcBorders>
            <w:shd w:val="clear" w:color="auto" w:fill="4BDD33"/>
            <w:tcMar>
              <w:top w:w="28" w:type="dxa"/>
              <w:left w:w="57" w:type="dxa"/>
              <w:bottom w:w="28" w:type="dxa"/>
              <w:right w:w="28" w:type="dxa"/>
            </w:tcMar>
            <w:vAlign w:val="center"/>
            <w:hideMark/>
          </w:tcPr>
          <w:p w14:paraId="20926A81" w14:textId="77777777" w:rsidR="00C206C9" w:rsidRPr="005C3524" w:rsidRDefault="00C206C9" w:rsidP="00C206C9">
            <w:pPr>
              <w:spacing w:after="0"/>
              <w:jc w:val="center"/>
              <w:rPr>
                <w:rFonts w:eastAsia="Malgun Gothic"/>
                <w:sz w:val="18"/>
                <w:lang w:val="fi-FI" w:eastAsia="zh-CN"/>
              </w:rPr>
            </w:pPr>
            <w:r w:rsidRPr="005C3524">
              <w:rPr>
                <w:rFonts w:eastAsia="Malgun Gothic"/>
                <w:sz w:val="18"/>
                <w:lang w:eastAsia="zh-CN"/>
              </w:rPr>
              <w:t>***</w:t>
            </w:r>
          </w:p>
        </w:tc>
        <w:tc>
          <w:tcPr>
            <w:tcW w:w="726" w:type="pct"/>
            <w:tcBorders>
              <w:top w:val="single" w:sz="8" w:space="0" w:color="98A2AE"/>
              <w:left w:val="single" w:sz="8" w:space="0" w:color="98A2AE"/>
              <w:bottom w:val="single" w:sz="8" w:space="0" w:color="98A2AE"/>
              <w:right w:val="single" w:sz="8" w:space="0" w:color="98A2AE"/>
            </w:tcBorders>
            <w:shd w:val="clear" w:color="auto" w:fill="FFFFFF" w:themeFill="background1"/>
            <w:tcMar>
              <w:top w:w="28" w:type="dxa"/>
              <w:left w:w="57" w:type="dxa"/>
              <w:bottom w:w="28" w:type="dxa"/>
              <w:right w:w="28" w:type="dxa"/>
            </w:tcMar>
            <w:vAlign w:val="center"/>
            <w:hideMark/>
          </w:tcPr>
          <w:p w14:paraId="2C0C8D43" w14:textId="77777777" w:rsidR="00C206C9" w:rsidRPr="005C3524" w:rsidRDefault="00C206C9" w:rsidP="00C206C9">
            <w:pPr>
              <w:spacing w:after="0"/>
              <w:jc w:val="center"/>
              <w:rPr>
                <w:rFonts w:eastAsia="Malgun Gothic"/>
                <w:sz w:val="18"/>
                <w:lang w:val="fi-FI" w:eastAsia="zh-CN"/>
              </w:rPr>
            </w:pPr>
            <w:r w:rsidRPr="005C3524">
              <w:rPr>
                <w:rFonts w:eastAsia="Malgun Gothic"/>
                <w:sz w:val="18"/>
                <w:lang w:eastAsia="zh-CN"/>
              </w:rPr>
              <w:t>*</w:t>
            </w:r>
          </w:p>
        </w:tc>
        <w:tc>
          <w:tcPr>
            <w:tcW w:w="727" w:type="pct"/>
            <w:tcBorders>
              <w:top w:val="single" w:sz="8" w:space="0" w:color="98A2AE"/>
              <w:left w:val="single" w:sz="8" w:space="0" w:color="98A2AE"/>
              <w:bottom w:val="single" w:sz="8" w:space="0" w:color="98A2AE"/>
              <w:right w:val="single" w:sz="8" w:space="0" w:color="98A2AE"/>
            </w:tcBorders>
            <w:shd w:val="clear" w:color="auto" w:fill="93EB85"/>
            <w:tcMar>
              <w:top w:w="28" w:type="dxa"/>
              <w:left w:w="57" w:type="dxa"/>
              <w:bottom w:w="28" w:type="dxa"/>
              <w:right w:w="28" w:type="dxa"/>
            </w:tcMar>
            <w:vAlign w:val="center"/>
            <w:hideMark/>
          </w:tcPr>
          <w:p w14:paraId="7894183B" w14:textId="77777777" w:rsidR="00C206C9" w:rsidRPr="005C3524" w:rsidRDefault="00C206C9" w:rsidP="00C206C9">
            <w:pPr>
              <w:spacing w:after="0"/>
              <w:jc w:val="center"/>
              <w:rPr>
                <w:rFonts w:eastAsia="Malgun Gothic"/>
                <w:sz w:val="18"/>
                <w:lang w:val="fi-FI" w:eastAsia="zh-CN"/>
              </w:rPr>
            </w:pPr>
            <w:r w:rsidRPr="005C3524">
              <w:rPr>
                <w:rFonts w:eastAsia="Malgun Gothic"/>
                <w:sz w:val="18"/>
                <w:lang w:eastAsia="zh-CN"/>
              </w:rPr>
              <w:t>**</w:t>
            </w:r>
          </w:p>
        </w:tc>
      </w:tr>
    </w:tbl>
    <w:p w14:paraId="3266E3C5" w14:textId="3C79B47C" w:rsidR="000C2F3C" w:rsidRDefault="00913187" w:rsidP="00867574">
      <w:pPr>
        <w:pStyle w:val="Caption"/>
        <w:spacing w:before="360"/>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2127B2">
        <w:t>Candidate bands for NR unlicensed.</w:t>
      </w:r>
    </w:p>
    <w:p w14:paraId="471DC98F" w14:textId="77777777" w:rsidR="00390ECB" w:rsidRPr="00390ECB" w:rsidRDefault="00390ECB" w:rsidP="00390ECB"/>
    <w:p w14:paraId="0850E47C" w14:textId="7496CE27" w:rsidR="00390ECB" w:rsidRDefault="00AA3F51" w:rsidP="00390ECB">
      <w:pPr>
        <w:pStyle w:val="Heading1"/>
        <w:ind w:left="567" w:hanging="567"/>
      </w:pPr>
      <w:r>
        <w:rPr>
          <w:color w:val="000000"/>
        </w:rPr>
        <w:lastRenderedPageBreak/>
        <w:t>3</w:t>
      </w:r>
      <w:r w:rsidR="00390ECB">
        <w:rPr>
          <w:color w:val="000000"/>
        </w:rPr>
        <w:tab/>
      </w:r>
      <w:r>
        <w:t>Regulatory requirements</w:t>
      </w:r>
    </w:p>
    <w:p w14:paraId="7BAE74F8" w14:textId="79C889C7" w:rsidR="00AA3F51" w:rsidRPr="00313099" w:rsidRDefault="00AA3F51" w:rsidP="00313099">
      <w:pPr>
        <w:spacing w:after="120"/>
        <w:jc w:val="both"/>
        <w:rPr>
          <w:lang w:val="en-US"/>
        </w:rPr>
      </w:pPr>
      <w:r w:rsidRPr="00AA3F51">
        <w:t>Regulatory requirements</w:t>
      </w:r>
      <w:r w:rsidR="00390ECB">
        <w:t xml:space="preserve"> of unlicensed bands</w:t>
      </w:r>
      <w:r w:rsidRPr="00AA3F51">
        <w:t xml:space="preserve"> depend on frequency band and region</w:t>
      </w:r>
      <w:r w:rsidR="00390ECB">
        <w:t>. The requirements</w:t>
      </w:r>
      <w:r w:rsidR="00345447">
        <w:t xml:space="preserve"> may contain requirements on</w:t>
      </w:r>
      <w:r w:rsidR="005A7D5B" w:rsidRPr="00AA3F51">
        <w:t xml:space="preserve"> co-existence mechanisms</w:t>
      </w:r>
      <w:r w:rsidR="00345447">
        <w:t>, as well as</w:t>
      </w:r>
      <w:r w:rsidR="005A7D5B" w:rsidRPr="00AA3F51">
        <w:t xml:space="preserve"> limitations on EIRP, PSD, channel occupancy time, occupied channel BW, dwell time, etc.</w:t>
      </w:r>
      <w:r w:rsidR="00390ECB">
        <w:rPr>
          <w:lang w:val="en-US"/>
        </w:rPr>
        <w:t xml:space="preserve"> </w:t>
      </w:r>
      <w:r w:rsidR="005A7D5B" w:rsidRPr="00AA3F51">
        <w:t>Regulations</w:t>
      </w:r>
      <w:r w:rsidR="00345447">
        <w:t xml:space="preserve"> </w:t>
      </w:r>
      <w:r w:rsidR="005A7D5B" w:rsidRPr="00AA3F51">
        <w:t>evolve</w:t>
      </w:r>
      <w:r w:rsidR="00345447">
        <w:t xml:space="preserve"> also constantly. For example,</w:t>
      </w:r>
      <w:r w:rsidR="005A7D5B" w:rsidRPr="00AA3F51">
        <w:t xml:space="preserve"> CEPT has on-going discussions on 5 GHz, 6 GHz, </w:t>
      </w:r>
      <w:r w:rsidR="00345447">
        <w:t xml:space="preserve">and </w:t>
      </w:r>
      <w:r w:rsidR="005A7D5B" w:rsidRPr="00AA3F51">
        <w:t>60 GHz regulations.</w:t>
      </w:r>
      <w:r w:rsidR="00345447">
        <w:t xml:space="preserve"> Also new bands may be opened for unlicensed use </w:t>
      </w:r>
      <w:r w:rsidR="005A7D5B" w:rsidRPr="00AA3F51">
        <w:t>with regulatory requirements defined considerably late</w:t>
      </w:r>
      <w:r w:rsidR="00390ECB">
        <w:t>r</w:t>
      </w:r>
      <w:r w:rsidR="00345447">
        <w:t>.</w:t>
      </w:r>
      <w:r w:rsidR="00390ECB">
        <w:rPr>
          <w:lang w:val="en-US"/>
        </w:rPr>
        <w:t xml:space="preserve"> </w:t>
      </w:r>
      <w:r w:rsidR="00345447">
        <w:rPr>
          <w:lang w:val="en-US"/>
        </w:rPr>
        <w:t xml:space="preserve">NR unlicensed should also </w:t>
      </w:r>
      <w:r w:rsidR="00AB26C0">
        <w:rPr>
          <w:lang w:val="en-US"/>
        </w:rPr>
        <w:t xml:space="preserve">act as a </w:t>
      </w:r>
      <w:r w:rsidR="00345447">
        <w:t>g</w:t>
      </w:r>
      <w:r w:rsidR="005A7D5B" w:rsidRPr="00AA3F51">
        <w:t>ood neighbour behaviour to</w:t>
      </w:r>
      <w:r w:rsidR="00345447">
        <w:t>wards legacy systems, which in some cases may mean co-existence mechanism developed</w:t>
      </w:r>
      <w:r w:rsidR="005A7D5B" w:rsidRPr="00AA3F51">
        <w:t xml:space="preserve"> beyond </w:t>
      </w:r>
      <w:r w:rsidR="00345447">
        <w:t>the</w:t>
      </w:r>
      <w:r w:rsidR="005A7D5B" w:rsidRPr="00AA3F51">
        <w:t xml:space="preserve"> requirements</w:t>
      </w:r>
      <w:r w:rsidR="00313099">
        <w:t xml:space="preserve"> of </w:t>
      </w:r>
      <w:r w:rsidR="00345447">
        <w:t>regulatory bodies</w:t>
      </w:r>
      <w:r w:rsidR="00390ECB">
        <w:t>.</w:t>
      </w:r>
      <w:r w:rsidR="00313099">
        <w:t xml:space="preserve"> On </w:t>
      </w:r>
      <w:r w:rsidR="00AB26C0">
        <w:t xml:space="preserve">the </w:t>
      </w:r>
      <w:r w:rsidR="00313099">
        <w:t xml:space="preserve">other hand, we see that NR unlicensed should be able to meet a wide set of regulatory requirements. This of course requires a careful balance between wide applicability of NR unlicensed and increased system complexity that most likely needs to be considered case by case. </w:t>
      </w:r>
    </w:p>
    <w:p w14:paraId="24267B27" w14:textId="4209371C" w:rsidR="00AA3F51" w:rsidRPr="006704D8" w:rsidRDefault="006704D8" w:rsidP="006704D8">
      <w:pPr>
        <w:spacing w:after="240"/>
        <w:jc w:val="both"/>
        <w:rPr>
          <w:b/>
          <w:i/>
          <w:lang w:val="en-US"/>
        </w:rPr>
      </w:pPr>
      <w:r w:rsidRPr="006704D8">
        <w:rPr>
          <w:b/>
        </w:rPr>
        <w:t>Proposal #3:</w:t>
      </w:r>
      <w:r w:rsidRPr="006704D8">
        <w:rPr>
          <w:b/>
          <w:i/>
        </w:rPr>
        <w:t xml:space="preserve"> </w:t>
      </w:r>
      <w:r w:rsidR="00AA3F51" w:rsidRPr="006704D8">
        <w:rPr>
          <w:b/>
          <w:i/>
        </w:rPr>
        <w:t xml:space="preserve">Aim for </w:t>
      </w:r>
      <w:r w:rsidR="00AB26C0">
        <w:rPr>
          <w:b/>
          <w:i/>
        </w:rPr>
        <w:t xml:space="preserve">a </w:t>
      </w:r>
      <w:r w:rsidR="00AA3F51" w:rsidRPr="006704D8">
        <w:rPr>
          <w:b/>
          <w:i/>
        </w:rPr>
        <w:t>generic</w:t>
      </w:r>
      <w:r w:rsidR="00AB26C0">
        <w:rPr>
          <w:b/>
          <w:i/>
        </w:rPr>
        <w:t xml:space="preserve"> and future-proof</w:t>
      </w:r>
      <w:r w:rsidR="00AA3F51" w:rsidRPr="006704D8">
        <w:rPr>
          <w:b/>
          <w:i/>
        </w:rPr>
        <w:t xml:space="preserve"> </w:t>
      </w:r>
      <w:r>
        <w:rPr>
          <w:b/>
          <w:i/>
        </w:rPr>
        <w:t xml:space="preserve">NR unlicensed </w:t>
      </w:r>
      <w:r w:rsidR="007F2B34">
        <w:rPr>
          <w:b/>
          <w:i/>
        </w:rPr>
        <w:t xml:space="preserve">framework </w:t>
      </w:r>
      <w:r w:rsidR="00AA3F51" w:rsidRPr="006704D8">
        <w:rPr>
          <w:b/>
          <w:i/>
        </w:rPr>
        <w:t>support</w:t>
      </w:r>
      <w:r w:rsidR="007F2B34">
        <w:rPr>
          <w:b/>
          <w:i/>
        </w:rPr>
        <w:t>ing spectrum access</w:t>
      </w:r>
      <w:r w:rsidR="00F37D24">
        <w:rPr>
          <w:b/>
          <w:i/>
        </w:rPr>
        <w:t xml:space="preserve"> on different </w:t>
      </w:r>
      <w:r w:rsidR="007F2B34">
        <w:rPr>
          <w:b/>
          <w:i/>
        </w:rPr>
        <w:t xml:space="preserve">regulatory </w:t>
      </w:r>
      <w:r w:rsidR="00F37D24">
        <w:rPr>
          <w:b/>
          <w:i/>
        </w:rPr>
        <w:t>regions and candidate bands</w:t>
      </w:r>
      <w:r w:rsidR="00AB26C0">
        <w:rPr>
          <w:b/>
          <w:i/>
        </w:rPr>
        <w:t>.</w:t>
      </w:r>
      <w:r w:rsidR="00F37D24">
        <w:rPr>
          <w:b/>
          <w:i/>
        </w:rPr>
        <w:t xml:space="preserve"> </w:t>
      </w:r>
    </w:p>
    <w:p w14:paraId="527A4A40" w14:textId="7693FFAA" w:rsidR="002074CA" w:rsidRDefault="006704D8" w:rsidP="006704D8">
      <w:pPr>
        <w:spacing w:after="120"/>
        <w:jc w:val="both"/>
      </w:pPr>
      <w:r>
        <w:t xml:space="preserve">It is noted that </w:t>
      </w:r>
      <w:r w:rsidR="00456A66" w:rsidRPr="00456A66">
        <w:t xml:space="preserve">PSD </w:t>
      </w:r>
      <w:r>
        <w:t>and/</w:t>
      </w:r>
      <w:r w:rsidR="00456A66" w:rsidRPr="00456A66">
        <w:t>or EIRP</w:t>
      </w:r>
      <w:r w:rsidR="00AA4295">
        <w:t xml:space="preserve"> density</w:t>
      </w:r>
      <w:r w:rsidR="00456A66" w:rsidRPr="00456A66">
        <w:t xml:space="preserve"> have strict lim</w:t>
      </w:r>
      <w:r>
        <w:t>itations in several regulations. The r</w:t>
      </w:r>
      <w:r w:rsidR="005A7D5B" w:rsidRPr="00456A66">
        <w:t>egulatory limit</w:t>
      </w:r>
      <w:r w:rsidR="00AA7A24">
        <w:t xml:space="preserve"> on 5GHz band</w:t>
      </w:r>
      <w:r w:rsidR="005A7D5B" w:rsidRPr="00456A66">
        <w:t xml:space="preserve"> may be as </w:t>
      </w:r>
      <w:r>
        <w:t>low as 10 dBm/MHz</w:t>
      </w:r>
      <w:r w:rsidR="005A7D5B" w:rsidRPr="00456A66">
        <w:t xml:space="preserve"> meaning that transmissio</w:t>
      </w:r>
      <w:r>
        <w:t>n power is severely limited for transmissions with</w:t>
      </w:r>
      <w:r w:rsidR="005A7D5B" w:rsidRPr="00456A66">
        <w:t xml:space="preserve"> narrow </w:t>
      </w:r>
      <w:r>
        <w:t>bandwidth</w:t>
      </w:r>
      <w:r w:rsidR="005A7D5B" w:rsidRPr="00456A66">
        <w:t>.</w:t>
      </w:r>
      <w:r>
        <w:rPr>
          <w:lang w:val="en-US"/>
        </w:rPr>
        <w:t xml:space="preserve"> </w:t>
      </w:r>
      <w:r w:rsidR="005A7D5B" w:rsidRPr="00456A66">
        <w:t>This presents a challenge for channels and signals with small paylo</w:t>
      </w:r>
      <w:r>
        <w:t xml:space="preserve">ad, </w:t>
      </w:r>
      <w:r w:rsidR="006A452C">
        <w:t xml:space="preserve">such as </w:t>
      </w:r>
      <w:r>
        <w:t>synchronization</w:t>
      </w:r>
      <w:r w:rsidR="005A7D5B" w:rsidRPr="00456A66">
        <w:t xml:space="preserve"> signals, PBCH, PRACH, </w:t>
      </w:r>
      <w:r>
        <w:t xml:space="preserve">and </w:t>
      </w:r>
      <w:r w:rsidR="005A7D5B" w:rsidRPr="00456A66">
        <w:t>PUCCH. These channels are also critical for cell coverage.</w:t>
      </w:r>
      <w:r>
        <w:rPr>
          <w:lang w:val="en-US"/>
        </w:rPr>
        <w:t xml:space="preserve"> </w:t>
      </w:r>
      <w:r w:rsidR="00AA4295">
        <w:rPr>
          <w:lang w:val="en-US"/>
        </w:rPr>
        <w:t>Hence it is evident that</w:t>
      </w:r>
      <w:r>
        <w:rPr>
          <w:lang w:val="en-US"/>
        </w:rPr>
        <w:t xml:space="preserve"> </w:t>
      </w:r>
      <w:r w:rsidR="005A7D5B" w:rsidRPr="00456A66">
        <w:t xml:space="preserve">PSD limitation needs to be addressed </w:t>
      </w:r>
      <w:r w:rsidR="00AA4295">
        <w:t xml:space="preserve">during the NR unlicensed SI </w:t>
      </w:r>
      <w:r w:rsidR="005A7D5B" w:rsidRPr="00456A66">
        <w:t xml:space="preserve">to </w:t>
      </w:r>
      <w:r w:rsidR="005A7D5B" w:rsidRPr="00720BEA">
        <w:t>avoid unnecessary cell coverage reduction.</w:t>
      </w:r>
      <w:r w:rsidR="00AA4295" w:rsidRPr="00720BEA">
        <w:t xml:space="preserve"> The obvious challenge in supporting high transmission power under strict PDS limit for small payload signals is </w:t>
      </w:r>
      <w:r w:rsidR="00720BEA" w:rsidRPr="00720BEA">
        <w:t>to find</w:t>
      </w:r>
      <w:r w:rsidR="00AA4295" w:rsidRPr="00720BEA">
        <w:t xml:space="preserve"> a design that uses resources efficiently.</w:t>
      </w:r>
      <w:r w:rsidR="00720BEA">
        <w:t xml:space="preserve"> Hence, </w:t>
      </w:r>
      <w:r w:rsidR="00720BEA" w:rsidRPr="00720BEA">
        <w:t>we see that efficient resource usage should be one of the key design criteria.</w:t>
      </w:r>
      <w:r w:rsidR="00720BEA">
        <w:t xml:space="preserve"> </w:t>
      </w:r>
      <w:r w:rsidR="00AA4295">
        <w:t xml:space="preserve">   </w:t>
      </w:r>
    </w:p>
    <w:p w14:paraId="5AEA7B24" w14:textId="0C623A7E" w:rsidR="00AA4295" w:rsidRPr="00AA4295" w:rsidRDefault="00AA4295" w:rsidP="00AA4295">
      <w:pPr>
        <w:spacing w:after="240"/>
        <w:jc w:val="both"/>
        <w:rPr>
          <w:b/>
          <w:i/>
        </w:rPr>
      </w:pPr>
      <w:r w:rsidRPr="00AA4295">
        <w:rPr>
          <w:b/>
        </w:rPr>
        <w:t>Observation #1:</w:t>
      </w:r>
      <w:r w:rsidR="005A39A1">
        <w:rPr>
          <w:b/>
          <w:i/>
        </w:rPr>
        <w:t xml:space="preserve"> Modifications need to be considered for</w:t>
      </w:r>
      <w:r w:rsidRPr="00AA4295">
        <w:rPr>
          <w:b/>
          <w:i/>
        </w:rPr>
        <w:t xml:space="preserve"> some of the NR channels / signals to support high transmission power </w:t>
      </w:r>
      <w:r w:rsidR="00F37D24">
        <w:rPr>
          <w:b/>
          <w:i/>
        </w:rPr>
        <w:t>under P</w:t>
      </w:r>
      <w:r w:rsidR="00720BEA">
        <w:rPr>
          <w:b/>
          <w:i/>
        </w:rPr>
        <w:t>S</w:t>
      </w:r>
      <w:r w:rsidR="00F37D24">
        <w:rPr>
          <w:b/>
          <w:i/>
        </w:rPr>
        <w:t>D</w:t>
      </w:r>
      <w:r w:rsidR="00720BEA">
        <w:rPr>
          <w:b/>
          <w:i/>
        </w:rPr>
        <w:t xml:space="preserve"> limits</w:t>
      </w:r>
      <w:r w:rsidRPr="00AA4295">
        <w:rPr>
          <w:b/>
          <w:i/>
        </w:rPr>
        <w:t xml:space="preserve">. Efficient resource usage will be one of the key design criteria. </w:t>
      </w:r>
    </w:p>
    <w:p w14:paraId="1DCC745A" w14:textId="77777777" w:rsidR="008511BF" w:rsidRDefault="00AA4295" w:rsidP="00AA4295">
      <w:pPr>
        <w:spacing w:after="120"/>
        <w:jc w:val="both"/>
      </w:pPr>
      <w:r>
        <w:t xml:space="preserve">For Europe, </w:t>
      </w:r>
      <w:r w:rsidR="00456A66" w:rsidRPr="00456A66">
        <w:t>ETSI harmonized standard</w:t>
      </w:r>
      <w:r>
        <w:t>s have explicit requirements on</w:t>
      </w:r>
      <w:r w:rsidR="00456A66" w:rsidRPr="00456A66">
        <w:t xml:space="preserve"> </w:t>
      </w:r>
      <w:r>
        <w:t xml:space="preserve">the </w:t>
      </w:r>
      <w:r w:rsidR="00456A66" w:rsidRPr="00456A66">
        <w:t>occupied channel BW (OCB)</w:t>
      </w:r>
      <w:r>
        <w:t>.</w:t>
      </w:r>
      <w:r>
        <w:rPr>
          <w:lang w:val="en-US"/>
        </w:rPr>
        <w:t xml:space="preserve"> It is required that the </w:t>
      </w:r>
      <w:r>
        <w:t>o</w:t>
      </w:r>
      <w:r w:rsidR="005A7D5B" w:rsidRPr="00456A66">
        <w:t>ccupied ch</w:t>
      </w:r>
      <w:r>
        <w:t xml:space="preserve">annel BW shall be at least 80% </w:t>
      </w:r>
      <w:r w:rsidR="005A7D5B" w:rsidRPr="00456A66">
        <w:t>or 70% of Nominal Channel BW for 5 GHz and 60 GHz bands, respectively</w:t>
      </w:r>
      <w:r>
        <w:t xml:space="preserve">. </w:t>
      </w:r>
      <w:r w:rsidR="005A39A1">
        <w:t>NR channels and signals that may be transmitted alone need to be able to fulfil the OCB requirement. This means that for som</w:t>
      </w:r>
      <w:r w:rsidR="00B1719F">
        <w:t>e of the NR channels / signals new</w:t>
      </w:r>
      <w:r w:rsidR="005A39A1">
        <w:t xml:space="preserve"> wide BW variants </w:t>
      </w:r>
      <w:r w:rsidR="00B1719F">
        <w:t xml:space="preserve">fulfilling the OCB requirement </w:t>
      </w:r>
      <w:r w:rsidR="005A39A1">
        <w:t>need to be</w:t>
      </w:r>
      <w:r w:rsidR="00B1719F">
        <w:t xml:space="preserve"> designed. </w:t>
      </w:r>
    </w:p>
    <w:p w14:paraId="6741C387" w14:textId="54536166" w:rsidR="00456A66" w:rsidRPr="00313099" w:rsidRDefault="005A39A1" w:rsidP="00AA4295">
      <w:pPr>
        <w:spacing w:after="120"/>
        <w:jc w:val="both"/>
        <w:rPr>
          <w:lang w:val="en-US"/>
        </w:rPr>
      </w:pPr>
      <w:r>
        <w:t>However, it should be</w:t>
      </w:r>
      <w:r w:rsidR="00AA4295">
        <w:t xml:space="preserve"> also noted that on the 5 GHz bands the </w:t>
      </w:r>
      <w:r w:rsidR="005A7D5B" w:rsidRPr="00456A66">
        <w:t xml:space="preserve">transmission BW may temporarily be less than 80% of </w:t>
      </w:r>
      <w:r w:rsidR="00B1719F">
        <w:t>the Nominal Channel BW</w:t>
      </w:r>
      <w:r w:rsidR="00AA4295">
        <w:t xml:space="preserve"> d</w:t>
      </w:r>
      <w:r w:rsidR="00AA4295" w:rsidRPr="00456A66">
        <w:t>urin</w:t>
      </w:r>
      <w:r w:rsidR="00AA4295">
        <w:t>g a channel occupancy time</w:t>
      </w:r>
      <w:r w:rsidR="005A7D5B" w:rsidRPr="00456A66">
        <w:t>.</w:t>
      </w:r>
      <w:r w:rsidR="00B1719F">
        <w:t xml:space="preserve"> We see that the potential benefits from this allowance should be explored. For example, a wide BW variant of a NR signal may use resources less efficiently than the original Rel-15 NR signal. In such case, the wide BW variant could be used only when OCB requirement needs to be met by the signal, and more efficient Rel-15 NR signal would be used otherwise.   </w:t>
      </w:r>
      <w:r w:rsidR="005A7D5B" w:rsidRPr="00456A66">
        <w:t xml:space="preserve"> </w:t>
      </w:r>
    </w:p>
    <w:p w14:paraId="21D242A6" w14:textId="29710A07" w:rsidR="00456A66" w:rsidRPr="00AA4295" w:rsidRDefault="00AA4295" w:rsidP="00AA4295">
      <w:pPr>
        <w:spacing w:after="240"/>
        <w:jc w:val="both"/>
        <w:rPr>
          <w:b/>
          <w:i/>
        </w:rPr>
      </w:pPr>
      <w:r w:rsidRPr="00AA4295">
        <w:rPr>
          <w:b/>
        </w:rPr>
        <w:t>Observation #2:</w:t>
      </w:r>
      <w:r>
        <w:rPr>
          <w:b/>
          <w:i/>
        </w:rPr>
        <w:t xml:space="preserve"> </w:t>
      </w:r>
      <w:r w:rsidR="005A39A1">
        <w:rPr>
          <w:b/>
          <w:i/>
        </w:rPr>
        <w:t>Wide BW versions need to be designed for</w:t>
      </w:r>
      <w:r w:rsidR="00456A66" w:rsidRPr="00AA4295">
        <w:rPr>
          <w:b/>
          <w:i/>
        </w:rPr>
        <w:t xml:space="preserve"> some</w:t>
      </w:r>
      <w:r w:rsidR="005A39A1">
        <w:rPr>
          <w:b/>
          <w:i/>
        </w:rPr>
        <w:t xml:space="preserve"> of the NR</w:t>
      </w:r>
      <w:r w:rsidR="00456A66" w:rsidRPr="00AA4295">
        <w:rPr>
          <w:b/>
          <w:i/>
        </w:rPr>
        <w:t xml:space="preserve"> channels</w:t>
      </w:r>
      <w:r w:rsidR="005A39A1">
        <w:rPr>
          <w:b/>
          <w:i/>
        </w:rPr>
        <w:t xml:space="preserve"> </w:t>
      </w:r>
      <w:r w:rsidR="00456A66" w:rsidRPr="00AA4295">
        <w:rPr>
          <w:b/>
          <w:i/>
        </w:rPr>
        <w:t>/</w:t>
      </w:r>
      <w:r w:rsidR="005A39A1">
        <w:rPr>
          <w:b/>
          <w:i/>
        </w:rPr>
        <w:t xml:space="preserve"> signals to fulfil the</w:t>
      </w:r>
      <w:r w:rsidR="007F2B34">
        <w:rPr>
          <w:b/>
          <w:i/>
        </w:rPr>
        <w:t xml:space="preserve"> 70% / 80% occupied channel BW requirement</w:t>
      </w:r>
      <w:r w:rsidR="00456A66" w:rsidRPr="00AA4295">
        <w:rPr>
          <w:b/>
          <w:i/>
        </w:rPr>
        <w:t xml:space="preserve">. </w:t>
      </w:r>
      <w:r w:rsidR="005A7D5B" w:rsidRPr="00AA4295">
        <w:rPr>
          <w:b/>
          <w:i/>
        </w:rPr>
        <w:t>However, this requirement is not applicable in all cases</w:t>
      </w:r>
      <w:r w:rsidR="007F2B34">
        <w:rPr>
          <w:b/>
          <w:i/>
        </w:rPr>
        <w:t xml:space="preserve"> and </w:t>
      </w:r>
      <w:r w:rsidR="00AB04DD">
        <w:rPr>
          <w:b/>
          <w:i/>
        </w:rPr>
        <w:t>i</w:t>
      </w:r>
      <w:r w:rsidR="00C12083">
        <w:rPr>
          <w:b/>
          <w:i/>
        </w:rPr>
        <w:t>n those cases Rel</w:t>
      </w:r>
      <w:r w:rsidR="00BA711B">
        <w:rPr>
          <w:b/>
          <w:i/>
        </w:rPr>
        <w:t>-15 NR channels / signals may be used.</w:t>
      </w:r>
    </w:p>
    <w:p w14:paraId="0E0F894A" w14:textId="709A7845" w:rsidR="00073FE4" w:rsidRDefault="005A7D5B" w:rsidP="00073FE4">
      <w:pPr>
        <w:spacing w:after="120"/>
        <w:jc w:val="both"/>
      </w:pPr>
      <w:r w:rsidRPr="00456A66">
        <w:t>Co-existence</w:t>
      </w:r>
      <w:r w:rsidR="00A109CD">
        <w:t xml:space="preserve"> mechanism</w:t>
      </w:r>
      <w:r w:rsidRPr="00456A66">
        <w:t xml:space="preserve"> based on</w:t>
      </w:r>
      <w:r w:rsidR="00FD0BF3">
        <w:t xml:space="preserve"> energy-detection</w:t>
      </w:r>
      <w:r w:rsidRPr="00456A66">
        <w:t xml:space="preserve"> listen-before-talk (LBT) procedure is required in</w:t>
      </w:r>
      <w:r w:rsidR="00073FE4">
        <w:t xml:space="preserve"> some</w:t>
      </w:r>
      <w:r w:rsidRPr="00456A66">
        <w:t xml:space="preserve"> regions</w:t>
      </w:r>
      <w:r w:rsidR="00A109CD">
        <w:t xml:space="preserve"> </w:t>
      </w:r>
      <w:r w:rsidRPr="00456A66">
        <w:t>/</w:t>
      </w:r>
      <w:r w:rsidR="00A109CD">
        <w:t xml:space="preserve"> </w:t>
      </w:r>
      <w:r w:rsidRPr="00456A66">
        <w:t>bands</w:t>
      </w:r>
      <w:r w:rsidR="00A109CD">
        <w:t xml:space="preserve"> and, hence, needs to be included </w:t>
      </w:r>
      <w:r w:rsidR="00073FE4">
        <w:t>in the NR unlicensed concept</w:t>
      </w:r>
      <w:r w:rsidRPr="00456A66">
        <w:t>. </w:t>
      </w:r>
      <w:r w:rsidR="00073FE4">
        <w:t>Furt</w:t>
      </w:r>
      <w:r w:rsidR="007F2B34">
        <w:t>h</w:t>
      </w:r>
      <w:r w:rsidR="00073FE4">
        <w:t>er, beyond regulatory requirements</w:t>
      </w:r>
      <w:r w:rsidR="00A109CD">
        <w:t xml:space="preserve">, </w:t>
      </w:r>
      <w:r w:rsidR="00073FE4">
        <w:t>NR u</w:t>
      </w:r>
      <w:r w:rsidRPr="00456A66">
        <w:t xml:space="preserve">nlicensed </w:t>
      </w:r>
      <w:r w:rsidR="00073FE4">
        <w:t xml:space="preserve">SI </w:t>
      </w:r>
      <w:r w:rsidRPr="00456A66">
        <w:t xml:space="preserve">targets to operate as a “good </w:t>
      </w:r>
      <w:r w:rsidR="00073FE4">
        <w:t>neighbour” towards all legacy systems, for example,</w:t>
      </w:r>
      <w:r w:rsidRPr="00456A66">
        <w:t xml:space="preserve"> WiFi</w:t>
      </w:r>
      <w:r w:rsidR="00073FE4">
        <w:t xml:space="preserve"> variants</w:t>
      </w:r>
      <w:r w:rsidRPr="00456A66">
        <w:t xml:space="preserve"> and LTE LAA. Energy detection based LBT procedure is simple and efficient mechanism for that.</w:t>
      </w:r>
      <w:r w:rsidR="008511BF">
        <w:rPr>
          <w:lang w:val="en-US"/>
        </w:rPr>
        <w:t xml:space="preserve"> </w:t>
      </w:r>
      <w:r w:rsidR="00073FE4">
        <w:rPr>
          <w:lang w:val="en-US"/>
        </w:rPr>
        <w:t xml:space="preserve">As noted in the NR unlicensed SID, LTE LAA </w:t>
      </w:r>
      <w:r w:rsidRPr="00456A66">
        <w:t xml:space="preserve">LBT procedures offer a </w:t>
      </w:r>
      <w:r w:rsidR="00073FE4">
        <w:t>good baseline also for NR u</w:t>
      </w:r>
      <w:r w:rsidRPr="00456A66">
        <w:t>nlicensed</w:t>
      </w:r>
      <w:r w:rsidR="00073FE4">
        <w:t xml:space="preserve"> on</w:t>
      </w:r>
      <w:r w:rsidR="002C1648">
        <w:t xml:space="preserve"> the</w:t>
      </w:r>
      <w:r w:rsidR="00073FE4">
        <w:t xml:space="preserve"> 5 GHz band</w:t>
      </w:r>
      <w:r w:rsidRPr="00456A66">
        <w:t>.</w:t>
      </w:r>
    </w:p>
    <w:p w14:paraId="3FF3902C" w14:textId="7104E513" w:rsidR="007F2B34" w:rsidRPr="00013AD7" w:rsidRDefault="00FD0BF3" w:rsidP="002C1648">
      <w:pPr>
        <w:spacing w:after="120"/>
        <w:jc w:val="both"/>
      </w:pPr>
      <w:r>
        <w:t xml:space="preserve">Use of energy-detection LBT facilitates fair coexistence especially in bands where the LBT is mandated by regulations. It may be seen that fair coexistence among different systems can achieved when the channel access mechanisms of coexisting systems are rather balanced. However, LBT is not mandated on all candidate bands and regions. When coexisting with systems not using LBT but other </w:t>
      </w:r>
      <w:r w:rsidRPr="00013AD7">
        <w:t xml:space="preserve">coexistence mechanisms, like frequency hopping or duty cycle limitations, LBT turns into a disadvantage as </w:t>
      </w:r>
      <w:r w:rsidR="00AB04DD">
        <w:t xml:space="preserve">a </w:t>
      </w:r>
      <w:r w:rsidRPr="00013AD7">
        <w:t>too polite channel access mechanism preventing fair coexistence. Hence, to broaden NR unlicensed applicability to different bands</w:t>
      </w:r>
      <w:r w:rsidR="00013AD7" w:rsidRPr="00013AD7">
        <w:t xml:space="preserve"> and to </w:t>
      </w:r>
      <w:r w:rsidR="00BA711B">
        <w:t>provide</w:t>
      </w:r>
      <w:r w:rsidR="00013AD7" w:rsidRPr="00013AD7">
        <w:t xml:space="preserve"> future-proofness, we see that also other potential channel access mechanisms may be considered during the study item</w:t>
      </w:r>
      <w:r w:rsidRPr="00013AD7">
        <w:t xml:space="preserve">.   </w:t>
      </w:r>
    </w:p>
    <w:p w14:paraId="69C8679F" w14:textId="63D50D66" w:rsidR="00AB04DD" w:rsidRDefault="007F2B34" w:rsidP="00867574">
      <w:pPr>
        <w:spacing w:after="120"/>
        <w:jc w:val="both"/>
      </w:pPr>
      <w:r>
        <w:t>P</w:t>
      </w:r>
      <w:r w:rsidR="005A7D5B" w:rsidRPr="00456A66">
        <w:t>otential further enhancements for channel access mechanism ma</w:t>
      </w:r>
      <w:r>
        <w:t>y be considered</w:t>
      </w:r>
      <w:r w:rsidR="00073FE4">
        <w:t xml:space="preserve"> </w:t>
      </w:r>
      <w:r w:rsidR="005A7D5B" w:rsidRPr="00456A66">
        <w:t>during the study item.</w:t>
      </w:r>
      <w:r w:rsidR="002C1648">
        <w:t xml:space="preserve"> There exists no legacy unlicensed coexistence mechanism </w:t>
      </w:r>
      <w:r w:rsidR="00AB04DD">
        <w:t>for</w:t>
      </w:r>
      <w:r w:rsidR="002C1648">
        <w:t xml:space="preserve"> the 6 GHz band, meaning possibility for investigating new channel access mechanisms for this </w:t>
      </w:r>
      <w:r w:rsidR="002C1648" w:rsidRPr="00580AE6">
        <w:t>“greenfield”</w:t>
      </w:r>
      <w:r w:rsidR="00AB04DD">
        <w:t xml:space="preserve"> spectrum</w:t>
      </w:r>
      <w:r w:rsidR="002C1648">
        <w:t xml:space="preserve">. As a simple example, LBT </w:t>
      </w:r>
      <w:r w:rsidR="002C1648" w:rsidRPr="00867574">
        <w:t>energy detect thresholds may be re-considered from LAA.</w:t>
      </w:r>
      <w:r w:rsidR="008511BF" w:rsidRPr="00867574">
        <w:t xml:space="preserve"> </w:t>
      </w:r>
    </w:p>
    <w:p w14:paraId="1486CB68" w14:textId="05D17E23" w:rsidR="00456A66" w:rsidRDefault="00AB04DD" w:rsidP="00073FE4">
      <w:pPr>
        <w:spacing w:after="240"/>
        <w:jc w:val="both"/>
      </w:pPr>
      <w:r>
        <w:t xml:space="preserve">At 60 GHz bands, </w:t>
      </w:r>
      <w:r w:rsidR="005A7D5B" w:rsidRPr="00456A66">
        <w:t>NR unlicensed needs to co-exi</w:t>
      </w:r>
      <w:r w:rsidR="00073FE4">
        <w:t>st with 802.11ad and 802.11ay</w:t>
      </w:r>
      <w:r w:rsidR="005A7D5B" w:rsidRPr="00456A66">
        <w:t>. LBT procedure is a natural candidate for ensuring co-existence</w:t>
      </w:r>
      <w:r>
        <w:t xml:space="preserve"> there as well</w:t>
      </w:r>
      <w:r w:rsidR="005A7D5B" w:rsidRPr="00456A66">
        <w:t>.</w:t>
      </w:r>
      <w:r w:rsidR="008511BF">
        <w:rPr>
          <w:lang w:val="en-US"/>
        </w:rPr>
        <w:t xml:space="preserve"> </w:t>
      </w:r>
      <w:r w:rsidR="005A7D5B" w:rsidRPr="00456A66">
        <w:t>Use of highly directive beams becomes essential – as well as easier to implement – at higher frequencies. Incorporation of beamforming and LBT procedure brings new challenges in terms of overhead</w:t>
      </w:r>
      <w:r w:rsidR="00073FE4">
        <w:t xml:space="preserve"> </w:t>
      </w:r>
      <w:r w:rsidR="005A7D5B" w:rsidRPr="00456A66">
        <w:t>/</w:t>
      </w:r>
      <w:r w:rsidR="00073FE4">
        <w:t xml:space="preserve"> </w:t>
      </w:r>
      <w:r w:rsidR="005A7D5B" w:rsidRPr="00456A66">
        <w:lastRenderedPageBreak/>
        <w:t>latency trade-off, handling of hidden nodes, etc. Efficient channel access mechanism for highly directive beams needs to be consi</w:t>
      </w:r>
      <w:r w:rsidR="00073FE4">
        <w:t>dered when 60 GHz band is considered for NR unlicensed</w:t>
      </w:r>
      <w:r w:rsidR="005A7D5B" w:rsidRPr="00456A66">
        <w:t>.</w:t>
      </w:r>
      <w:r w:rsidR="007F2B34">
        <w:t xml:space="preserve"> Other channel access enhancement should also be investigated e.g. to improve UL access. </w:t>
      </w:r>
      <w:r w:rsidR="005A7D5B" w:rsidRPr="00456A66">
        <w:t> </w:t>
      </w:r>
    </w:p>
    <w:p w14:paraId="7EC5A549" w14:textId="58297FEB" w:rsidR="00456A66" w:rsidRPr="00456A66" w:rsidRDefault="008511BF" w:rsidP="005C3B67">
      <w:pPr>
        <w:spacing w:after="240"/>
        <w:jc w:val="both"/>
        <w:rPr>
          <w:i/>
          <w:lang w:val="en-US"/>
        </w:rPr>
      </w:pPr>
      <w:r>
        <w:rPr>
          <w:b/>
        </w:rPr>
        <w:t>Observation #3</w:t>
      </w:r>
      <w:r w:rsidRPr="008511BF">
        <w:rPr>
          <w:b/>
        </w:rPr>
        <w:t>:</w:t>
      </w:r>
      <w:r w:rsidRPr="008511BF">
        <w:rPr>
          <w:b/>
          <w:i/>
        </w:rPr>
        <w:t xml:space="preserve"> </w:t>
      </w:r>
      <w:r w:rsidR="00456A66" w:rsidRPr="008511BF">
        <w:rPr>
          <w:b/>
          <w:i/>
        </w:rPr>
        <w:t>LTE LAA LBT procedures offer good baseline solution for NR unlicensed</w:t>
      </w:r>
      <w:r w:rsidR="00BA711B">
        <w:rPr>
          <w:b/>
          <w:i/>
        </w:rPr>
        <w:t xml:space="preserve"> at least for the 5 GHz band</w:t>
      </w:r>
      <w:r w:rsidR="00456A66" w:rsidRPr="008511BF">
        <w:rPr>
          <w:b/>
          <w:i/>
        </w:rPr>
        <w:t xml:space="preserve">. </w:t>
      </w:r>
      <w:r w:rsidR="00013AD7">
        <w:rPr>
          <w:b/>
          <w:i/>
        </w:rPr>
        <w:t>O</w:t>
      </w:r>
      <w:r w:rsidR="00F37D24">
        <w:rPr>
          <w:b/>
          <w:i/>
        </w:rPr>
        <w:t xml:space="preserve">ther </w:t>
      </w:r>
      <w:r w:rsidR="00013AD7">
        <w:rPr>
          <w:b/>
          <w:i/>
        </w:rPr>
        <w:t xml:space="preserve">potential </w:t>
      </w:r>
      <w:r w:rsidR="00F37D24">
        <w:rPr>
          <w:b/>
          <w:i/>
        </w:rPr>
        <w:t>channel access mechanisms</w:t>
      </w:r>
      <w:r w:rsidR="007604E4">
        <w:rPr>
          <w:b/>
          <w:i/>
        </w:rPr>
        <w:t xml:space="preserve"> (like duty cycle limitations)</w:t>
      </w:r>
      <w:r w:rsidR="00F37D24">
        <w:rPr>
          <w:b/>
          <w:i/>
        </w:rPr>
        <w:t xml:space="preserve"> as well as</w:t>
      </w:r>
      <w:r w:rsidR="007F2B34">
        <w:rPr>
          <w:b/>
          <w:i/>
        </w:rPr>
        <w:t xml:space="preserve"> channel access</w:t>
      </w:r>
      <w:r w:rsidR="005A7D5B" w:rsidRPr="008511BF">
        <w:rPr>
          <w:b/>
          <w:i/>
        </w:rPr>
        <w:t xml:space="preserve"> enhancements may be considered during the study item</w:t>
      </w:r>
      <w:r w:rsidR="00FD0BF3">
        <w:rPr>
          <w:b/>
          <w:i/>
        </w:rPr>
        <w:t xml:space="preserve"> to broaden</w:t>
      </w:r>
      <w:r w:rsidR="00F37D24">
        <w:rPr>
          <w:b/>
          <w:i/>
        </w:rPr>
        <w:t xml:space="preserve"> NR</w:t>
      </w:r>
      <w:r w:rsidR="00FD0BF3">
        <w:rPr>
          <w:b/>
          <w:i/>
        </w:rPr>
        <w:t xml:space="preserve"> unlicensed applicability to</w:t>
      </w:r>
      <w:r w:rsidR="007604E4">
        <w:rPr>
          <w:b/>
          <w:i/>
        </w:rPr>
        <w:t xml:space="preserve"> different bands</w:t>
      </w:r>
      <w:r w:rsidR="005A7D5B" w:rsidRPr="008511BF">
        <w:rPr>
          <w:b/>
          <w:i/>
        </w:rPr>
        <w:t>.</w:t>
      </w:r>
    </w:p>
    <w:p w14:paraId="0D827FAF" w14:textId="2727E893" w:rsidR="0034111C" w:rsidRPr="00A51522" w:rsidRDefault="00AA3F51" w:rsidP="00313099">
      <w:pPr>
        <w:pStyle w:val="Heading1"/>
        <w:spacing w:after="240"/>
        <w:ind w:left="567" w:hanging="567"/>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626917E1" w14:textId="71AAC337" w:rsidR="00731B79" w:rsidRDefault="003D3FBA" w:rsidP="006060C2">
      <w:pPr>
        <w:spacing w:after="120"/>
        <w:jc w:val="both"/>
        <w:rPr>
          <w:bCs/>
        </w:rPr>
      </w:pPr>
      <w:r w:rsidRPr="00A51522">
        <w:t>In this contribution</w:t>
      </w:r>
      <w:r w:rsidR="009251C8">
        <w:t>,</w:t>
      </w:r>
      <w:r w:rsidR="0036348A">
        <w:t xml:space="preserve"> we have</w:t>
      </w:r>
      <w:r w:rsidR="0036348A">
        <w:rPr>
          <w:rFonts w:eastAsia="Times New Roman"/>
          <w:szCs w:val="24"/>
          <w:lang w:val="en-US" w:eastAsia="fi-FI"/>
        </w:rPr>
        <w:t xml:space="preserve"> considered unlicensed spectrum band candidates for </w:t>
      </w:r>
      <w:r w:rsidR="0036348A" w:rsidRPr="00A23069">
        <w:rPr>
          <w:rFonts w:eastAsia="Times New Roman"/>
          <w:szCs w:val="24"/>
          <w:lang w:val="en-US" w:eastAsia="fi-FI"/>
        </w:rPr>
        <w:t>NR unlicensed</w:t>
      </w:r>
      <w:r w:rsidR="0036348A">
        <w:rPr>
          <w:rFonts w:eastAsia="Times New Roman"/>
          <w:szCs w:val="24"/>
          <w:lang w:val="en-US" w:eastAsia="fi-FI"/>
        </w:rPr>
        <w:t xml:space="preserve"> operation</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6CDF829B" w14:textId="77777777" w:rsidR="00013AD7" w:rsidRPr="002127B2" w:rsidRDefault="00013AD7" w:rsidP="00013AD7">
      <w:pPr>
        <w:spacing w:after="240"/>
        <w:jc w:val="both"/>
        <w:rPr>
          <w:rFonts w:eastAsia="Malgun Gothic"/>
          <w:b/>
          <w:lang w:val="en-US" w:eastAsia="zh-CN"/>
        </w:rPr>
      </w:pPr>
      <w:r w:rsidRPr="002127B2">
        <w:rPr>
          <w:rFonts w:eastAsia="Malgun Gothic"/>
          <w:b/>
          <w:lang w:val="en-US" w:eastAsia="zh-CN"/>
        </w:rPr>
        <w:t xml:space="preserve">Proposal #1: </w:t>
      </w:r>
      <w:r w:rsidRPr="002127B2">
        <w:rPr>
          <w:rFonts w:eastAsia="Malgun Gothic"/>
          <w:b/>
          <w:i/>
          <w:lang w:val="en-US" w:eastAsia="zh-CN"/>
        </w:rPr>
        <w:t xml:space="preserve">5 GHz bands together with </w:t>
      </w:r>
      <w:r>
        <w:rPr>
          <w:rFonts w:eastAsia="Malgun Gothic"/>
          <w:b/>
          <w:i/>
          <w:lang w:val="en-US" w:eastAsia="zh-CN"/>
        </w:rPr>
        <w:t xml:space="preserve">potential </w:t>
      </w:r>
      <w:r w:rsidRPr="002127B2">
        <w:rPr>
          <w:rFonts w:eastAsia="Malgun Gothic"/>
          <w:b/>
          <w:i/>
          <w:lang w:val="en-US" w:eastAsia="zh-CN"/>
        </w:rPr>
        <w:t>6 GHz bands are prioritized in the NR unlicensed studie</w:t>
      </w:r>
      <w:r w:rsidRPr="002127B2">
        <w:rPr>
          <w:rFonts w:eastAsia="Malgun Gothic"/>
          <w:b/>
          <w:lang w:val="en-US" w:eastAsia="zh-CN"/>
        </w:rPr>
        <w:t>s.</w:t>
      </w:r>
    </w:p>
    <w:p w14:paraId="55A25617" w14:textId="77777777" w:rsidR="00013AD7" w:rsidRPr="00E33C47" w:rsidRDefault="00013AD7" w:rsidP="00013AD7">
      <w:pPr>
        <w:spacing w:after="240"/>
        <w:jc w:val="both"/>
        <w:rPr>
          <w:rFonts w:eastAsia="Malgun Gothic"/>
          <w:b/>
          <w:i/>
          <w:lang w:val="en-US" w:eastAsia="zh-CN"/>
        </w:rPr>
      </w:pPr>
      <w:r w:rsidRPr="002127B2">
        <w:rPr>
          <w:rFonts w:eastAsia="Malgun Gothic"/>
          <w:b/>
          <w:lang w:val="en-US" w:eastAsia="zh-CN"/>
        </w:rPr>
        <w:t>Proposal #</w:t>
      </w:r>
      <w:r>
        <w:rPr>
          <w:rFonts w:eastAsia="Malgun Gothic"/>
          <w:b/>
          <w:lang w:val="en-US" w:eastAsia="zh-CN"/>
        </w:rPr>
        <w:t>2</w:t>
      </w:r>
      <w:r w:rsidRPr="002127B2">
        <w:rPr>
          <w:rFonts w:eastAsia="Malgun Gothic"/>
          <w:b/>
          <w:lang w:val="en-US" w:eastAsia="zh-CN"/>
        </w:rPr>
        <w:t xml:space="preserve">: </w:t>
      </w:r>
      <w:r w:rsidRPr="00E33C47">
        <w:rPr>
          <w:rFonts w:eastAsia="Malgun Gothic"/>
          <w:b/>
          <w:i/>
          <w:lang w:val="en-US" w:eastAsia="zh-CN"/>
        </w:rPr>
        <w:t xml:space="preserve">60 GHz band having significant potential is considered </w:t>
      </w:r>
      <w:r>
        <w:rPr>
          <w:rFonts w:eastAsia="Malgun Gothic"/>
          <w:b/>
          <w:i/>
          <w:lang w:val="en-US" w:eastAsia="zh-CN"/>
        </w:rPr>
        <w:t xml:space="preserve">on second priority </w:t>
      </w:r>
      <w:r w:rsidRPr="00E33C47">
        <w:rPr>
          <w:rFonts w:eastAsia="Malgun Gothic"/>
          <w:b/>
          <w:i/>
          <w:lang w:val="en-US" w:eastAsia="zh-CN"/>
        </w:rPr>
        <w:t xml:space="preserve">after completing generic NR support for bands above 52.6 GHz. </w:t>
      </w:r>
    </w:p>
    <w:p w14:paraId="01ED2EC5" w14:textId="2026352C" w:rsidR="00EE518C" w:rsidRPr="00867574" w:rsidRDefault="00EE518C" w:rsidP="00013AD7">
      <w:pPr>
        <w:spacing w:after="240"/>
        <w:jc w:val="both"/>
        <w:rPr>
          <w:i/>
          <w:lang w:val="en-US"/>
        </w:rPr>
      </w:pPr>
      <w:r w:rsidRPr="006704D8">
        <w:rPr>
          <w:b/>
        </w:rPr>
        <w:t>Proposal #3:</w:t>
      </w:r>
      <w:r w:rsidRPr="006704D8">
        <w:rPr>
          <w:b/>
          <w:i/>
        </w:rPr>
        <w:t xml:space="preserve"> Aim for </w:t>
      </w:r>
      <w:r>
        <w:rPr>
          <w:b/>
          <w:i/>
        </w:rPr>
        <w:t xml:space="preserve">a </w:t>
      </w:r>
      <w:r w:rsidRPr="006704D8">
        <w:rPr>
          <w:b/>
          <w:i/>
        </w:rPr>
        <w:t>generic</w:t>
      </w:r>
      <w:r>
        <w:rPr>
          <w:b/>
          <w:i/>
        </w:rPr>
        <w:t xml:space="preserve"> and future-proof</w:t>
      </w:r>
      <w:r w:rsidRPr="006704D8">
        <w:rPr>
          <w:b/>
          <w:i/>
        </w:rPr>
        <w:t xml:space="preserve"> </w:t>
      </w:r>
      <w:r>
        <w:rPr>
          <w:b/>
          <w:i/>
        </w:rPr>
        <w:t xml:space="preserve">NR unlicensed framework </w:t>
      </w:r>
      <w:r w:rsidRPr="006704D8">
        <w:rPr>
          <w:b/>
          <w:i/>
        </w:rPr>
        <w:t>support</w:t>
      </w:r>
      <w:r>
        <w:rPr>
          <w:b/>
          <w:i/>
        </w:rPr>
        <w:t>ing spectrum access on different regulatory regions and candidate bands.</w:t>
      </w:r>
    </w:p>
    <w:p w14:paraId="21D09C5D" w14:textId="1AC1F6E4" w:rsidR="00013AD7" w:rsidRPr="00013AD7" w:rsidRDefault="00013AD7" w:rsidP="00013AD7">
      <w:pPr>
        <w:spacing w:after="240"/>
        <w:jc w:val="both"/>
        <w:rPr>
          <w:b/>
          <w:i/>
        </w:rPr>
      </w:pPr>
      <w:r w:rsidRPr="00AA4295">
        <w:rPr>
          <w:b/>
        </w:rPr>
        <w:t>Observation #1:</w:t>
      </w:r>
      <w:r>
        <w:rPr>
          <w:b/>
          <w:i/>
        </w:rPr>
        <w:t xml:space="preserve"> Modifications need to be considered for</w:t>
      </w:r>
      <w:r w:rsidRPr="00AA4295">
        <w:rPr>
          <w:b/>
          <w:i/>
        </w:rPr>
        <w:t xml:space="preserve"> some of the NR channels / signals to support high transmission power </w:t>
      </w:r>
      <w:r>
        <w:rPr>
          <w:b/>
          <w:i/>
        </w:rPr>
        <w:t>under PSD limits</w:t>
      </w:r>
      <w:r w:rsidRPr="00AA4295">
        <w:rPr>
          <w:b/>
          <w:i/>
        </w:rPr>
        <w:t xml:space="preserve">. Efficient resource usage will be one of the key design criteria. </w:t>
      </w:r>
    </w:p>
    <w:p w14:paraId="465D96D0" w14:textId="2C7416AE" w:rsidR="00EE518C" w:rsidRDefault="00EE518C" w:rsidP="00013AD7">
      <w:pPr>
        <w:spacing w:after="240"/>
        <w:jc w:val="both"/>
        <w:rPr>
          <w:b/>
          <w:i/>
        </w:rPr>
      </w:pPr>
      <w:r w:rsidRPr="00AA4295">
        <w:rPr>
          <w:b/>
        </w:rPr>
        <w:t>Observation #2:</w:t>
      </w:r>
      <w:r>
        <w:rPr>
          <w:b/>
          <w:i/>
        </w:rPr>
        <w:t xml:space="preserve"> Wide BW versions need to be designed for</w:t>
      </w:r>
      <w:r w:rsidRPr="00AA4295">
        <w:rPr>
          <w:b/>
          <w:i/>
        </w:rPr>
        <w:t xml:space="preserve"> some</w:t>
      </w:r>
      <w:r>
        <w:rPr>
          <w:b/>
          <w:i/>
        </w:rPr>
        <w:t xml:space="preserve"> of the NR</w:t>
      </w:r>
      <w:r w:rsidRPr="00AA4295">
        <w:rPr>
          <w:b/>
          <w:i/>
        </w:rPr>
        <w:t xml:space="preserve"> channels</w:t>
      </w:r>
      <w:r>
        <w:rPr>
          <w:b/>
          <w:i/>
        </w:rPr>
        <w:t xml:space="preserve"> </w:t>
      </w:r>
      <w:r w:rsidRPr="00AA4295">
        <w:rPr>
          <w:b/>
          <w:i/>
        </w:rPr>
        <w:t>/</w:t>
      </w:r>
      <w:r>
        <w:rPr>
          <w:b/>
          <w:i/>
        </w:rPr>
        <w:t xml:space="preserve"> signals to fulfil the 70% / 80% occupied channel BW requirement</w:t>
      </w:r>
      <w:r w:rsidRPr="00AA4295">
        <w:rPr>
          <w:b/>
          <w:i/>
        </w:rPr>
        <w:t>. However, this requirement is not applicable in all cases</w:t>
      </w:r>
      <w:r>
        <w:rPr>
          <w:b/>
          <w:i/>
        </w:rPr>
        <w:t xml:space="preserve"> and in those cases Rel-15 NR channels / signals may be used.</w:t>
      </w:r>
    </w:p>
    <w:p w14:paraId="1B7AAEFE" w14:textId="5DA407F9" w:rsidR="00013AD7" w:rsidRPr="00456A66" w:rsidRDefault="00013AD7" w:rsidP="00013AD7">
      <w:pPr>
        <w:spacing w:after="240"/>
        <w:jc w:val="both"/>
        <w:rPr>
          <w:i/>
          <w:lang w:val="en-US"/>
        </w:rPr>
      </w:pPr>
      <w:r>
        <w:rPr>
          <w:b/>
        </w:rPr>
        <w:t>Observation #3</w:t>
      </w:r>
      <w:r w:rsidRPr="008511BF">
        <w:rPr>
          <w:b/>
        </w:rPr>
        <w:t>:</w:t>
      </w:r>
      <w:r w:rsidRPr="008511BF">
        <w:rPr>
          <w:b/>
          <w:i/>
        </w:rPr>
        <w:t xml:space="preserve"> LTE LAA LBT procedures offer good baseline solution for NR unlicensed</w:t>
      </w:r>
      <w:r w:rsidR="005F7143">
        <w:rPr>
          <w:b/>
          <w:i/>
        </w:rPr>
        <w:t xml:space="preserve"> at least for the 5 GHz  band</w:t>
      </w:r>
      <w:r w:rsidRPr="008511BF">
        <w:rPr>
          <w:b/>
          <w:i/>
        </w:rPr>
        <w:t xml:space="preserve">. </w:t>
      </w:r>
      <w:r>
        <w:rPr>
          <w:b/>
          <w:i/>
        </w:rPr>
        <w:t>Other potential channel access mechanisms (like duty cycle limitations) as well as channel access</w:t>
      </w:r>
      <w:r w:rsidRPr="008511BF">
        <w:rPr>
          <w:b/>
          <w:i/>
        </w:rPr>
        <w:t xml:space="preserve"> enhancements may be considered during the study item</w:t>
      </w:r>
      <w:r>
        <w:rPr>
          <w:b/>
          <w:i/>
        </w:rPr>
        <w:t xml:space="preserve"> to broaden NR unlicensed applicability to different bands</w:t>
      </w:r>
      <w:r w:rsidRPr="008511BF">
        <w:rPr>
          <w:b/>
          <w:i/>
        </w:rPr>
        <w:t>.</w:t>
      </w:r>
    </w:p>
    <w:p w14:paraId="2F0729C1" w14:textId="77777777" w:rsidR="0034111C" w:rsidRPr="00A51522" w:rsidRDefault="0034111C">
      <w:pPr>
        <w:pStyle w:val="Heading1"/>
      </w:pPr>
      <w:r w:rsidRPr="00A51522">
        <w:t>References</w:t>
      </w:r>
      <w:r w:rsidR="00A2459D" w:rsidRPr="00A51522">
        <w:t xml:space="preserve"> </w:t>
      </w:r>
    </w:p>
    <w:p w14:paraId="6F74963A" w14:textId="63B8C3A0" w:rsidR="00663BF2" w:rsidRPr="0036348A" w:rsidRDefault="1CEFF1BD" w:rsidP="0036348A">
      <w:pPr>
        <w:numPr>
          <w:ilvl w:val="0"/>
          <w:numId w:val="1"/>
        </w:numPr>
        <w:rPr>
          <w:sz w:val="18"/>
          <w:szCs w:val="18"/>
        </w:rPr>
      </w:pPr>
      <w:r w:rsidRPr="1CEFF1BD">
        <w:rPr>
          <w:sz w:val="18"/>
          <w:szCs w:val="18"/>
          <w:lang w:eastAsia="zh-CN"/>
        </w:rPr>
        <w:t>RP-172021, “</w:t>
      </w:r>
      <w:r w:rsidR="009D67F2">
        <w:rPr>
          <w:i/>
          <w:iCs/>
          <w:sz w:val="18"/>
          <w:szCs w:val="18"/>
          <w:lang w:eastAsia="zh-CN"/>
        </w:rPr>
        <w:t xml:space="preserve">Revised </w:t>
      </w:r>
      <w:r w:rsidRPr="1CEFF1BD">
        <w:rPr>
          <w:i/>
          <w:iCs/>
          <w:sz w:val="18"/>
          <w:szCs w:val="18"/>
          <w:lang w:eastAsia="zh-CN"/>
        </w:rPr>
        <w:t>SID on NR-based Access to Unlicensed Spectrum</w:t>
      </w:r>
      <w:r w:rsidRPr="1CEFF1BD">
        <w:rPr>
          <w:sz w:val="18"/>
          <w:szCs w:val="18"/>
          <w:lang w:eastAsia="zh-CN"/>
        </w:rPr>
        <w:t>”, Qualcomm</w:t>
      </w:r>
    </w:p>
    <w:sectPr w:rsidR="00663BF2" w:rsidRPr="0036348A" w:rsidSect="00663EAE">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8F5A1" w14:textId="77777777" w:rsidR="005A7D5B" w:rsidRDefault="005A7D5B">
      <w:r>
        <w:separator/>
      </w:r>
    </w:p>
  </w:endnote>
  <w:endnote w:type="continuationSeparator" w:id="0">
    <w:p w14:paraId="2A197E3F" w14:textId="77777777" w:rsidR="005A7D5B" w:rsidRDefault="005A7D5B">
      <w:r>
        <w:continuationSeparator/>
      </w:r>
    </w:p>
  </w:endnote>
  <w:endnote w:type="continuationNotice" w:id="1">
    <w:p w14:paraId="20002702" w14:textId="77777777" w:rsidR="005A7D5B" w:rsidRDefault="005A7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6B10EA" w:rsidRDefault="006B1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23DCD" w14:textId="77777777" w:rsidR="005A7D5B" w:rsidRDefault="005A7D5B">
      <w:r>
        <w:separator/>
      </w:r>
    </w:p>
  </w:footnote>
  <w:footnote w:type="continuationSeparator" w:id="0">
    <w:p w14:paraId="4580720A" w14:textId="77777777" w:rsidR="005A7D5B" w:rsidRDefault="005A7D5B">
      <w:r>
        <w:continuationSeparator/>
      </w:r>
    </w:p>
  </w:footnote>
  <w:footnote w:type="continuationNotice" w:id="1">
    <w:p w14:paraId="03B73455" w14:textId="77777777" w:rsidR="005A7D5B" w:rsidRDefault="005A7D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6B10EA" w:rsidRDefault="006B1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78D6"/>
    <w:multiLevelType w:val="hybridMultilevel"/>
    <w:tmpl w:val="D754388A"/>
    <w:lvl w:ilvl="0" w:tplc="6C6C0E3E">
      <w:start w:val="1"/>
      <w:numFmt w:val="bullet"/>
      <w:lvlText w:val="•"/>
      <w:lvlJc w:val="left"/>
      <w:pPr>
        <w:tabs>
          <w:tab w:val="num" w:pos="720"/>
        </w:tabs>
        <w:ind w:left="720" w:hanging="360"/>
      </w:pPr>
      <w:rPr>
        <w:rFonts w:ascii="Arial" w:hAnsi="Arial" w:hint="default"/>
      </w:rPr>
    </w:lvl>
    <w:lvl w:ilvl="1" w:tplc="BAF85594" w:tentative="1">
      <w:start w:val="1"/>
      <w:numFmt w:val="bullet"/>
      <w:lvlText w:val="•"/>
      <w:lvlJc w:val="left"/>
      <w:pPr>
        <w:tabs>
          <w:tab w:val="num" w:pos="1440"/>
        </w:tabs>
        <w:ind w:left="1440" w:hanging="360"/>
      </w:pPr>
      <w:rPr>
        <w:rFonts w:ascii="Arial" w:hAnsi="Arial" w:hint="default"/>
      </w:rPr>
    </w:lvl>
    <w:lvl w:ilvl="2" w:tplc="952E8BF4" w:tentative="1">
      <w:start w:val="1"/>
      <w:numFmt w:val="bullet"/>
      <w:lvlText w:val="•"/>
      <w:lvlJc w:val="left"/>
      <w:pPr>
        <w:tabs>
          <w:tab w:val="num" w:pos="2160"/>
        </w:tabs>
        <w:ind w:left="2160" w:hanging="360"/>
      </w:pPr>
      <w:rPr>
        <w:rFonts w:ascii="Arial" w:hAnsi="Arial" w:hint="default"/>
      </w:rPr>
    </w:lvl>
    <w:lvl w:ilvl="3" w:tplc="ABA0BD62" w:tentative="1">
      <w:start w:val="1"/>
      <w:numFmt w:val="bullet"/>
      <w:lvlText w:val="•"/>
      <w:lvlJc w:val="left"/>
      <w:pPr>
        <w:tabs>
          <w:tab w:val="num" w:pos="2880"/>
        </w:tabs>
        <w:ind w:left="2880" w:hanging="360"/>
      </w:pPr>
      <w:rPr>
        <w:rFonts w:ascii="Arial" w:hAnsi="Arial" w:hint="default"/>
      </w:rPr>
    </w:lvl>
    <w:lvl w:ilvl="4" w:tplc="D608A1B2" w:tentative="1">
      <w:start w:val="1"/>
      <w:numFmt w:val="bullet"/>
      <w:lvlText w:val="•"/>
      <w:lvlJc w:val="left"/>
      <w:pPr>
        <w:tabs>
          <w:tab w:val="num" w:pos="3600"/>
        </w:tabs>
        <w:ind w:left="3600" w:hanging="360"/>
      </w:pPr>
      <w:rPr>
        <w:rFonts w:ascii="Arial" w:hAnsi="Arial" w:hint="default"/>
      </w:rPr>
    </w:lvl>
    <w:lvl w:ilvl="5" w:tplc="9A80ADC0" w:tentative="1">
      <w:start w:val="1"/>
      <w:numFmt w:val="bullet"/>
      <w:lvlText w:val="•"/>
      <w:lvlJc w:val="left"/>
      <w:pPr>
        <w:tabs>
          <w:tab w:val="num" w:pos="4320"/>
        </w:tabs>
        <w:ind w:left="4320" w:hanging="360"/>
      </w:pPr>
      <w:rPr>
        <w:rFonts w:ascii="Arial" w:hAnsi="Arial" w:hint="default"/>
      </w:rPr>
    </w:lvl>
    <w:lvl w:ilvl="6" w:tplc="511885DC" w:tentative="1">
      <w:start w:val="1"/>
      <w:numFmt w:val="bullet"/>
      <w:lvlText w:val="•"/>
      <w:lvlJc w:val="left"/>
      <w:pPr>
        <w:tabs>
          <w:tab w:val="num" w:pos="5040"/>
        </w:tabs>
        <w:ind w:left="5040" w:hanging="360"/>
      </w:pPr>
      <w:rPr>
        <w:rFonts w:ascii="Arial" w:hAnsi="Arial" w:hint="default"/>
      </w:rPr>
    </w:lvl>
    <w:lvl w:ilvl="7" w:tplc="DA98AF74" w:tentative="1">
      <w:start w:val="1"/>
      <w:numFmt w:val="bullet"/>
      <w:lvlText w:val="•"/>
      <w:lvlJc w:val="left"/>
      <w:pPr>
        <w:tabs>
          <w:tab w:val="num" w:pos="5760"/>
        </w:tabs>
        <w:ind w:left="5760" w:hanging="360"/>
      </w:pPr>
      <w:rPr>
        <w:rFonts w:ascii="Arial" w:hAnsi="Arial" w:hint="default"/>
      </w:rPr>
    </w:lvl>
    <w:lvl w:ilvl="8" w:tplc="6BA06E6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6603963"/>
    <w:multiLevelType w:val="hybridMultilevel"/>
    <w:tmpl w:val="B890198C"/>
    <w:lvl w:ilvl="0" w:tplc="4E50D534">
      <w:start w:val="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4456B3"/>
    <w:multiLevelType w:val="hybridMultilevel"/>
    <w:tmpl w:val="AD02BB90"/>
    <w:lvl w:ilvl="0" w:tplc="F6B644A4">
      <w:start w:val="1"/>
      <w:numFmt w:val="bullet"/>
      <w:lvlText w:val="•"/>
      <w:lvlJc w:val="left"/>
      <w:pPr>
        <w:tabs>
          <w:tab w:val="num" w:pos="720"/>
        </w:tabs>
        <w:ind w:left="720" w:hanging="360"/>
      </w:pPr>
      <w:rPr>
        <w:rFonts w:ascii="Arial" w:hAnsi="Arial" w:hint="default"/>
      </w:rPr>
    </w:lvl>
    <w:lvl w:ilvl="1" w:tplc="D88C0D84">
      <w:start w:val="1"/>
      <w:numFmt w:val="bullet"/>
      <w:lvlText w:val="•"/>
      <w:lvlJc w:val="left"/>
      <w:pPr>
        <w:tabs>
          <w:tab w:val="num" w:pos="1440"/>
        </w:tabs>
        <w:ind w:left="1440" w:hanging="360"/>
      </w:pPr>
      <w:rPr>
        <w:rFonts w:ascii="Arial" w:hAnsi="Arial" w:hint="default"/>
      </w:rPr>
    </w:lvl>
    <w:lvl w:ilvl="2" w:tplc="078C0058" w:tentative="1">
      <w:start w:val="1"/>
      <w:numFmt w:val="bullet"/>
      <w:lvlText w:val="•"/>
      <w:lvlJc w:val="left"/>
      <w:pPr>
        <w:tabs>
          <w:tab w:val="num" w:pos="2160"/>
        </w:tabs>
        <w:ind w:left="2160" w:hanging="360"/>
      </w:pPr>
      <w:rPr>
        <w:rFonts w:ascii="Arial" w:hAnsi="Arial" w:hint="default"/>
      </w:rPr>
    </w:lvl>
    <w:lvl w:ilvl="3" w:tplc="9788BE50" w:tentative="1">
      <w:start w:val="1"/>
      <w:numFmt w:val="bullet"/>
      <w:lvlText w:val="•"/>
      <w:lvlJc w:val="left"/>
      <w:pPr>
        <w:tabs>
          <w:tab w:val="num" w:pos="2880"/>
        </w:tabs>
        <w:ind w:left="2880" w:hanging="360"/>
      </w:pPr>
      <w:rPr>
        <w:rFonts w:ascii="Arial" w:hAnsi="Arial" w:hint="default"/>
      </w:rPr>
    </w:lvl>
    <w:lvl w:ilvl="4" w:tplc="7CC4D64A" w:tentative="1">
      <w:start w:val="1"/>
      <w:numFmt w:val="bullet"/>
      <w:lvlText w:val="•"/>
      <w:lvlJc w:val="left"/>
      <w:pPr>
        <w:tabs>
          <w:tab w:val="num" w:pos="3600"/>
        </w:tabs>
        <w:ind w:left="3600" w:hanging="360"/>
      </w:pPr>
      <w:rPr>
        <w:rFonts w:ascii="Arial" w:hAnsi="Arial" w:hint="default"/>
      </w:rPr>
    </w:lvl>
    <w:lvl w:ilvl="5" w:tplc="751C4184" w:tentative="1">
      <w:start w:val="1"/>
      <w:numFmt w:val="bullet"/>
      <w:lvlText w:val="•"/>
      <w:lvlJc w:val="left"/>
      <w:pPr>
        <w:tabs>
          <w:tab w:val="num" w:pos="4320"/>
        </w:tabs>
        <w:ind w:left="4320" w:hanging="360"/>
      </w:pPr>
      <w:rPr>
        <w:rFonts w:ascii="Arial" w:hAnsi="Arial" w:hint="default"/>
      </w:rPr>
    </w:lvl>
    <w:lvl w:ilvl="6" w:tplc="BE2AD0B0" w:tentative="1">
      <w:start w:val="1"/>
      <w:numFmt w:val="bullet"/>
      <w:lvlText w:val="•"/>
      <w:lvlJc w:val="left"/>
      <w:pPr>
        <w:tabs>
          <w:tab w:val="num" w:pos="5040"/>
        </w:tabs>
        <w:ind w:left="5040" w:hanging="360"/>
      </w:pPr>
      <w:rPr>
        <w:rFonts w:ascii="Arial" w:hAnsi="Arial" w:hint="default"/>
      </w:rPr>
    </w:lvl>
    <w:lvl w:ilvl="7" w:tplc="83446358" w:tentative="1">
      <w:start w:val="1"/>
      <w:numFmt w:val="bullet"/>
      <w:lvlText w:val="•"/>
      <w:lvlJc w:val="left"/>
      <w:pPr>
        <w:tabs>
          <w:tab w:val="num" w:pos="5760"/>
        </w:tabs>
        <w:ind w:left="5760" w:hanging="360"/>
      </w:pPr>
      <w:rPr>
        <w:rFonts w:ascii="Arial" w:hAnsi="Arial" w:hint="default"/>
      </w:rPr>
    </w:lvl>
    <w:lvl w:ilvl="8" w:tplc="8F0C66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07A692E"/>
    <w:multiLevelType w:val="hybridMultilevel"/>
    <w:tmpl w:val="9B802980"/>
    <w:lvl w:ilvl="0" w:tplc="80968752">
      <w:start w:val="1"/>
      <w:numFmt w:val="bullet"/>
      <w:lvlText w:val="•"/>
      <w:lvlJc w:val="left"/>
      <w:pPr>
        <w:tabs>
          <w:tab w:val="num" w:pos="720"/>
        </w:tabs>
        <w:ind w:left="720" w:hanging="360"/>
      </w:pPr>
      <w:rPr>
        <w:rFonts w:ascii="Arial" w:hAnsi="Arial" w:hint="default"/>
      </w:rPr>
    </w:lvl>
    <w:lvl w:ilvl="1" w:tplc="FC90B8BC">
      <w:start w:val="1"/>
      <w:numFmt w:val="bullet"/>
      <w:lvlText w:val="•"/>
      <w:lvlJc w:val="left"/>
      <w:pPr>
        <w:tabs>
          <w:tab w:val="num" w:pos="1440"/>
        </w:tabs>
        <w:ind w:left="1440" w:hanging="360"/>
      </w:pPr>
      <w:rPr>
        <w:rFonts w:ascii="Arial" w:hAnsi="Arial" w:hint="default"/>
      </w:rPr>
    </w:lvl>
    <w:lvl w:ilvl="2" w:tplc="9DAE9D64" w:tentative="1">
      <w:start w:val="1"/>
      <w:numFmt w:val="bullet"/>
      <w:lvlText w:val="•"/>
      <w:lvlJc w:val="left"/>
      <w:pPr>
        <w:tabs>
          <w:tab w:val="num" w:pos="2160"/>
        </w:tabs>
        <w:ind w:left="2160" w:hanging="360"/>
      </w:pPr>
      <w:rPr>
        <w:rFonts w:ascii="Arial" w:hAnsi="Arial" w:hint="default"/>
      </w:rPr>
    </w:lvl>
    <w:lvl w:ilvl="3" w:tplc="73144304" w:tentative="1">
      <w:start w:val="1"/>
      <w:numFmt w:val="bullet"/>
      <w:lvlText w:val="•"/>
      <w:lvlJc w:val="left"/>
      <w:pPr>
        <w:tabs>
          <w:tab w:val="num" w:pos="2880"/>
        </w:tabs>
        <w:ind w:left="2880" w:hanging="360"/>
      </w:pPr>
      <w:rPr>
        <w:rFonts w:ascii="Arial" w:hAnsi="Arial" w:hint="default"/>
      </w:rPr>
    </w:lvl>
    <w:lvl w:ilvl="4" w:tplc="87207756" w:tentative="1">
      <w:start w:val="1"/>
      <w:numFmt w:val="bullet"/>
      <w:lvlText w:val="•"/>
      <w:lvlJc w:val="left"/>
      <w:pPr>
        <w:tabs>
          <w:tab w:val="num" w:pos="3600"/>
        </w:tabs>
        <w:ind w:left="3600" w:hanging="360"/>
      </w:pPr>
      <w:rPr>
        <w:rFonts w:ascii="Arial" w:hAnsi="Arial" w:hint="default"/>
      </w:rPr>
    </w:lvl>
    <w:lvl w:ilvl="5" w:tplc="C28AB0D6" w:tentative="1">
      <w:start w:val="1"/>
      <w:numFmt w:val="bullet"/>
      <w:lvlText w:val="•"/>
      <w:lvlJc w:val="left"/>
      <w:pPr>
        <w:tabs>
          <w:tab w:val="num" w:pos="4320"/>
        </w:tabs>
        <w:ind w:left="4320" w:hanging="360"/>
      </w:pPr>
      <w:rPr>
        <w:rFonts w:ascii="Arial" w:hAnsi="Arial" w:hint="default"/>
      </w:rPr>
    </w:lvl>
    <w:lvl w:ilvl="6" w:tplc="B1DE3E3A" w:tentative="1">
      <w:start w:val="1"/>
      <w:numFmt w:val="bullet"/>
      <w:lvlText w:val="•"/>
      <w:lvlJc w:val="left"/>
      <w:pPr>
        <w:tabs>
          <w:tab w:val="num" w:pos="5040"/>
        </w:tabs>
        <w:ind w:left="5040" w:hanging="360"/>
      </w:pPr>
      <w:rPr>
        <w:rFonts w:ascii="Arial" w:hAnsi="Arial" w:hint="default"/>
      </w:rPr>
    </w:lvl>
    <w:lvl w:ilvl="7" w:tplc="8A1486D2" w:tentative="1">
      <w:start w:val="1"/>
      <w:numFmt w:val="bullet"/>
      <w:lvlText w:val="•"/>
      <w:lvlJc w:val="left"/>
      <w:pPr>
        <w:tabs>
          <w:tab w:val="num" w:pos="5760"/>
        </w:tabs>
        <w:ind w:left="5760" w:hanging="360"/>
      </w:pPr>
      <w:rPr>
        <w:rFonts w:ascii="Arial" w:hAnsi="Arial" w:hint="default"/>
      </w:rPr>
    </w:lvl>
    <w:lvl w:ilvl="8" w:tplc="9E90A7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35140D41"/>
    <w:multiLevelType w:val="hybridMultilevel"/>
    <w:tmpl w:val="65F2808E"/>
    <w:lvl w:ilvl="0" w:tplc="6748C686">
      <w:start w:val="1"/>
      <w:numFmt w:val="bullet"/>
      <w:lvlText w:val="-"/>
      <w:lvlJc w:val="left"/>
      <w:pPr>
        <w:tabs>
          <w:tab w:val="num" w:pos="720"/>
        </w:tabs>
        <w:ind w:left="720" w:hanging="360"/>
      </w:pPr>
      <w:rPr>
        <w:rFonts w:ascii="Times New Roman" w:hAnsi="Times New Roman" w:hint="default"/>
      </w:rPr>
    </w:lvl>
    <w:lvl w:ilvl="1" w:tplc="86088426">
      <w:start w:val="1"/>
      <w:numFmt w:val="bullet"/>
      <w:lvlText w:val="-"/>
      <w:lvlJc w:val="left"/>
      <w:pPr>
        <w:tabs>
          <w:tab w:val="num" w:pos="1440"/>
        </w:tabs>
        <w:ind w:left="1440" w:hanging="360"/>
      </w:pPr>
      <w:rPr>
        <w:rFonts w:ascii="Times New Roman" w:hAnsi="Times New Roman" w:hint="default"/>
      </w:rPr>
    </w:lvl>
    <w:lvl w:ilvl="2" w:tplc="3D067708" w:tentative="1">
      <w:start w:val="1"/>
      <w:numFmt w:val="bullet"/>
      <w:lvlText w:val="-"/>
      <w:lvlJc w:val="left"/>
      <w:pPr>
        <w:tabs>
          <w:tab w:val="num" w:pos="2160"/>
        </w:tabs>
        <w:ind w:left="2160" w:hanging="360"/>
      </w:pPr>
      <w:rPr>
        <w:rFonts w:ascii="Times New Roman" w:hAnsi="Times New Roman" w:hint="default"/>
      </w:rPr>
    </w:lvl>
    <w:lvl w:ilvl="3" w:tplc="FBE8A5D6" w:tentative="1">
      <w:start w:val="1"/>
      <w:numFmt w:val="bullet"/>
      <w:lvlText w:val="-"/>
      <w:lvlJc w:val="left"/>
      <w:pPr>
        <w:tabs>
          <w:tab w:val="num" w:pos="2880"/>
        </w:tabs>
        <w:ind w:left="2880" w:hanging="360"/>
      </w:pPr>
      <w:rPr>
        <w:rFonts w:ascii="Times New Roman" w:hAnsi="Times New Roman" w:hint="default"/>
      </w:rPr>
    </w:lvl>
    <w:lvl w:ilvl="4" w:tplc="7D1C123C" w:tentative="1">
      <w:start w:val="1"/>
      <w:numFmt w:val="bullet"/>
      <w:lvlText w:val="-"/>
      <w:lvlJc w:val="left"/>
      <w:pPr>
        <w:tabs>
          <w:tab w:val="num" w:pos="3600"/>
        </w:tabs>
        <w:ind w:left="3600" w:hanging="360"/>
      </w:pPr>
      <w:rPr>
        <w:rFonts w:ascii="Times New Roman" w:hAnsi="Times New Roman" w:hint="default"/>
      </w:rPr>
    </w:lvl>
    <w:lvl w:ilvl="5" w:tplc="DCECC406" w:tentative="1">
      <w:start w:val="1"/>
      <w:numFmt w:val="bullet"/>
      <w:lvlText w:val="-"/>
      <w:lvlJc w:val="left"/>
      <w:pPr>
        <w:tabs>
          <w:tab w:val="num" w:pos="4320"/>
        </w:tabs>
        <w:ind w:left="4320" w:hanging="360"/>
      </w:pPr>
      <w:rPr>
        <w:rFonts w:ascii="Times New Roman" w:hAnsi="Times New Roman" w:hint="default"/>
      </w:rPr>
    </w:lvl>
    <w:lvl w:ilvl="6" w:tplc="95706848" w:tentative="1">
      <w:start w:val="1"/>
      <w:numFmt w:val="bullet"/>
      <w:lvlText w:val="-"/>
      <w:lvlJc w:val="left"/>
      <w:pPr>
        <w:tabs>
          <w:tab w:val="num" w:pos="5040"/>
        </w:tabs>
        <w:ind w:left="5040" w:hanging="360"/>
      </w:pPr>
      <w:rPr>
        <w:rFonts w:ascii="Times New Roman" w:hAnsi="Times New Roman" w:hint="default"/>
      </w:rPr>
    </w:lvl>
    <w:lvl w:ilvl="7" w:tplc="12CA2FBA" w:tentative="1">
      <w:start w:val="1"/>
      <w:numFmt w:val="bullet"/>
      <w:lvlText w:val="-"/>
      <w:lvlJc w:val="left"/>
      <w:pPr>
        <w:tabs>
          <w:tab w:val="num" w:pos="5760"/>
        </w:tabs>
        <w:ind w:left="5760" w:hanging="360"/>
      </w:pPr>
      <w:rPr>
        <w:rFonts w:ascii="Times New Roman" w:hAnsi="Times New Roman" w:hint="default"/>
      </w:rPr>
    </w:lvl>
    <w:lvl w:ilvl="8" w:tplc="6F0A2B1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7CE7350"/>
    <w:multiLevelType w:val="hybridMultilevel"/>
    <w:tmpl w:val="1DDCC128"/>
    <w:lvl w:ilvl="0" w:tplc="D6122E3E">
      <w:start w:val="1"/>
      <w:numFmt w:val="bullet"/>
      <w:lvlText w:val="-"/>
      <w:lvlJc w:val="left"/>
      <w:pPr>
        <w:tabs>
          <w:tab w:val="num" w:pos="720"/>
        </w:tabs>
        <w:ind w:left="720" w:hanging="360"/>
      </w:pPr>
      <w:rPr>
        <w:rFonts w:ascii="Times New Roman" w:hAnsi="Times New Roman" w:hint="default"/>
      </w:rPr>
    </w:lvl>
    <w:lvl w:ilvl="1" w:tplc="78F82016">
      <w:start w:val="1"/>
      <w:numFmt w:val="bullet"/>
      <w:lvlText w:val="-"/>
      <w:lvlJc w:val="left"/>
      <w:pPr>
        <w:tabs>
          <w:tab w:val="num" w:pos="1440"/>
        </w:tabs>
        <w:ind w:left="1440" w:hanging="360"/>
      </w:pPr>
      <w:rPr>
        <w:rFonts w:ascii="Times New Roman" w:hAnsi="Times New Roman" w:hint="default"/>
      </w:rPr>
    </w:lvl>
    <w:lvl w:ilvl="2" w:tplc="4D4EF908" w:tentative="1">
      <w:start w:val="1"/>
      <w:numFmt w:val="bullet"/>
      <w:lvlText w:val="-"/>
      <w:lvlJc w:val="left"/>
      <w:pPr>
        <w:tabs>
          <w:tab w:val="num" w:pos="2160"/>
        </w:tabs>
        <w:ind w:left="2160" w:hanging="360"/>
      </w:pPr>
      <w:rPr>
        <w:rFonts w:ascii="Times New Roman" w:hAnsi="Times New Roman" w:hint="default"/>
      </w:rPr>
    </w:lvl>
    <w:lvl w:ilvl="3" w:tplc="4246CA0A" w:tentative="1">
      <w:start w:val="1"/>
      <w:numFmt w:val="bullet"/>
      <w:lvlText w:val="-"/>
      <w:lvlJc w:val="left"/>
      <w:pPr>
        <w:tabs>
          <w:tab w:val="num" w:pos="2880"/>
        </w:tabs>
        <w:ind w:left="2880" w:hanging="360"/>
      </w:pPr>
      <w:rPr>
        <w:rFonts w:ascii="Times New Roman" w:hAnsi="Times New Roman" w:hint="default"/>
      </w:rPr>
    </w:lvl>
    <w:lvl w:ilvl="4" w:tplc="6820FB64" w:tentative="1">
      <w:start w:val="1"/>
      <w:numFmt w:val="bullet"/>
      <w:lvlText w:val="-"/>
      <w:lvlJc w:val="left"/>
      <w:pPr>
        <w:tabs>
          <w:tab w:val="num" w:pos="3600"/>
        </w:tabs>
        <w:ind w:left="3600" w:hanging="360"/>
      </w:pPr>
      <w:rPr>
        <w:rFonts w:ascii="Times New Roman" w:hAnsi="Times New Roman" w:hint="default"/>
      </w:rPr>
    </w:lvl>
    <w:lvl w:ilvl="5" w:tplc="DE60AA5E" w:tentative="1">
      <w:start w:val="1"/>
      <w:numFmt w:val="bullet"/>
      <w:lvlText w:val="-"/>
      <w:lvlJc w:val="left"/>
      <w:pPr>
        <w:tabs>
          <w:tab w:val="num" w:pos="4320"/>
        </w:tabs>
        <w:ind w:left="4320" w:hanging="360"/>
      </w:pPr>
      <w:rPr>
        <w:rFonts w:ascii="Times New Roman" w:hAnsi="Times New Roman" w:hint="default"/>
      </w:rPr>
    </w:lvl>
    <w:lvl w:ilvl="6" w:tplc="462C54E8" w:tentative="1">
      <w:start w:val="1"/>
      <w:numFmt w:val="bullet"/>
      <w:lvlText w:val="-"/>
      <w:lvlJc w:val="left"/>
      <w:pPr>
        <w:tabs>
          <w:tab w:val="num" w:pos="5040"/>
        </w:tabs>
        <w:ind w:left="5040" w:hanging="360"/>
      </w:pPr>
      <w:rPr>
        <w:rFonts w:ascii="Times New Roman" w:hAnsi="Times New Roman" w:hint="default"/>
      </w:rPr>
    </w:lvl>
    <w:lvl w:ilvl="7" w:tplc="9B883A82" w:tentative="1">
      <w:start w:val="1"/>
      <w:numFmt w:val="bullet"/>
      <w:lvlText w:val="-"/>
      <w:lvlJc w:val="left"/>
      <w:pPr>
        <w:tabs>
          <w:tab w:val="num" w:pos="5760"/>
        </w:tabs>
        <w:ind w:left="5760" w:hanging="360"/>
      </w:pPr>
      <w:rPr>
        <w:rFonts w:ascii="Times New Roman" w:hAnsi="Times New Roman" w:hint="default"/>
      </w:rPr>
    </w:lvl>
    <w:lvl w:ilvl="8" w:tplc="FF8425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50F805CB"/>
    <w:multiLevelType w:val="hybridMultilevel"/>
    <w:tmpl w:val="F9720F98"/>
    <w:lvl w:ilvl="0" w:tplc="A9DE3968">
      <w:start w:val="1"/>
      <w:numFmt w:val="bullet"/>
      <w:lvlText w:val="•"/>
      <w:lvlJc w:val="left"/>
      <w:pPr>
        <w:tabs>
          <w:tab w:val="num" w:pos="720"/>
        </w:tabs>
        <w:ind w:left="720" w:hanging="360"/>
      </w:pPr>
      <w:rPr>
        <w:rFonts w:ascii="Arial" w:hAnsi="Arial" w:hint="default"/>
      </w:rPr>
    </w:lvl>
    <w:lvl w:ilvl="1" w:tplc="A0AC8FB0">
      <w:start w:val="1"/>
      <w:numFmt w:val="bullet"/>
      <w:lvlText w:val="•"/>
      <w:lvlJc w:val="left"/>
      <w:pPr>
        <w:tabs>
          <w:tab w:val="num" w:pos="1440"/>
        </w:tabs>
        <w:ind w:left="1440" w:hanging="360"/>
      </w:pPr>
      <w:rPr>
        <w:rFonts w:ascii="Arial" w:hAnsi="Arial" w:hint="default"/>
      </w:rPr>
    </w:lvl>
    <w:lvl w:ilvl="2" w:tplc="E4FC33B6">
      <w:numFmt w:val="bullet"/>
      <w:lvlText w:val="•"/>
      <w:lvlJc w:val="left"/>
      <w:pPr>
        <w:tabs>
          <w:tab w:val="num" w:pos="2160"/>
        </w:tabs>
        <w:ind w:left="2160" w:hanging="360"/>
      </w:pPr>
      <w:rPr>
        <w:rFonts w:ascii="Arial" w:hAnsi="Arial" w:hint="default"/>
      </w:rPr>
    </w:lvl>
    <w:lvl w:ilvl="3" w:tplc="55EA72EE" w:tentative="1">
      <w:start w:val="1"/>
      <w:numFmt w:val="bullet"/>
      <w:lvlText w:val="•"/>
      <w:lvlJc w:val="left"/>
      <w:pPr>
        <w:tabs>
          <w:tab w:val="num" w:pos="2880"/>
        </w:tabs>
        <w:ind w:left="2880" w:hanging="360"/>
      </w:pPr>
      <w:rPr>
        <w:rFonts w:ascii="Arial" w:hAnsi="Arial" w:hint="default"/>
      </w:rPr>
    </w:lvl>
    <w:lvl w:ilvl="4" w:tplc="8594DF4A" w:tentative="1">
      <w:start w:val="1"/>
      <w:numFmt w:val="bullet"/>
      <w:lvlText w:val="•"/>
      <w:lvlJc w:val="left"/>
      <w:pPr>
        <w:tabs>
          <w:tab w:val="num" w:pos="3600"/>
        </w:tabs>
        <w:ind w:left="3600" w:hanging="360"/>
      </w:pPr>
      <w:rPr>
        <w:rFonts w:ascii="Arial" w:hAnsi="Arial" w:hint="default"/>
      </w:rPr>
    </w:lvl>
    <w:lvl w:ilvl="5" w:tplc="D5745F56" w:tentative="1">
      <w:start w:val="1"/>
      <w:numFmt w:val="bullet"/>
      <w:lvlText w:val="•"/>
      <w:lvlJc w:val="left"/>
      <w:pPr>
        <w:tabs>
          <w:tab w:val="num" w:pos="4320"/>
        </w:tabs>
        <w:ind w:left="4320" w:hanging="360"/>
      </w:pPr>
      <w:rPr>
        <w:rFonts w:ascii="Arial" w:hAnsi="Arial" w:hint="default"/>
      </w:rPr>
    </w:lvl>
    <w:lvl w:ilvl="6" w:tplc="BBFC3C98" w:tentative="1">
      <w:start w:val="1"/>
      <w:numFmt w:val="bullet"/>
      <w:lvlText w:val="•"/>
      <w:lvlJc w:val="left"/>
      <w:pPr>
        <w:tabs>
          <w:tab w:val="num" w:pos="5040"/>
        </w:tabs>
        <w:ind w:left="5040" w:hanging="360"/>
      </w:pPr>
      <w:rPr>
        <w:rFonts w:ascii="Arial" w:hAnsi="Arial" w:hint="default"/>
      </w:rPr>
    </w:lvl>
    <w:lvl w:ilvl="7" w:tplc="F4EC8954" w:tentative="1">
      <w:start w:val="1"/>
      <w:numFmt w:val="bullet"/>
      <w:lvlText w:val="•"/>
      <w:lvlJc w:val="left"/>
      <w:pPr>
        <w:tabs>
          <w:tab w:val="num" w:pos="5760"/>
        </w:tabs>
        <w:ind w:left="5760" w:hanging="360"/>
      </w:pPr>
      <w:rPr>
        <w:rFonts w:ascii="Arial" w:hAnsi="Arial" w:hint="default"/>
      </w:rPr>
    </w:lvl>
    <w:lvl w:ilvl="8" w:tplc="D4B82C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49697F"/>
    <w:multiLevelType w:val="hybridMultilevel"/>
    <w:tmpl w:val="FE628806"/>
    <w:lvl w:ilvl="0" w:tplc="AE2A00EE">
      <w:start w:val="1"/>
      <w:numFmt w:val="bullet"/>
      <w:lvlText w:val="-"/>
      <w:lvlJc w:val="left"/>
      <w:pPr>
        <w:tabs>
          <w:tab w:val="num" w:pos="720"/>
        </w:tabs>
        <w:ind w:left="720" w:hanging="360"/>
      </w:pPr>
      <w:rPr>
        <w:rFonts w:ascii="Times New Roman" w:hAnsi="Times New Roman" w:hint="default"/>
      </w:rPr>
    </w:lvl>
    <w:lvl w:ilvl="1" w:tplc="FF028DC6" w:tentative="1">
      <w:start w:val="1"/>
      <w:numFmt w:val="bullet"/>
      <w:lvlText w:val="-"/>
      <w:lvlJc w:val="left"/>
      <w:pPr>
        <w:tabs>
          <w:tab w:val="num" w:pos="1440"/>
        </w:tabs>
        <w:ind w:left="1440" w:hanging="360"/>
      </w:pPr>
      <w:rPr>
        <w:rFonts w:ascii="Times New Roman" w:hAnsi="Times New Roman" w:hint="default"/>
      </w:rPr>
    </w:lvl>
    <w:lvl w:ilvl="2" w:tplc="805A76C2" w:tentative="1">
      <w:start w:val="1"/>
      <w:numFmt w:val="bullet"/>
      <w:lvlText w:val="-"/>
      <w:lvlJc w:val="left"/>
      <w:pPr>
        <w:tabs>
          <w:tab w:val="num" w:pos="2160"/>
        </w:tabs>
        <w:ind w:left="2160" w:hanging="360"/>
      </w:pPr>
      <w:rPr>
        <w:rFonts w:ascii="Times New Roman" w:hAnsi="Times New Roman" w:hint="default"/>
      </w:rPr>
    </w:lvl>
    <w:lvl w:ilvl="3" w:tplc="9208CA42" w:tentative="1">
      <w:start w:val="1"/>
      <w:numFmt w:val="bullet"/>
      <w:lvlText w:val="-"/>
      <w:lvlJc w:val="left"/>
      <w:pPr>
        <w:tabs>
          <w:tab w:val="num" w:pos="2880"/>
        </w:tabs>
        <w:ind w:left="2880" w:hanging="360"/>
      </w:pPr>
      <w:rPr>
        <w:rFonts w:ascii="Times New Roman" w:hAnsi="Times New Roman" w:hint="default"/>
      </w:rPr>
    </w:lvl>
    <w:lvl w:ilvl="4" w:tplc="BA40CC8E" w:tentative="1">
      <w:start w:val="1"/>
      <w:numFmt w:val="bullet"/>
      <w:lvlText w:val="-"/>
      <w:lvlJc w:val="left"/>
      <w:pPr>
        <w:tabs>
          <w:tab w:val="num" w:pos="3600"/>
        </w:tabs>
        <w:ind w:left="3600" w:hanging="360"/>
      </w:pPr>
      <w:rPr>
        <w:rFonts w:ascii="Times New Roman" w:hAnsi="Times New Roman" w:hint="default"/>
      </w:rPr>
    </w:lvl>
    <w:lvl w:ilvl="5" w:tplc="E1749B1E" w:tentative="1">
      <w:start w:val="1"/>
      <w:numFmt w:val="bullet"/>
      <w:lvlText w:val="-"/>
      <w:lvlJc w:val="left"/>
      <w:pPr>
        <w:tabs>
          <w:tab w:val="num" w:pos="4320"/>
        </w:tabs>
        <w:ind w:left="4320" w:hanging="360"/>
      </w:pPr>
      <w:rPr>
        <w:rFonts w:ascii="Times New Roman" w:hAnsi="Times New Roman" w:hint="default"/>
      </w:rPr>
    </w:lvl>
    <w:lvl w:ilvl="6" w:tplc="54640CF4" w:tentative="1">
      <w:start w:val="1"/>
      <w:numFmt w:val="bullet"/>
      <w:lvlText w:val="-"/>
      <w:lvlJc w:val="left"/>
      <w:pPr>
        <w:tabs>
          <w:tab w:val="num" w:pos="5040"/>
        </w:tabs>
        <w:ind w:left="5040" w:hanging="360"/>
      </w:pPr>
      <w:rPr>
        <w:rFonts w:ascii="Times New Roman" w:hAnsi="Times New Roman" w:hint="default"/>
      </w:rPr>
    </w:lvl>
    <w:lvl w:ilvl="7" w:tplc="567EB00E" w:tentative="1">
      <w:start w:val="1"/>
      <w:numFmt w:val="bullet"/>
      <w:lvlText w:val="-"/>
      <w:lvlJc w:val="left"/>
      <w:pPr>
        <w:tabs>
          <w:tab w:val="num" w:pos="5760"/>
        </w:tabs>
        <w:ind w:left="5760" w:hanging="360"/>
      </w:pPr>
      <w:rPr>
        <w:rFonts w:ascii="Times New Roman" w:hAnsi="Times New Roman" w:hint="default"/>
      </w:rPr>
    </w:lvl>
    <w:lvl w:ilvl="8" w:tplc="7FB82ED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7161F18"/>
    <w:multiLevelType w:val="hybridMultilevel"/>
    <w:tmpl w:val="194820E4"/>
    <w:lvl w:ilvl="0" w:tplc="4450146C">
      <w:start w:val="1"/>
      <w:numFmt w:val="bullet"/>
      <w:lvlText w:val="•"/>
      <w:lvlJc w:val="left"/>
      <w:pPr>
        <w:tabs>
          <w:tab w:val="num" w:pos="720"/>
        </w:tabs>
        <w:ind w:left="720" w:hanging="360"/>
      </w:pPr>
      <w:rPr>
        <w:rFonts w:ascii="Arial" w:hAnsi="Arial" w:hint="default"/>
      </w:rPr>
    </w:lvl>
    <w:lvl w:ilvl="1" w:tplc="F6D27A02" w:tentative="1">
      <w:start w:val="1"/>
      <w:numFmt w:val="bullet"/>
      <w:lvlText w:val="•"/>
      <w:lvlJc w:val="left"/>
      <w:pPr>
        <w:tabs>
          <w:tab w:val="num" w:pos="1440"/>
        </w:tabs>
        <w:ind w:left="1440" w:hanging="360"/>
      </w:pPr>
      <w:rPr>
        <w:rFonts w:ascii="Arial" w:hAnsi="Arial" w:hint="default"/>
      </w:rPr>
    </w:lvl>
    <w:lvl w:ilvl="2" w:tplc="02E4256A" w:tentative="1">
      <w:start w:val="1"/>
      <w:numFmt w:val="bullet"/>
      <w:lvlText w:val="•"/>
      <w:lvlJc w:val="left"/>
      <w:pPr>
        <w:tabs>
          <w:tab w:val="num" w:pos="2160"/>
        </w:tabs>
        <w:ind w:left="2160" w:hanging="360"/>
      </w:pPr>
      <w:rPr>
        <w:rFonts w:ascii="Arial" w:hAnsi="Arial" w:hint="default"/>
      </w:rPr>
    </w:lvl>
    <w:lvl w:ilvl="3" w:tplc="A8F4080C" w:tentative="1">
      <w:start w:val="1"/>
      <w:numFmt w:val="bullet"/>
      <w:lvlText w:val="•"/>
      <w:lvlJc w:val="left"/>
      <w:pPr>
        <w:tabs>
          <w:tab w:val="num" w:pos="2880"/>
        </w:tabs>
        <w:ind w:left="2880" w:hanging="360"/>
      </w:pPr>
      <w:rPr>
        <w:rFonts w:ascii="Arial" w:hAnsi="Arial" w:hint="default"/>
      </w:rPr>
    </w:lvl>
    <w:lvl w:ilvl="4" w:tplc="3174B410" w:tentative="1">
      <w:start w:val="1"/>
      <w:numFmt w:val="bullet"/>
      <w:lvlText w:val="•"/>
      <w:lvlJc w:val="left"/>
      <w:pPr>
        <w:tabs>
          <w:tab w:val="num" w:pos="3600"/>
        </w:tabs>
        <w:ind w:left="3600" w:hanging="360"/>
      </w:pPr>
      <w:rPr>
        <w:rFonts w:ascii="Arial" w:hAnsi="Arial" w:hint="default"/>
      </w:rPr>
    </w:lvl>
    <w:lvl w:ilvl="5" w:tplc="671E4466" w:tentative="1">
      <w:start w:val="1"/>
      <w:numFmt w:val="bullet"/>
      <w:lvlText w:val="•"/>
      <w:lvlJc w:val="left"/>
      <w:pPr>
        <w:tabs>
          <w:tab w:val="num" w:pos="4320"/>
        </w:tabs>
        <w:ind w:left="4320" w:hanging="360"/>
      </w:pPr>
      <w:rPr>
        <w:rFonts w:ascii="Arial" w:hAnsi="Arial" w:hint="default"/>
      </w:rPr>
    </w:lvl>
    <w:lvl w:ilvl="6" w:tplc="6E4AAC1C" w:tentative="1">
      <w:start w:val="1"/>
      <w:numFmt w:val="bullet"/>
      <w:lvlText w:val="•"/>
      <w:lvlJc w:val="left"/>
      <w:pPr>
        <w:tabs>
          <w:tab w:val="num" w:pos="5040"/>
        </w:tabs>
        <w:ind w:left="5040" w:hanging="360"/>
      </w:pPr>
      <w:rPr>
        <w:rFonts w:ascii="Arial" w:hAnsi="Arial" w:hint="default"/>
      </w:rPr>
    </w:lvl>
    <w:lvl w:ilvl="7" w:tplc="491C1B6A" w:tentative="1">
      <w:start w:val="1"/>
      <w:numFmt w:val="bullet"/>
      <w:lvlText w:val="•"/>
      <w:lvlJc w:val="left"/>
      <w:pPr>
        <w:tabs>
          <w:tab w:val="num" w:pos="5760"/>
        </w:tabs>
        <w:ind w:left="5760" w:hanging="360"/>
      </w:pPr>
      <w:rPr>
        <w:rFonts w:ascii="Arial" w:hAnsi="Arial" w:hint="default"/>
      </w:rPr>
    </w:lvl>
    <w:lvl w:ilvl="8" w:tplc="367E0B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63D110AB"/>
    <w:multiLevelType w:val="hybridMultilevel"/>
    <w:tmpl w:val="382AEBBC"/>
    <w:lvl w:ilvl="0" w:tplc="33C20910">
      <w:start w:val="1"/>
      <w:numFmt w:val="bullet"/>
      <w:lvlText w:val="•"/>
      <w:lvlJc w:val="left"/>
      <w:pPr>
        <w:tabs>
          <w:tab w:val="num" w:pos="720"/>
        </w:tabs>
        <w:ind w:left="720" w:hanging="360"/>
      </w:pPr>
      <w:rPr>
        <w:rFonts w:ascii="Arial" w:hAnsi="Arial" w:hint="default"/>
      </w:rPr>
    </w:lvl>
    <w:lvl w:ilvl="1" w:tplc="E6AE52CA" w:tentative="1">
      <w:start w:val="1"/>
      <w:numFmt w:val="bullet"/>
      <w:lvlText w:val="•"/>
      <w:lvlJc w:val="left"/>
      <w:pPr>
        <w:tabs>
          <w:tab w:val="num" w:pos="1440"/>
        </w:tabs>
        <w:ind w:left="1440" w:hanging="360"/>
      </w:pPr>
      <w:rPr>
        <w:rFonts w:ascii="Arial" w:hAnsi="Arial" w:hint="default"/>
      </w:rPr>
    </w:lvl>
    <w:lvl w:ilvl="2" w:tplc="795068B2" w:tentative="1">
      <w:start w:val="1"/>
      <w:numFmt w:val="bullet"/>
      <w:lvlText w:val="•"/>
      <w:lvlJc w:val="left"/>
      <w:pPr>
        <w:tabs>
          <w:tab w:val="num" w:pos="2160"/>
        </w:tabs>
        <w:ind w:left="2160" w:hanging="360"/>
      </w:pPr>
      <w:rPr>
        <w:rFonts w:ascii="Arial" w:hAnsi="Arial" w:hint="default"/>
      </w:rPr>
    </w:lvl>
    <w:lvl w:ilvl="3" w:tplc="039E3566" w:tentative="1">
      <w:start w:val="1"/>
      <w:numFmt w:val="bullet"/>
      <w:lvlText w:val="•"/>
      <w:lvlJc w:val="left"/>
      <w:pPr>
        <w:tabs>
          <w:tab w:val="num" w:pos="2880"/>
        </w:tabs>
        <w:ind w:left="2880" w:hanging="360"/>
      </w:pPr>
      <w:rPr>
        <w:rFonts w:ascii="Arial" w:hAnsi="Arial" w:hint="default"/>
      </w:rPr>
    </w:lvl>
    <w:lvl w:ilvl="4" w:tplc="E9D2A1C8" w:tentative="1">
      <w:start w:val="1"/>
      <w:numFmt w:val="bullet"/>
      <w:lvlText w:val="•"/>
      <w:lvlJc w:val="left"/>
      <w:pPr>
        <w:tabs>
          <w:tab w:val="num" w:pos="3600"/>
        </w:tabs>
        <w:ind w:left="3600" w:hanging="360"/>
      </w:pPr>
      <w:rPr>
        <w:rFonts w:ascii="Arial" w:hAnsi="Arial" w:hint="default"/>
      </w:rPr>
    </w:lvl>
    <w:lvl w:ilvl="5" w:tplc="F51CCEFE" w:tentative="1">
      <w:start w:val="1"/>
      <w:numFmt w:val="bullet"/>
      <w:lvlText w:val="•"/>
      <w:lvlJc w:val="left"/>
      <w:pPr>
        <w:tabs>
          <w:tab w:val="num" w:pos="4320"/>
        </w:tabs>
        <w:ind w:left="4320" w:hanging="360"/>
      </w:pPr>
      <w:rPr>
        <w:rFonts w:ascii="Arial" w:hAnsi="Arial" w:hint="default"/>
      </w:rPr>
    </w:lvl>
    <w:lvl w:ilvl="6" w:tplc="8BF6CD7A" w:tentative="1">
      <w:start w:val="1"/>
      <w:numFmt w:val="bullet"/>
      <w:lvlText w:val="•"/>
      <w:lvlJc w:val="left"/>
      <w:pPr>
        <w:tabs>
          <w:tab w:val="num" w:pos="5040"/>
        </w:tabs>
        <w:ind w:left="5040" w:hanging="360"/>
      </w:pPr>
      <w:rPr>
        <w:rFonts w:ascii="Arial" w:hAnsi="Arial" w:hint="default"/>
      </w:rPr>
    </w:lvl>
    <w:lvl w:ilvl="7" w:tplc="3C084852" w:tentative="1">
      <w:start w:val="1"/>
      <w:numFmt w:val="bullet"/>
      <w:lvlText w:val="•"/>
      <w:lvlJc w:val="left"/>
      <w:pPr>
        <w:tabs>
          <w:tab w:val="num" w:pos="5760"/>
        </w:tabs>
        <w:ind w:left="5760" w:hanging="360"/>
      </w:pPr>
      <w:rPr>
        <w:rFonts w:ascii="Arial" w:hAnsi="Arial" w:hint="default"/>
      </w:rPr>
    </w:lvl>
    <w:lvl w:ilvl="8" w:tplc="06D437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7"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8"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8"/>
  </w:num>
  <w:num w:numId="2">
    <w:abstractNumId w:val="22"/>
  </w:num>
  <w:num w:numId="3">
    <w:abstractNumId w:val="19"/>
  </w:num>
  <w:num w:numId="4">
    <w:abstractNumId w:val="11"/>
  </w:num>
  <w:num w:numId="5">
    <w:abstractNumId w:val="12"/>
  </w:num>
  <w:num w:numId="6">
    <w:abstractNumId w:val="15"/>
  </w:num>
  <w:num w:numId="7">
    <w:abstractNumId w:val="8"/>
  </w:num>
  <w:num w:numId="8">
    <w:abstractNumId w:val="21"/>
  </w:num>
  <w:num w:numId="9">
    <w:abstractNumId w:val="35"/>
  </w:num>
  <w:num w:numId="10">
    <w:abstractNumId w:val="28"/>
  </w:num>
  <w:num w:numId="11">
    <w:abstractNumId w:val="37"/>
  </w:num>
  <w:num w:numId="12">
    <w:abstractNumId w:val="6"/>
  </w:num>
  <w:num w:numId="13">
    <w:abstractNumId w:val="20"/>
  </w:num>
  <w:num w:numId="14">
    <w:abstractNumId w:val="25"/>
  </w:num>
  <w:num w:numId="15">
    <w:abstractNumId w:val="9"/>
  </w:num>
  <w:num w:numId="16">
    <w:abstractNumId w:val="13"/>
  </w:num>
  <w:num w:numId="17">
    <w:abstractNumId w:val="24"/>
  </w:num>
  <w:num w:numId="18">
    <w:abstractNumId w:val="38"/>
  </w:num>
  <w:num w:numId="19">
    <w:abstractNumId w:val="1"/>
  </w:num>
  <w:num w:numId="20">
    <w:abstractNumId w:val="5"/>
  </w:num>
  <w:num w:numId="21">
    <w:abstractNumId w:val="3"/>
  </w:num>
  <w:num w:numId="22">
    <w:abstractNumId w:val="32"/>
  </w:num>
  <w:num w:numId="23">
    <w:abstractNumId w:val="26"/>
  </w:num>
  <w:num w:numId="24">
    <w:abstractNumId w:val="17"/>
  </w:num>
  <w:num w:numId="25">
    <w:abstractNumId w:val="39"/>
  </w:num>
  <w:num w:numId="26">
    <w:abstractNumId w:val="33"/>
  </w:num>
  <w:num w:numId="27">
    <w:abstractNumId w:val="4"/>
  </w:num>
  <w:num w:numId="28">
    <w:abstractNumId w:val="36"/>
  </w:num>
  <w:num w:numId="29">
    <w:abstractNumId w:val="10"/>
  </w:num>
  <w:num w:numId="30">
    <w:abstractNumId w:val="2"/>
  </w:num>
  <w:num w:numId="31">
    <w:abstractNumId w:val="14"/>
  </w:num>
  <w:num w:numId="32">
    <w:abstractNumId w:val="27"/>
  </w:num>
  <w:num w:numId="33">
    <w:abstractNumId w:val="30"/>
  </w:num>
  <w:num w:numId="34">
    <w:abstractNumId w:val="0"/>
  </w:num>
  <w:num w:numId="35">
    <w:abstractNumId w:val="31"/>
  </w:num>
  <w:num w:numId="36">
    <w:abstractNumId w:val="23"/>
  </w:num>
  <w:num w:numId="37">
    <w:abstractNumId w:val="16"/>
  </w:num>
  <w:num w:numId="38">
    <w:abstractNumId w:val="34"/>
  </w:num>
  <w:num w:numId="39">
    <w:abstractNumId w:val="7"/>
  </w:num>
  <w:num w:numId="40">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AD7"/>
    <w:rsid w:val="00013F5E"/>
    <w:rsid w:val="0001403F"/>
    <w:rsid w:val="00014091"/>
    <w:rsid w:val="0001411B"/>
    <w:rsid w:val="000146BD"/>
    <w:rsid w:val="0001487F"/>
    <w:rsid w:val="00014F35"/>
    <w:rsid w:val="00015F98"/>
    <w:rsid w:val="000166AC"/>
    <w:rsid w:val="0001796D"/>
    <w:rsid w:val="00017B7F"/>
    <w:rsid w:val="00017EDA"/>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D9E"/>
    <w:rsid w:val="00064AD3"/>
    <w:rsid w:val="00065088"/>
    <w:rsid w:val="000652D3"/>
    <w:rsid w:val="000654A0"/>
    <w:rsid w:val="00067D46"/>
    <w:rsid w:val="00067FFB"/>
    <w:rsid w:val="000707CA"/>
    <w:rsid w:val="000707FF"/>
    <w:rsid w:val="0007208A"/>
    <w:rsid w:val="00072BBA"/>
    <w:rsid w:val="00072FF5"/>
    <w:rsid w:val="00073FE4"/>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978"/>
    <w:rsid w:val="000B2A11"/>
    <w:rsid w:val="000B2A5B"/>
    <w:rsid w:val="000B2B69"/>
    <w:rsid w:val="000B3B91"/>
    <w:rsid w:val="000B5AC9"/>
    <w:rsid w:val="000B5F0A"/>
    <w:rsid w:val="000C0513"/>
    <w:rsid w:val="000C1D59"/>
    <w:rsid w:val="000C2F3C"/>
    <w:rsid w:val="000C501D"/>
    <w:rsid w:val="000C74BA"/>
    <w:rsid w:val="000C7531"/>
    <w:rsid w:val="000C7C3F"/>
    <w:rsid w:val="000D0BD6"/>
    <w:rsid w:val="000D0C61"/>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33A"/>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67B1"/>
    <w:rsid w:val="00150175"/>
    <w:rsid w:val="001502C8"/>
    <w:rsid w:val="00150B49"/>
    <w:rsid w:val="0015130F"/>
    <w:rsid w:val="00153A0F"/>
    <w:rsid w:val="001540E4"/>
    <w:rsid w:val="00154DA4"/>
    <w:rsid w:val="00155464"/>
    <w:rsid w:val="00155BFD"/>
    <w:rsid w:val="00156A19"/>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4804"/>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1CF8"/>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34DA"/>
    <w:rsid w:val="001F4136"/>
    <w:rsid w:val="001F4DAC"/>
    <w:rsid w:val="001F5019"/>
    <w:rsid w:val="001F650F"/>
    <w:rsid w:val="001F673F"/>
    <w:rsid w:val="001F67AA"/>
    <w:rsid w:val="001F7599"/>
    <w:rsid w:val="00200E97"/>
    <w:rsid w:val="0020189F"/>
    <w:rsid w:val="00204B3A"/>
    <w:rsid w:val="0020535A"/>
    <w:rsid w:val="00205642"/>
    <w:rsid w:val="002061BC"/>
    <w:rsid w:val="00206955"/>
    <w:rsid w:val="002074CA"/>
    <w:rsid w:val="00207860"/>
    <w:rsid w:val="00210309"/>
    <w:rsid w:val="002127B2"/>
    <w:rsid w:val="00212FB8"/>
    <w:rsid w:val="00213709"/>
    <w:rsid w:val="002149AF"/>
    <w:rsid w:val="00214A86"/>
    <w:rsid w:val="00215AAA"/>
    <w:rsid w:val="0021683C"/>
    <w:rsid w:val="00216856"/>
    <w:rsid w:val="00221985"/>
    <w:rsid w:val="00221EC5"/>
    <w:rsid w:val="00222A7A"/>
    <w:rsid w:val="002234D9"/>
    <w:rsid w:val="00224A2C"/>
    <w:rsid w:val="002256D9"/>
    <w:rsid w:val="00225882"/>
    <w:rsid w:val="00225FFF"/>
    <w:rsid w:val="0022687C"/>
    <w:rsid w:val="002269C0"/>
    <w:rsid w:val="00226FA5"/>
    <w:rsid w:val="002272DB"/>
    <w:rsid w:val="00227353"/>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674"/>
    <w:rsid w:val="00241F82"/>
    <w:rsid w:val="00242E22"/>
    <w:rsid w:val="0024336B"/>
    <w:rsid w:val="0024424F"/>
    <w:rsid w:val="00244595"/>
    <w:rsid w:val="00244D28"/>
    <w:rsid w:val="00245720"/>
    <w:rsid w:val="00245A6F"/>
    <w:rsid w:val="00245FD5"/>
    <w:rsid w:val="002465E4"/>
    <w:rsid w:val="002477DF"/>
    <w:rsid w:val="0025066C"/>
    <w:rsid w:val="00250E05"/>
    <w:rsid w:val="00251AD6"/>
    <w:rsid w:val="00252BBC"/>
    <w:rsid w:val="00252C17"/>
    <w:rsid w:val="0025307F"/>
    <w:rsid w:val="002551BD"/>
    <w:rsid w:val="002555D3"/>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3177"/>
    <w:rsid w:val="00275074"/>
    <w:rsid w:val="002763E9"/>
    <w:rsid w:val="00276736"/>
    <w:rsid w:val="0028271A"/>
    <w:rsid w:val="00284C7E"/>
    <w:rsid w:val="00284E32"/>
    <w:rsid w:val="002851EB"/>
    <w:rsid w:val="00285510"/>
    <w:rsid w:val="00285DE2"/>
    <w:rsid w:val="0028616D"/>
    <w:rsid w:val="002865E2"/>
    <w:rsid w:val="00286965"/>
    <w:rsid w:val="002869D5"/>
    <w:rsid w:val="00286AE7"/>
    <w:rsid w:val="0029136E"/>
    <w:rsid w:val="00292399"/>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C0C4B"/>
    <w:rsid w:val="002C1648"/>
    <w:rsid w:val="002C1EEA"/>
    <w:rsid w:val="002C47AD"/>
    <w:rsid w:val="002C6034"/>
    <w:rsid w:val="002C613E"/>
    <w:rsid w:val="002C635B"/>
    <w:rsid w:val="002C7CFF"/>
    <w:rsid w:val="002D0BC6"/>
    <w:rsid w:val="002D11F7"/>
    <w:rsid w:val="002D17C5"/>
    <w:rsid w:val="002D365F"/>
    <w:rsid w:val="002D406E"/>
    <w:rsid w:val="002D4127"/>
    <w:rsid w:val="002D7C86"/>
    <w:rsid w:val="002E0692"/>
    <w:rsid w:val="002E0DF9"/>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2AE8"/>
    <w:rsid w:val="00302BB1"/>
    <w:rsid w:val="00303A23"/>
    <w:rsid w:val="00304210"/>
    <w:rsid w:val="003048D7"/>
    <w:rsid w:val="00304A1B"/>
    <w:rsid w:val="00304AD2"/>
    <w:rsid w:val="003062E6"/>
    <w:rsid w:val="003068B6"/>
    <w:rsid w:val="003071F6"/>
    <w:rsid w:val="00307FE0"/>
    <w:rsid w:val="00311C08"/>
    <w:rsid w:val="00312567"/>
    <w:rsid w:val="00312ECE"/>
    <w:rsid w:val="00313099"/>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4B59"/>
    <w:rsid w:val="00345405"/>
    <w:rsid w:val="00345447"/>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348A"/>
    <w:rsid w:val="003642A6"/>
    <w:rsid w:val="00367337"/>
    <w:rsid w:val="00367367"/>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0ECB"/>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09"/>
    <w:rsid w:val="003E1CD1"/>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6EB8"/>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F7"/>
    <w:rsid w:val="00450575"/>
    <w:rsid w:val="00453341"/>
    <w:rsid w:val="00453EF8"/>
    <w:rsid w:val="004545C6"/>
    <w:rsid w:val="00454DCA"/>
    <w:rsid w:val="00456006"/>
    <w:rsid w:val="004561C0"/>
    <w:rsid w:val="00456544"/>
    <w:rsid w:val="00456649"/>
    <w:rsid w:val="004567B7"/>
    <w:rsid w:val="00456856"/>
    <w:rsid w:val="00456A66"/>
    <w:rsid w:val="00456C0F"/>
    <w:rsid w:val="00457810"/>
    <w:rsid w:val="00461210"/>
    <w:rsid w:val="00462490"/>
    <w:rsid w:val="00462A0A"/>
    <w:rsid w:val="00465299"/>
    <w:rsid w:val="00465C91"/>
    <w:rsid w:val="00466223"/>
    <w:rsid w:val="00466A0F"/>
    <w:rsid w:val="0046795B"/>
    <w:rsid w:val="004708C0"/>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7DA8"/>
    <w:rsid w:val="004E2892"/>
    <w:rsid w:val="004E362B"/>
    <w:rsid w:val="004E3681"/>
    <w:rsid w:val="004E3D74"/>
    <w:rsid w:val="004E42AE"/>
    <w:rsid w:val="004E4E87"/>
    <w:rsid w:val="004E784B"/>
    <w:rsid w:val="004E7ED0"/>
    <w:rsid w:val="004F0224"/>
    <w:rsid w:val="004F0DB4"/>
    <w:rsid w:val="004F0E04"/>
    <w:rsid w:val="004F1EBC"/>
    <w:rsid w:val="004F20E8"/>
    <w:rsid w:val="004F2DDD"/>
    <w:rsid w:val="004F3076"/>
    <w:rsid w:val="004F3B71"/>
    <w:rsid w:val="004F3F74"/>
    <w:rsid w:val="004F4B2F"/>
    <w:rsid w:val="004F5154"/>
    <w:rsid w:val="004F5835"/>
    <w:rsid w:val="004F661C"/>
    <w:rsid w:val="004F6D99"/>
    <w:rsid w:val="004F7070"/>
    <w:rsid w:val="004F7FF6"/>
    <w:rsid w:val="00500572"/>
    <w:rsid w:val="00501304"/>
    <w:rsid w:val="00501425"/>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6AF"/>
    <w:rsid w:val="005638C1"/>
    <w:rsid w:val="0056415C"/>
    <w:rsid w:val="00564957"/>
    <w:rsid w:val="005649BF"/>
    <w:rsid w:val="005650ED"/>
    <w:rsid w:val="00565869"/>
    <w:rsid w:val="00567415"/>
    <w:rsid w:val="00567610"/>
    <w:rsid w:val="00570C3A"/>
    <w:rsid w:val="00570D9F"/>
    <w:rsid w:val="00571CA8"/>
    <w:rsid w:val="00574771"/>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9A1"/>
    <w:rsid w:val="005A3E12"/>
    <w:rsid w:val="005A423C"/>
    <w:rsid w:val="005A4904"/>
    <w:rsid w:val="005A4959"/>
    <w:rsid w:val="005A515A"/>
    <w:rsid w:val="005A6BC4"/>
    <w:rsid w:val="005A704D"/>
    <w:rsid w:val="005A7D5B"/>
    <w:rsid w:val="005B1FF6"/>
    <w:rsid w:val="005B2B51"/>
    <w:rsid w:val="005B34D4"/>
    <w:rsid w:val="005B3C6D"/>
    <w:rsid w:val="005B4045"/>
    <w:rsid w:val="005B49A7"/>
    <w:rsid w:val="005B609E"/>
    <w:rsid w:val="005B6DF6"/>
    <w:rsid w:val="005B6EA6"/>
    <w:rsid w:val="005B780E"/>
    <w:rsid w:val="005B7B7D"/>
    <w:rsid w:val="005C1948"/>
    <w:rsid w:val="005C245F"/>
    <w:rsid w:val="005C263C"/>
    <w:rsid w:val="005C2679"/>
    <w:rsid w:val="005C3524"/>
    <w:rsid w:val="005C3B67"/>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143"/>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1FA1"/>
    <w:rsid w:val="00632196"/>
    <w:rsid w:val="00633BF2"/>
    <w:rsid w:val="00633F67"/>
    <w:rsid w:val="006345C3"/>
    <w:rsid w:val="006362F9"/>
    <w:rsid w:val="006369A9"/>
    <w:rsid w:val="006373CD"/>
    <w:rsid w:val="006403AC"/>
    <w:rsid w:val="0064165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04D8"/>
    <w:rsid w:val="0067269D"/>
    <w:rsid w:val="00672988"/>
    <w:rsid w:val="00672C64"/>
    <w:rsid w:val="0067499F"/>
    <w:rsid w:val="00674E6A"/>
    <w:rsid w:val="00676A64"/>
    <w:rsid w:val="00677925"/>
    <w:rsid w:val="00680F46"/>
    <w:rsid w:val="00681FDC"/>
    <w:rsid w:val="006829E8"/>
    <w:rsid w:val="00682B53"/>
    <w:rsid w:val="00682F27"/>
    <w:rsid w:val="006839E6"/>
    <w:rsid w:val="0069011A"/>
    <w:rsid w:val="00690E2E"/>
    <w:rsid w:val="006915D7"/>
    <w:rsid w:val="006927AC"/>
    <w:rsid w:val="00692814"/>
    <w:rsid w:val="006932E7"/>
    <w:rsid w:val="00693347"/>
    <w:rsid w:val="0069334C"/>
    <w:rsid w:val="00696D63"/>
    <w:rsid w:val="006A032F"/>
    <w:rsid w:val="006A41AE"/>
    <w:rsid w:val="006A452C"/>
    <w:rsid w:val="006A4856"/>
    <w:rsid w:val="006A564B"/>
    <w:rsid w:val="006B08CF"/>
    <w:rsid w:val="006B0B29"/>
    <w:rsid w:val="006B0B90"/>
    <w:rsid w:val="006B10EA"/>
    <w:rsid w:val="006B1470"/>
    <w:rsid w:val="006B1545"/>
    <w:rsid w:val="006B2DA7"/>
    <w:rsid w:val="006B2F4D"/>
    <w:rsid w:val="006B3682"/>
    <w:rsid w:val="006B48CB"/>
    <w:rsid w:val="006B576F"/>
    <w:rsid w:val="006B5D9E"/>
    <w:rsid w:val="006C08C5"/>
    <w:rsid w:val="006C1445"/>
    <w:rsid w:val="006C3959"/>
    <w:rsid w:val="006C3B36"/>
    <w:rsid w:val="006C43E6"/>
    <w:rsid w:val="006C4FC1"/>
    <w:rsid w:val="006C51A5"/>
    <w:rsid w:val="006C529D"/>
    <w:rsid w:val="006C7CC9"/>
    <w:rsid w:val="006C7D45"/>
    <w:rsid w:val="006D0E6B"/>
    <w:rsid w:val="006D1073"/>
    <w:rsid w:val="006D1C6A"/>
    <w:rsid w:val="006D2146"/>
    <w:rsid w:val="006D632E"/>
    <w:rsid w:val="006E094A"/>
    <w:rsid w:val="006E12B1"/>
    <w:rsid w:val="006E13D1"/>
    <w:rsid w:val="006E283E"/>
    <w:rsid w:val="006E4D0C"/>
    <w:rsid w:val="006E4D1B"/>
    <w:rsid w:val="006E509A"/>
    <w:rsid w:val="006E5B78"/>
    <w:rsid w:val="006E6BA3"/>
    <w:rsid w:val="006F01EB"/>
    <w:rsid w:val="006F1116"/>
    <w:rsid w:val="006F1206"/>
    <w:rsid w:val="006F3196"/>
    <w:rsid w:val="006F3C54"/>
    <w:rsid w:val="006F4ACC"/>
    <w:rsid w:val="006F5E64"/>
    <w:rsid w:val="006F60DE"/>
    <w:rsid w:val="006F6BBD"/>
    <w:rsid w:val="006F7914"/>
    <w:rsid w:val="006F7B8B"/>
    <w:rsid w:val="006F7E46"/>
    <w:rsid w:val="007002E4"/>
    <w:rsid w:val="00700AB4"/>
    <w:rsid w:val="00700FCA"/>
    <w:rsid w:val="00701645"/>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0BEA"/>
    <w:rsid w:val="007236A3"/>
    <w:rsid w:val="007239B6"/>
    <w:rsid w:val="0072490A"/>
    <w:rsid w:val="0072517D"/>
    <w:rsid w:val="00726878"/>
    <w:rsid w:val="00727C98"/>
    <w:rsid w:val="00730D02"/>
    <w:rsid w:val="0073124A"/>
    <w:rsid w:val="007317FF"/>
    <w:rsid w:val="00731B79"/>
    <w:rsid w:val="00733093"/>
    <w:rsid w:val="00733893"/>
    <w:rsid w:val="00734A05"/>
    <w:rsid w:val="00735C6F"/>
    <w:rsid w:val="00735F4F"/>
    <w:rsid w:val="007366CF"/>
    <w:rsid w:val="007408D5"/>
    <w:rsid w:val="00741C59"/>
    <w:rsid w:val="00742B44"/>
    <w:rsid w:val="0074655A"/>
    <w:rsid w:val="007469B7"/>
    <w:rsid w:val="00753BB5"/>
    <w:rsid w:val="007547B2"/>
    <w:rsid w:val="0075660B"/>
    <w:rsid w:val="00756832"/>
    <w:rsid w:val="007604E4"/>
    <w:rsid w:val="0076266E"/>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5AC2"/>
    <w:rsid w:val="007E6999"/>
    <w:rsid w:val="007E79C5"/>
    <w:rsid w:val="007F0036"/>
    <w:rsid w:val="007F143A"/>
    <w:rsid w:val="007F2845"/>
    <w:rsid w:val="007F2B34"/>
    <w:rsid w:val="007F42AB"/>
    <w:rsid w:val="007F43BC"/>
    <w:rsid w:val="007F44D7"/>
    <w:rsid w:val="007F4740"/>
    <w:rsid w:val="007F5491"/>
    <w:rsid w:val="007F5CEB"/>
    <w:rsid w:val="008006C6"/>
    <w:rsid w:val="00800C52"/>
    <w:rsid w:val="00800DC4"/>
    <w:rsid w:val="0080153E"/>
    <w:rsid w:val="0080742D"/>
    <w:rsid w:val="00807C5A"/>
    <w:rsid w:val="008100AC"/>
    <w:rsid w:val="0081151E"/>
    <w:rsid w:val="00812498"/>
    <w:rsid w:val="0081263E"/>
    <w:rsid w:val="008127E6"/>
    <w:rsid w:val="0081336E"/>
    <w:rsid w:val="00813928"/>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7885"/>
    <w:rsid w:val="00850413"/>
    <w:rsid w:val="008506E1"/>
    <w:rsid w:val="008511BF"/>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6A11"/>
    <w:rsid w:val="00867574"/>
    <w:rsid w:val="00867651"/>
    <w:rsid w:val="00870D04"/>
    <w:rsid w:val="0087121B"/>
    <w:rsid w:val="008714B6"/>
    <w:rsid w:val="008714DB"/>
    <w:rsid w:val="008743F3"/>
    <w:rsid w:val="0087444A"/>
    <w:rsid w:val="00875139"/>
    <w:rsid w:val="00875410"/>
    <w:rsid w:val="00875659"/>
    <w:rsid w:val="00876C27"/>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52D1"/>
    <w:rsid w:val="008A6D62"/>
    <w:rsid w:val="008B13E9"/>
    <w:rsid w:val="008B3B51"/>
    <w:rsid w:val="008B4057"/>
    <w:rsid w:val="008B4145"/>
    <w:rsid w:val="008B4CAC"/>
    <w:rsid w:val="008B5290"/>
    <w:rsid w:val="008B68D1"/>
    <w:rsid w:val="008C2B64"/>
    <w:rsid w:val="008C2CFD"/>
    <w:rsid w:val="008C3E9C"/>
    <w:rsid w:val="008C57D6"/>
    <w:rsid w:val="008C603A"/>
    <w:rsid w:val="008C71C8"/>
    <w:rsid w:val="008D167D"/>
    <w:rsid w:val="008D261F"/>
    <w:rsid w:val="008D2B53"/>
    <w:rsid w:val="008D492A"/>
    <w:rsid w:val="008D4B58"/>
    <w:rsid w:val="008D4B8A"/>
    <w:rsid w:val="008D6541"/>
    <w:rsid w:val="008D7D7B"/>
    <w:rsid w:val="008E0F52"/>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36BC"/>
    <w:rsid w:val="00905C47"/>
    <w:rsid w:val="00906379"/>
    <w:rsid w:val="0090638B"/>
    <w:rsid w:val="00906393"/>
    <w:rsid w:val="009101EA"/>
    <w:rsid w:val="009106FC"/>
    <w:rsid w:val="0091090F"/>
    <w:rsid w:val="00911896"/>
    <w:rsid w:val="009118BB"/>
    <w:rsid w:val="0091191F"/>
    <w:rsid w:val="00913187"/>
    <w:rsid w:val="00913F7F"/>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411FB"/>
    <w:rsid w:val="009414A9"/>
    <w:rsid w:val="009419F2"/>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4C6"/>
    <w:rsid w:val="009C19F5"/>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67F2"/>
    <w:rsid w:val="009D79F4"/>
    <w:rsid w:val="009E31A3"/>
    <w:rsid w:val="009E3CD1"/>
    <w:rsid w:val="009E5988"/>
    <w:rsid w:val="009E5AF5"/>
    <w:rsid w:val="009E5EB5"/>
    <w:rsid w:val="009E623F"/>
    <w:rsid w:val="009E74F0"/>
    <w:rsid w:val="009F0768"/>
    <w:rsid w:val="009F12F3"/>
    <w:rsid w:val="009F7867"/>
    <w:rsid w:val="009F7D66"/>
    <w:rsid w:val="00A00BD2"/>
    <w:rsid w:val="00A00E56"/>
    <w:rsid w:val="00A027F3"/>
    <w:rsid w:val="00A02FAD"/>
    <w:rsid w:val="00A03978"/>
    <w:rsid w:val="00A05DF3"/>
    <w:rsid w:val="00A0670C"/>
    <w:rsid w:val="00A07E08"/>
    <w:rsid w:val="00A109CD"/>
    <w:rsid w:val="00A12798"/>
    <w:rsid w:val="00A1489F"/>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1D75"/>
    <w:rsid w:val="00A42D07"/>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3F51"/>
    <w:rsid w:val="00AA4295"/>
    <w:rsid w:val="00AA4AE2"/>
    <w:rsid w:val="00AA51AD"/>
    <w:rsid w:val="00AA591E"/>
    <w:rsid w:val="00AA65C9"/>
    <w:rsid w:val="00AA7A24"/>
    <w:rsid w:val="00AB04DD"/>
    <w:rsid w:val="00AB0A32"/>
    <w:rsid w:val="00AB0E56"/>
    <w:rsid w:val="00AB26C0"/>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41D"/>
    <w:rsid w:val="00AD7C95"/>
    <w:rsid w:val="00AE0960"/>
    <w:rsid w:val="00AE1257"/>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EC6"/>
    <w:rsid w:val="00AF6E8A"/>
    <w:rsid w:val="00AF71D9"/>
    <w:rsid w:val="00AF7213"/>
    <w:rsid w:val="00AF7D92"/>
    <w:rsid w:val="00B011CC"/>
    <w:rsid w:val="00B01A0B"/>
    <w:rsid w:val="00B04048"/>
    <w:rsid w:val="00B04F3D"/>
    <w:rsid w:val="00B0519F"/>
    <w:rsid w:val="00B056DF"/>
    <w:rsid w:val="00B05702"/>
    <w:rsid w:val="00B06DD9"/>
    <w:rsid w:val="00B07CD6"/>
    <w:rsid w:val="00B07E52"/>
    <w:rsid w:val="00B10010"/>
    <w:rsid w:val="00B11775"/>
    <w:rsid w:val="00B11AFC"/>
    <w:rsid w:val="00B12660"/>
    <w:rsid w:val="00B1302D"/>
    <w:rsid w:val="00B13B77"/>
    <w:rsid w:val="00B149A6"/>
    <w:rsid w:val="00B14DC2"/>
    <w:rsid w:val="00B1513F"/>
    <w:rsid w:val="00B15B31"/>
    <w:rsid w:val="00B15B89"/>
    <w:rsid w:val="00B1719F"/>
    <w:rsid w:val="00B1746F"/>
    <w:rsid w:val="00B17EA8"/>
    <w:rsid w:val="00B20725"/>
    <w:rsid w:val="00B20B94"/>
    <w:rsid w:val="00B21DB5"/>
    <w:rsid w:val="00B22CD3"/>
    <w:rsid w:val="00B2506B"/>
    <w:rsid w:val="00B2628E"/>
    <w:rsid w:val="00B266B0"/>
    <w:rsid w:val="00B27921"/>
    <w:rsid w:val="00B3000E"/>
    <w:rsid w:val="00B326A8"/>
    <w:rsid w:val="00B329EB"/>
    <w:rsid w:val="00B33330"/>
    <w:rsid w:val="00B33508"/>
    <w:rsid w:val="00B3377E"/>
    <w:rsid w:val="00B35BC9"/>
    <w:rsid w:val="00B35DA4"/>
    <w:rsid w:val="00B36B65"/>
    <w:rsid w:val="00B40A96"/>
    <w:rsid w:val="00B4184B"/>
    <w:rsid w:val="00B422A7"/>
    <w:rsid w:val="00B42A32"/>
    <w:rsid w:val="00B42FA6"/>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5C58"/>
    <w:rsid w:val="00B869DF"/>
    <w:rsid w:val="00B90E2A"/>
    <w:rsid w:val="00B90F2A"/>
    <w:rsid w:val="00B9198D"/>
    <w:rsid w:val="00B93008"/>
    <w:rsid w:val="00B9406D"/>
    <w:rsid w:val="00B944C0"/>
    <w:rsid w:val="00B94BA7"/>
    <w:rsid w:val="00B94BE9"/>
    <w:rsid w:val="00B94E0E"/>
    <w:rsid w:val="00B97CA3"/>
    <w:rsid w:val="00BA143E"/>
    <w:rsid w:val="00BA3D7B"/>
    <w:rsid w:val="00BA4F1F"/>
    <w:rsid w:val="00BA711B"/>
    <w:rsid w:val="00BA76A9"/>
    <w:rsid w:val="00BB3E2B"/>
    <w:rsid w:val="00BB5043"/>
    <w:rsid w:val="00BB5D1C"/>
    <w:rsid w:val="00BB6552"/>
    <w:rsid w:val="00BB6B9B"/>
    <w:rsid w:val="00BB754F"/>
    <w:rsid w:val="00BC07D4"/>
    <w:rsid w:val="00BC0A5D"/>
    <w:rsid w:val="00BC0BE3"/>
    <w:rsid w:val="00BC1AD9"/>
    <w:rsid w:val="00BC32E7"/>
    <w:rsid w:val="00BC478E"/>
    <w:rsid w:val="00BC58B9"/>
    <w:rsid w:val="00BC6A49"/>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F0BD4"/>
    <w:rsid w:val="00BF0CCF"/>
    <w:rsid w:val="00BF0FC5"/>
    <w:rsid w:val="00BF10BC"/>
    <w:rsid w:val="00BF21AC"/>
    <w:rsid w:val="00BF2E53"/>
    <w:rsid w:val="00BF3133"/>
    <w:rsid w:val="00BF3669"/>
    <w:rsid w:val="00BF3C0D"/>
    <w:rsid w:val="00BF711C"/>
    <w:rsid w:val="00BF7C74"/>
    <w:rsid w:val="00C00ED8"/>
    <w:rsid w:val="00C02367"/>
    <w:rsid w:val="00C02E65"/>
    <w:rsid w:val="00C03309"/>
    <w:rsid w:val="00C067D5"/>
    <w:rsid w:val="00C072FE"/>
    <w:rsid w:val="00C12083"/>
    <w:rsid w:val="00C12E39"/>
    <w:rsid w:val="00C1339A"/>
    <w:rsid w:val="00C14164"/>
    <w:rsid w:val="00C15D8E"/>
    <w:rsid w:val="00C17012"/>
    <w:rsid w:val="00C178FB"/>
    <w:rsid w:val="00C206C9"/>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38F"/>
    <w:rsid w:val="00C61D4B"/>
    <w:rsid w:val="00C62B0A"/>
    <w:rsid w:val="00C637DF"/>
    <w:rsid w:val="00C63F08"/>
    <w:rsid w:val="00C640FE"/>
    <w:rsid w:val="00C6528C"/>
    <w:rsid w:val="00C655E5"/>
    <w:rsid w:val="00C661E8"/>
    <w:rsid w:val="00C6648F"/>
    <w:rsid w:val="00C66E37"/>
    <w:rsid w:val="00C70084"/>
    <w:rsid w:val="00C70C3C"/>
    <w:rsid w:val="00C7235B"/>
    <w:rsid w:val="00C72E18"/>
    <w:rsid w:val="00C731AD"/>
    <w:rsid w:val="00C73553"/>
    <w:rsid w:val="00C7380B"/>
    <w:rsid w:val="00C74421"/>
    <w:rsid w:val="00C7542D"/>
    <w:rsid w:val="00C75F2F"/>
    <w:rsid w:val="00C75FEE"/>
    <w:rsid w:val="00C76F1D"/>
    <w:rsid w:val="00C77D26"/>
    <w:rsid w:val="00C80BDF"/>
    <w:rsid w:val="00C82A97"/>
    <w:rsid w:val="00C84D39"/>
    <w:rsid w:val="00C85277"/>
    <w:rsid w:val="00C8562B"/>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7F5"/>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2BF9"/>
    <w:rsid w:val="00CF301E"/>
    <w:rsid w:val="00CF393D"/>
    <w:rsid w:val="00CF4ABD"/>
    <w:rsid w:val="00CF4BC8"/>
    <w:rsid w:val="00CF5A53"/>
    <w:rsid w:val="00CF5D28"/>
    <w:rsid w:val="00CF6942"/>
    <w:rsid w:val="00CF6F1E"/>
    <w:rsid w:val="00D001F9"/>
    <w:rsid w:val="00D0036E"/>
    <w:rsid w:val="00D00BB7"/>
    <w:rsid w:val="00D01EAD"/>
    <w:rsid w:val="00D035B9"/>
    <w:rsid w:val="00D04875"/>
    <w:rsid w:val="00D060FF"/>
    <w:rsid w:val="00D064E8"/>
    <w:rsid w:val="00D06572"/>
    <w:rsid w:val="00D065CD"/>
    <w:rsid w:val="00D06A32"/>
    <w:rsid w:val="00D07D93"/>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3433"/>
    <w:rsid w:val="00D3462C"/>
    <w:rsid w:val="00D35198"/>
    <w:rsid w:val="00D3584B"/>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036"/>
    <w:rsid w:val="00D518FF"/>
    <w:rsid w:val="00D51A77"/>
    <w:rsid w:val="00D52751"/>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2FF"/>
    <w:rsid w:val="00D758B3"/>
    <w:rsid w:val="00D76ADC"/>
    <w:rsid w:val="00D77413"/>
    <w:rsid w:val="00D80F4C"/>
    <w:rsid w:val="00D81F10"/>
    <w:rsid w:val="00D8201E"/>
    <w:rsid w:val="00D82E0A"/>
    <w:rsid w:val="00D84A57"/>
    <w:rsid w:val="00D84C3B"/>
    <w:rsid w:val="00D874DF"/>
    <w:rsid w:val="00D87A12"/>
    <w:rsid w:val="00D90C06"/>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3DC"/>
    <w:rsid w:val="00DD0F95"/>
    <w:rsid w:val="00DD1C4B"/>
    <w:rsid w:val="00DD1F7B"/>
    <w:rsid w:val="00DD229E"/>
    <w:rsid w:val="00DD3029"/>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02E"/>
    <w:rsid w:val="00DF3B76"/>
    <w:rsid w:val="00DF4359"/>
    <w:rsid w:val="00DF4D53"/>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16FEE"/>
    <w:rsid w:val="00E20CCC"/>
    <w:rsid w:val="00E239D1"/>
    <w:rsid w:val="00E26727"/>
    <w:rsid w:val="00E26970"/>
    <w:rsid w:val="00E27791"/>
    <w:rsid w:val="00E30F2D"/>
    <w:rsid w:val="00E313D4"/>
    <w:rsid w:val="00E319DB"/>
    <w:rsid w:val="00E31AFC"/>
    <w:rsid w:val="00E33B0B"/>
    <w:rsid w:val="00E33C47"/>
    <w:rsid w:val="00E3409E"/>
    <w:rsid w:val="00E34F76"/>
    <w:rsid w:val="00E372D9"/>
    <w:rsid w:val="00E37BE5"/>
    <w:rsid w:val="00E41A27"/>
    <w:rsid w:val="00E4285A"/>
    <w:rsid w:val="00E430C7"/>
    <w:rsid w:val="00E45832"/>
    <w:rsid w:val="00E4608B"/>
    <w:rsid w:val="00E469B2"/>
    <w:rsid w:val="00E501D3"/>
    <w:rsid w:val="00E53A01"/>
    <w:rsid w:val="00E54961"/>
    <w:rsid w:val="00E564C4"/>
    <w:rsid w:val="00E567C9"/>
    <w:rsid w:val="00E604C4"/>
    <w:rsid w:val="00E60809"/>
    <w:rsid w:val="00E60991"/>
    <w:rsid w:val="00E61300"/>
    <w:rsid w:val="00E614F2"/>
    <w:rsid w:val="00E635B9"/>
    <w:rsid w:val="00E65D15"/>
    <w:rsid w:val="00E66C49"/>
    <w:rsid w:val="00E67EE5"/>
    <w:rsid w:val="00E7013A"/>
    <w:rsid w:val="00E74F5D"/>
    <w:rsid w:val="00E76034"/>
    <w:rsid w:val="00E80440"/>
    <w:rsid w:val="00E80515"/>
    <w:rsid w:val="00E81752"/>
    <w:rsid w:val="00E817E0"/>
    <w:rsid w:val="00E819FB"/>
    <w:rsid w:val="00E82A28"/>
    <w:rsid w:val="00E82B3D"/>
    <w:rsid w:val="00E82EE4"/>
    <w:rsid w:val="00E831E7"/>
    <w:rsid w:val="00E843B5"/>
    <w:rsid w:val="00E84A3B"/>
    <w:rsid w:val="00E85307"/>
    <w:rsid w:val="00E87E13"/>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20B0"/>
    <w:rsid w:val="00EA26BD"/>
    <w:rsid w:val="00EA4A75"/>
    <w:rsid w:val="00EA4A9D"/>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1688"/>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6D4A"/>
    <w:rsid w:val="00ED6E42"/>
    <w:rsid w:val="00ED738C"/>
    <w:rsid w:val="00ED7918"/>
    <w:rsid w:val="00ED7FD3"/>
    <w:rsid w:val="00EE078B"/>
    <w:rsid w:val="00EE3663"/>
    <w:rsid w:val="00EE41C4"/>
    <w:rsid w:val="00EE4A40"/>
    <w:rsid w:val="00EE518C"/>
    <w:rsid w:val="00EE76A9"/>
    <w:rsid w:val="00EE799E"/>
    <w:rsid w:val="00EE7C7E"/>
    <w:rsid w:val="00EE7CA8"/>
    <w:rsid w:val="00EE7FA7"/>
    <w:rsid w:val="00EF1093"/>
    <w:rsid w:val="00EF1FCB"/>
    <w:rsid w:val="00EF21C3"/>
    <w:rsid w:val="00EF2E6B"/>
    <w:rsid w:val="00EF58AE"/>
    <w:rsid w:val="00EF6091"/>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5F7"/>
    <w:rsid w:val="00F27C15"/>
    <w:rsid w:val="00F27FA6"/>
    <w:rsid w:val="00F33DC8"/>
    <w:rsid w:val="00F34350"/>
    <w:rsid w:val="00F34444"/>
    <w:rsid w:val="00F34F36"/>
    <w:rsid w:val="00F360A6"/>
    <w:rsid w:val="00F36F33"/>
    <w:rsid w:val="00F37D24"/>
    <w:rsid w:val="00F4065A"/>
    <w:rsid w:val="00F40F19"/>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2E3"/>
    <w:rsid w:val="00F82866"/>
    <w:rsid w:val="00F84421"/>
    <w:rsid w:val="00F8449B"/>
    <w:rsid w:val="00F84D8D"/>
    <w:rsid w:val="00F85691"/>
    <w:rsid w:val="00F87032"/>
    <w:rsid w:val="00F87094"/>
    <w:rsid w:val="00F87AB3"/>
    <w:rsid w:val="00F913DC"/>
    <w:rsid w:val="00F91DDA"/>
    <w:rsid w:val="00F9397A"/>
    <w:rsid w:val="00F93A37"/>
    <w:rsid w:val="00F94182"/>
    <w:rsid w:val="00F944D9"/>
    <w:rsid w:val="00F94DB3"/>
    <w:rsid w:val="00F9606C"/>
    <w:rsid w:val="00F96500"/>
    <w:rsid w:val="00FA2C70"/>
    <w:rsid w:val="00FA394B"/>
    <w:rsid w:val="00FA3F80"/>
    <w:rsid w:val="00FA413A"/>
    <w:rsid w:val="00FA4144"/>
    <w:rsid w:val="00FA47ED"/>
    <w:rsid w:val="00FA4DDF"/>
    <w:rsid w:val="00FA68DC"/>
    <w:rsid w:val="00FA6E7F"/>
    <w:rsid w:val="00FA7114"/>
    <w:rsid w:val="00FB0826"/>
    <w:rsid w:val="00FB2379"/>
    <w:rsid w:val="00FB4B8A"/>
    <w:rsid w:val="00FB5152"/>
    <w:rsid w:val="00FB59FD"/>
    <w:rsid w:val="00FB680E"/>
    <w:rsid w:val="00FC0065"/>
    <w:rsid w:val="00FC3AEE"/>
    <w:rsid w:val="00FC6109"/>
    <w:rsid w:val="00FC6238"/>
    <w:rsid w:val="00FC78AD"/>
    <w:rsid w:val="00FD0BF3"/>
    <w:rsid w:val="00FD0D7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FDC08DB"/>
    <w:rsid w:val="17124F94"/>
    <w:rsid w:val="1CEFF1BD"/>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table" w:customStyle="1" w:styleId="TableGrid1">
    <w:name w:val="Table Grid1"/>
    <w:basedOn w:val="TableNormal"/>
    <w:next w:val="TableGrid"/>
    <w:uiPriority w:val="59"/>
    <w:rsid w:val="00D33433"/>
    <w:rPr>
      <w:rFonts w:ascii="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83005366">
      <w:bodyDiv w:val="1"/>
      <w:marLeft w:val="0"/>
      <w:marRight w:val="0"/>
      <w:marTop w:val="0"/>
      <w:marBottom w:val="0"/>
      <w:divBdr>
        <w:top w:val="none" w:sz="0" w:space="0" w:color="auto"/>
        <w:left w:val="none" w:sz="0" w:space="0" w:color="auto"/>
        <w:bottom w:val="none" w:sz="0" w:space="0" w:color="auto"/>
        <w:right w:val="none" w:sz="0" w:space="0" w:color="auto"/>
      </w:divBdr>
      <w:divsChild>
        <w:div w:id="6492096">
          <w:marLeft w:val="274"/>
          <w:marRight w:val="0"/>
          <w:marTop w:val="0"/>
          <w:marBottom w:val="6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56606">
      <w:bodyDiv w:val="1"/>
      <w:marLeft w:val="0"/>
      <w:marRight w:val="0"/>
      <w:marTop w:val="0"/>
      <w:marBottom w:val="0"/>
      <w:divBdr>
        <w:top w:val="none" w:sz="0" w:space="0" w:color="auto"/>
        <w:left w:val="none" w:sz="0" w:space="0" w:color="auto"/>
        <w:bottom w:val="none" w:sz="0" w:space="0" w:color="auto"/>
        <w:right w:val="none" w:sz="0" w:space="0" w:color="auto"/>
      </w:divBdr>
      <w:divsChild>
        <w:div w:id="1020474359">
          <w:marLeft w:val="994"/>
          <w:marRight w:val="0"/>
          <w:marTop w:val="0"/>
          <w:marBottom w:val="120"/>
          <w:divBdr>
            <w:top w:val="none" w:sz="0" w:space="0" w:color="auto"/>
            <w:left w:val="none" w:sz="0" w:space="0" w:color="auto"/>
            <w:bottom w:val="none" w:sz="0" w:space="0" w:color="auto"/>
            <w:right w:val="none" w:sz="0" w:space="0" w:color="auto"/>
          </w:divBdr>
        </w:div>
        <w:div w:id="1213925792">
          <w:marLeft w:val="994"/>
          <w:marRight w:val="0"/>
          <w:marTop w:val="0"/>
          <w:marBottom w:val="120"/>
          <w:divBdr>
            <w:top w:val="none" w:sz="0" w:space="0" w:color="auto"/>
            <w:left w:val="none" w:sz="0" w:space="0" w:color="auto"/>
            <w:bottom w:val="none" w:sz="0" w:space="0" w:color="auto"/>
            <w:right w:val="none" w:sz="0" w:space="0" w:color="auto"/>
          </w:divBdr>
        </w:div>
      </w:divsChild>
    </w:div>
    <w:div w:id="1149202651">
      <w:bodyDiv w:val="1"/>
      <w:marLeft w:val="0"/>
      <w:marRight w:val="0"/>
      <w:marTop w:val="0"/>
      <w:marBottom w:val="0"/>
      <w:divBdr>
        <w:top w:val="none" w:sz="0" w:space="0" w:color="auto"/>
        <w:left w:val="none" w:sz="0" w:space="0" w:color="auto"/>
        <w:bottom w:val="none" w:sz="0" w:space="0" w:color="auto"/>
        <w:right w:val="none" w:sz="0" w:space="0" w:color="auto"/>
      </w:divBdr>
      <w:divsChild>
        <w:div w:id="24254383">
          <w:marLeft w:val="806"/>
          <w:marRight w:val="0"/>
          <w:marTop w:val="0"/>
          <w:marBottom w:val="100"/>
          <w:divBdr>
            <w:top w:val="none" w:sz="0" w:space="0" w:color="auto"/>
            <w:left w:val="none" w:sz="0" w:space="0" w:color="auto"/>
            <w:bottom w:val="none" w:sz="0" w:space="0" w:color="auto"/>
            <w:right w:val="none" w:sz="0" w:space="0" w:color="auto"/>
          </w:divBdr>
        </w:div>
        <w:div w:id="544875303">
          <w:marLeft w:val="806"/>
          <w:marRight w:val="0"/>
          <w:marTop w:val="0"/>
          <w:marBottom w:val="100"/>
          <w:divBdr>
            <w:top w:val="none" w:sz="0" w:space="0" w:color="auto"/>
            <w:left w:val="none" w:sz="0" w:space="0" w:color="auto"/>
            <w:bottom w:val="none" w:sz="0" w:space="0" w:color="auto"/>
            <w:right w:val="none" w:sz="0" w:space="0" w:color="auto"/>
          </w:divBdr>
        </w:div>
        <w:div w:id="1449197977">
          <w:marLeft w:val="806"/>
          <w:marRight w:val="0"/>
          <w:marTop w:val="0"/>
          <w:marBottom w:val="100"/>
          <w:divBdr>
            <w:top w:val="none" w:sz="0" w:space="0" w:color="auto"/>
            <w:left w:val="none" w:sz="0" w:space="0" w:color="auto"/>
            <w:bottom w:val="none" w:sz="0" w:space="0" w:color="auto"/>
            <w:right w:val="none" w:sz="0" w:space="0" w:color="auto"/>
          </w:divBdr>
        </w:div>
        <w:div w:id="61368306">
          <w:marLeft w:val="806"/>
          <w:marRight w:val="0"/>
          <w:marTop w:val="0"/>
          <w:marBottom w:val="100"/>
          <w:divBdr>
            <w:top w:val="none" w:sz="0" w:space="0" w:color="auto"/>
            <w:left w:val="none" w:sz="0" w:space="0" w:color="auto"/>
            <w:bottom w:val="none" w:sz="0" w:space="0" w:color="auto"/>
            <w:right w:val="none" w:sz="0" w:space="0" w:color="auto"/>
          </w:divBdr>
        </w:div>
        <w:div w:id="1798374469">
          <w:marLeft w:val="806"/>
          <w:marRight w:val="0"/>
          <w:marTop w:val="0"/>
          <w:marBottom w:val="100"/>
          <w:divBdr>
            <w:top w:val="none" w:sz="0" w:space="0" w:color="auto"/>
            <w:left w:val="none" w:sz="0" w:space="0" w:color="auto"/>
            <w:bottom w:val="none" w:sz="0" w:space="0" w:color="auto"/>
            <w:right w:val="none" w:sz="0" w:space="0" w:color="auto"/>
          </w:divBdr>
        </w:div>
        <w:div w:id="1737505217">
          <w:marLeft w:val="806"/>
          <w:marRight w:val="0"/>
          <w:marTop w:val="0"/>
          <w:marBottom w:val="100"/>
          <w:divBdr>
            <w:top w:val="none" w:sz="0" w:space="0" w:color="auto"/>
            <w:left w:val="none" w:sz="0" w:space="0" w:color="auto"/>
            <w:bottom w:val="none" w:sz="0" w:space="0" w:color="auto"/>
            <w:right w:val="none" w:sz="0" w:space="0" w:color="auto"/>
          </w:divBdr>
        </w:div>
        <w:div w:id="130680521">
          <w:marLeft w:val="1181"/>
          <w:marRight w:val="0"/>
          <w:marTop w:val="0"/>
          <w:marBottom w:val="10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2754105">
      <w:bodyDiv w:val="1"/>
      <w:marLeft w:val="0"/>
      <w:marRight w:val="0"/>
      <w:marTop w:val="0"/>
      <w:marBottom w:val="0"/>
      <w:divBdr>
        <w:top w:val="none" w:sz="0" w:space="0" w:color="auto"/>
        <w:left w:val="none" w:sz="0" w:space="0" w:color="auto"/>
        <w:bottom w:val="none" w:sz="0" w:space="0" w:color="auto"/>
        <w:right w:val="none" w:sz="0" w:space="0" w:color="auto"/>
      </w:divBdr>
      <w:divsChild>
        <w:div w:id="1504466321">
          <w:marLeft w:val="446"/>
          <w:marRight w:val="0"/>
          <w:marTop w:val="0"/>
          <w:marBottom w:val="120"/>
          <w:divBdr>
            <w:top w:val="none" w:sz="0" w:space="0" w:color="auto"/>
            <w:left w:val="none" w:sz="0" w:space="0" w:color="auto"/>
            <w:bottom w:val="none" w:sz="0" w:space="0" w:color="auto"/>
            <w:right w:val="none" w:sz="0" w:space="0" w:color="auto"/>
          </w:divBdr>
        </w:div>
        <w:div w:id="1207914100">
          <w:marLeft w:val="446"/>
          <w:marRight w:val="0"/>
          <w:marTop w:val="0"/>
          <w:marBottom w:val="120"/>
          <w:divBdr>
            <w:top w:val="none" w:sz="0" w:space="0" w:color="auto"/>
            <w:left w:val="none" w:sz="0" w:space="0" w:color="auto"/>
            <w:bottom w:val="none" w:sz="0" w:space="0" w:color="auto"/>
            <w:right w:val="none" w:sz="0" w:space="0" w:color="auto"/>
          </w:divBdr>
        </w:div>
        <w:div w:id="704328156">
          <w:marLeft w:val="446"/>
          <w:marRight w:val="0"/>
          <w:marTop w:val="0"/>
          <w:marBottom w:val="120"/>
          <w:divBdr>
            <w:top w:val="none" w:sz="0" w:space="0" w:color="auto"/>
            <w:left w:val="none" w:sz="0" w:space="0" w:color="auto"/>
            <w:bottom w:val="none" w:sz="0" w:space="0" w:color="auto"/>
            <w:right w:val="none" w:sz="0" w:space="0" w:color="auto"/>
          </w:divBdr>
        </w:div>
        <w:div w:id="776756399">
          <w:marLeft w:val="446"/>
          <w:marRight w:val="0"/>
          <w:marTop w:val="0"/>
          <w:marBottom w:val="120"/>
          <w:divBdr>
            <w:top w:val="none" w:sz="0" w:space="0" w:color="auto"/>
            <w:left w:val="none" w:sz="0" w:space="0" w:color="auto"/>
            <w:bottom w:val="none" w:sz="0" w:space="0" w:color="auto"/>
            <w:right w:val="none" w:sz="0" w:space="0" w:color="auto"/>
          </w:divBdr>
        </w:div>
        <w:div w:id="914510849">
          <w:marLeft w:val="446"/>
          <w:marRight w:val="0"/>
          <w:marTop w:val="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58995771">
      <w:bodyDiv w:val="1"/>
      <w:marLeft w:val="0"/>
      <w:marRight w:val="0"/>
      <w:marTop w:val="0"/>
      <w:marBottom w:val="0"/>
      <w:divBdr>
        <w:top w:val="none" w:sz="0" w:space="0" w:color="auto"/>
        <w:left w:val="none" w:sz="0" w:space="0" w:color="auto"/>
        <w:bottom w:val="none" w:sz="0" w:space="0" w:color="auto"/>
        <w:right w:val="none" w:sz="0" w:space="0" w:color="auto"/>
      </w:divBdr>
      <w:divsChild>
        <w:div w:id="1704016810">
          <w:marLeft w:val="446"/>
          <w:marRight w:val="0"/>
          <w:marTop w:val="0"/>
          <w:marBottom w:val="120"/>
          <w:divBdr>
            <w:top w:val="none" w:sz="0" w:space="0" w:color="auto"/>
            <w:left w:val="none" w:sz="0" w:space="0" w:color="auto"/>
            <w:bottom w:val="none" w:sz="0" w:space="0" w:color="auto"/>
            <w:right w:val="none" w:sz="0" w:space="0" w:color="auto"/>
          </w:divBdr>
        </w:div>
        <w:div w:id="443227694">
          <w:marLeft w:val="446"/>
          <w:marRight w:val="0"/>
          <w:marTop w:val="0"/>
          <w:marBottom w:val="120"/>
          <w:divBdr>
            <w:top w:val="none" w:sz="0" w:space="0" w:color="auto"/>
            <w:left w:val="none" w:sz="0" w:space="0" w:color="auto"/>
            <w:bottom w:val="none" w:sz="0" w:space="0" w:color="auto"/>
            <w:right w:val="none" w:sz="0" w:space="0" w:color="auto"/>
          </w:divBdr>
        </w:div>
        <w:div w:id="1342119737">
          <w:marLeft w:val="446"/>
          <w:marRight w:val="0"/>
          <w:marTop w:val="0"/>
          <w:marBottom w:val="120"/>
          <w:divBdr>
            <w:top w:val="none" w:sz="0" w:space="0" w:color="auto"/>
            <w:left w:val="none" w:sz="0" w:space="0" w:color="auto"/>
            <w:bottom w:val="none" w:sz="0" w:space="0" w:color="auto"/>
            <w:right w:val="none" w:sz="0" w:space="0" w:color="auto"/>
          </w:divBdr>
        </w:div>
        <w:div w:id="505676566">
          <w:marLeft w:val="446"/>
          <w:marRight w:val="0"/>
          <w:marTop w:val="240"/>
          <w:marBottom w:val="120"/>
          <w:divBdr>
            <w:top w:val="none" w:sz="0" w:space="0" w:color="auto"/>
            <w:left w:val="none" w:sz="0" w:space="0" w:color="auto"/>
            <w:bottom w:val="none" w:sz="0" w:space="0" w:color="auto"/>
            <w:right w:val="none" w:sz="0" w:space="0" w:color="auto"/>
          </w:divBdr>
        </w:div>
        <w:div w:id="1344622573">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434363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134647">
      <w:bodyDiv w:val="1"/>
      <w:marLeft w:val="0"/>
      <w:marRight w:val="0"/>
      <w:marTop w:val="0"/>
      <w:marBottom w:val="0"/>
      <w:divBdr>
        <w:top w:val="none" w:sz="0" w:space="0" w:color="auto"/>
        <w:left w:val="none" w:sz="0" w:space="0" w:color="auto"/>
        <w:bottom w:val="none" w:sz="0" w:space="0" w:color="auto"/>
        <w:right w:val="none" w:sz="0" w:space="0" w:color="auto"/>
      </w:divBdr>
      <w:divsChild>
        <w:div w:id="751437934">
          <w:marLeft w:val="1166"/>
          <w:marRight w:val="0"/>
          <w:marTop w:val="0"/>
          <w:marBottom w:val="0"/>
          <w:divBdr>
            <w:top w:val="none" w:sz="0" w:space="0" w:color="auto"/>
            <w:left w:val="none" w:sz="0" w:space="0" w:color="auto"/>
            <w:bottom w:val="none" w:sz="0" w:space="0" w:color="auto"/>
            <w:right w:val="none" w:sz="0" w:space="0" w:color="auto"/>
          </w:divBdr>
        </w:div>
      </w:divsChild>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5AIRPNAIUNRU-1830940522-2702</_dlc_DocId>
    <_dlc_DocIdUrl xmlns="71c5aaf6-e6ce-465b-b873-5148d2a4c105">
      <Url>https://nokia.sharepoint.com/sites/c5g/5gradio/_layouts/15/DocIdRedir.aspx?ID=5AIRPNAIUNRU-1830940522-2702</Url>
      <Description>5AIRPNAIUNRU-1830940522-2702</Description>
    </_dlc_DocIdUrl>
    <Information xmlns="3b34c8f0-1ef5-4d1e-bb66-517ce7fe7356" xsi:nil="tru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A54CAA2D-6304-42EC-8DD6-2FBEF5D4C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95d2e41d-1f11-4347-bb1c-11d6a32975dd"/>
    <ds:schemaRef ds:uri="http://schemas.openxmlformats.org/package/2006/metadata/core-properties"/>
    <ds:schemaRef ds:uri="ebabf6ce-2443-438c-9946-ecc878e7654a"/>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65BC2E4E-C0C8-4010-934A-93CCD6BC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1545</Words>
  <Characters>12515</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2</cp:revision>
  <cp:lastPrinted>2016-06-20T11:35:00Z</cp:lastPrinted>
  <dcterms:created xsi:type="dcterms:W3CDTF">2018-02-15T08:35:00Z</dcterms:created>
  <dcterms:modified xsi:type="dcterms:W3CDTF">2018-02-15T08:35:00Z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9cb37ed9-c6e8-4f65-a58a-3e1c92c1691e</vt:lpwstr>
  </property>
</Properties>
</file>