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A8489" w14:textId="15DE84F2" w:rsidR="00865D8F" w:rsidRPr="00865D8F" w:rsidRDefault="00CF052B" w:rsidP="00865D8F">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r w:rsidRPr="0052548E">
        <w:rPr>
          <w:rFonts w:ascii="Arial" w:hAnsi="Arial" w:cs="Arial"/>
          <w:b/>
          <w:bCs/>
          <w:sz w:val="28"/>
        </w:rPr>
        <w:t>3GPP TSG RAN WG1 Meeting</w:t>
      </w:r>
      <w:r>
        <w:rPr>
          <w:rFonts w:ascii="Arial" w:hAnsi="Arial" w:cs="Arial"/>
          <w:b/>
          <w:bCs/>
          <w:sz w:val="28"/>
        </w:rPr>
        <w:t xml:space="preserve"> </w:t>
      </w:r>
      <w:r w:rsidR="0033645C">
        <w:rPr>
          <w:rFonts w:ascii="Arial" w:hAnsi="Arial" w:cs="Arial"/>
          <w:b/>
          <w:bCs/>
          <w:sz w:val="28"/>
        </w:rPr>
        <w:t>#</w:t>
      </w:r>
      <w:bookmarkStart w:id="1" w:name="_GoBack"/>
      <w:bookmarkEnd w:id="1"/>
      <w:r>
        <w:rPr>
          <w:rFonts w:ascii="Arial" w:hAnsi="Arial" w:cs="Arial"/>
          <w:b/>
          <w:bCs/>
          <w:sz w:val="28"/>
        </w:rPr>
        <w:t>9</w:t>
      </w:r>
      <w:r w:rsidR="0095660C">
        <w:rPr>
          <w:rFonts w:ascii="Arial" w:hAnsi="Arial" w:cs="Arial"/>
          <w:b/>
          <w:bCs/>
          <w:sz w:val="28"/>
        </w:rPr>
        <w:t>1</w:t>
      </w:r>
      <w:r w:rsidR="0095660C">
        <w:rPr>
          <w:rFonts w:ascii="Arial" w:hAnsi="Arial" w:cs="Arial"/>
          <w:b/>
          <w:bCs/>
          <w:sz w:val="28"/>
        </w:rPr>
        <w:tab/>
      </w:r>
      <w:r w:rsidR="00865D8F" w:rsidRPr="00865D8F">
        <w:rPr>
          <w:rFonts w:ascii="Arial" w:eastAsia="MS Mincho" w:hAnsi="Arial" w:cs="Arial"/>
          <w:b/>
          <w:bCs/>
          <w:sz w:val="28"/>
          <w:szCs w:val="24"/>
        </w:rPr>
        <w:tab/>
      </w:r>
      <w:r w:rsidR="00865D8F" w:rsidRPr="00865D8F">
        <w:rPr>
          <w:rFonts w:ascii="Arial" w:eastAsia="Batang" w:hAnsi="Arial" w:cs="Arial"/>
          <w:b/>
          <w:bCs/>
          <w:sz w:val="28"/>
          <w:szCs w:val="24"/>
          <w:lang w:eastAsia="en-US"/>
        </w:rPr>
        <w:tab/>
        <w:t>R1-</w:t>
      </w:r>
      <w:r w:rsidR="0095660C" w:rsidRPr="0095660C">
        <w:rPr>
          <w:rFonts w:ascii="Arial" w:eastAsia="Batang" w:hAnsi="Arial" w:cs="Arial"/>
          <w:b/>
          <w:bCs/>
          <w:sz w:val="28"/>
          <w:szCs w:val="24"/>
          <w:lang w:eastAsia="en-US"/>
        </w:rPr>
        <w:t>1720617</w:t>
      </w:r>
    </w:p>
    <w:p w14:paraId="6DEB24E7" w14:textId="03C65BA9" w:rsidR="00865D8F" w:rsidRPr="00865D8F" w:rsidRDefault="009E77DC" w:rsidP="00865D8F">
      <w:pPr>
        <w:tabs>
          <w:tab w:val="center" w:pos="4536"/>
          <w:tab w:val="right" w:pos="9072"/>
        </w:tabs>
        <w:snapToGrid/>
        <w:spacing w:after="0" w:afterAutospacing="0"/>
        <w:ind w:left="1440" w:hanging="1440"/>
        <w:jc w:val="left"/>
        <w:rPr>
          <w:rFonts w:ascii="Arial" w:eastAsia="MS Mincho" w:hAnsi="Arial" w:cs="Arial"/>
          <w:b/>
          <w:bCs/>
          <w:sz w:val="28"/>
          <w:szCs w:val="24"/>
        </w:rPr>
      </w:pPr>
      <w:r w:rsidRPr="009E77DC">
        <w:rPr>
          <w:rFonts w:ascii="Arial" w:eastAsia="MS Mincho" w:hAnsi="Arial" w:cs="Arial"/>
          <w:b/>
          <w:bCs/>
          <w:sz w:val="28"/>
        </w:rPr>
        <w:t>Reno, USA, November 27th – December 1st, 2017</w:t>
      </w:r>
    </w:p>
    <w:p w14:paraId="70F3A767" w14:textId="77777777" w:rsidR="00004B52" w:rsidRPr="0014090F" w:rsidRDefault="00004B52" w:rsidP="0060799C">
      <w:pPr>
        <w:pStyle w:val="Header"/>
        <w:tabs>
          <w:tab w:val="right" w:pos="10206"/>
        </w:tabs>
        <w:spacing w:after="0" w:afterAutospacing="0"/>
        <w:rPr>
          <w:rFonts w:eastAsia="MS Gothic" w:cs="Arial"/>
          <w:noProof w:val="0"/>
          <w:sz w:val="28"/>
          <w:szCs w:val="28"/>
          <w:lang w:val="en-US"/>
        </w:rPr>
      </w:pPr>
    </w:p>
    <w:p w14:paraId="4E6A136D" w14:textId="487C2FF1"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r w:rsidR="0095660C">
        <w:rPr>
          <w:rFonts w:ascii="Arial" w:eastAsia="MS Mincho" w:hAnsi="Arial" w:cs="Arial"/>
          <w:b/>
          <w:sz w:val="28"/>
          <w:szCs w:val="28"/>
          <w:lang w:val="en-US"/>
        </w:rPr>
        <w:t>, APT</w:t>
      </w:r>
    </w:p>
    <w:p w14:paraId="567823EC" w14:textId="77777777"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w:t>
      </w:r>
      <w:r w:rsidR="00FC4A2E">
        <w:rPr>
          <w:rFonts w:ascii="Arial" w:hAnsi="Arial" w:cs="Arial"/>
          <w:b/>
          <w:sz w:val="28"/>
          <w:szCs w:val="28"/>
          <w:lang w:val="en-US"/>
        </w:rPr>
        <w:t>CBG-based (re)transmission</w:t>
      </w:r>
      <w:r w:rsidR="0000017B">
        <w:rPr>
          <w:rFonts w:ascii="Arial" w:hAnsi="Arial" w:cs="Arial" w:hint="eastAsia"/>
          <w:b/>
          <w:sz w:val="28"/>
          <w:szCs w:val="28"/>
          <w:lang w:val="en-US"/>
        </w:rPr>
        <w:t xml:space="preserve"> </w:t>
      </w:r>
    </w:p>
    <w:p w14:paraId="5A070114" w14:textId="4CEE829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CF052B">
        <w:rPr>
          <w:rFonts w:ascii="Arial" w:hAnsi="Arial" w:cs="Arial"/>
          <w:b/>
          <w:sz w:val="28"/>
          <w:szCs w:val="28"/>
          <w:lang w:val="en-US"/>
        </w:rPr>
        <w:t>7</w:t>
      </w:r>
      <w:r w:rsidR="007B4F16">
        <w:rPr>
          <w:rFonts w:ascii="Arial" w:hAnsi="Arial" w:cs="Arial"/>
          <w:b/>
          <w:sz w:val="28"/>
          <w:szCs w:val="28"/>
          <w:lang w:val="en-US"/>
        </w:rPr>
        <w:t>.</w:t>
      </w:r>
      <w:r w:rsidR="00722CBA">
        <w:rPr>
          <w:rFonts w:ascii="Arial" w:hAnsi="Arial" w:cs="Arial" w:hint="eastAsia"/>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p>
    <w:p w14:paraId="59C14F21"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68059049" w14:textId="77777777" w:rsidR="00004B52" w:rsidRPr="0014090F" w:rsidRDefault="00004B52" w:rsidP="0060799C">
      <w:pPr>
        <w:pStyle w:val="Heading1"/>
        <w:spacing w:after="180"/>
        <w:rPr>
          <w:lang w:val="en-US"/>
        </w:rPr>
      </w:pPr>
      <w:r w:rsidRPr="0014090F">
        <w:rPr>
          <w:lang w:val="en-US"/>
        </w:rPr>
        <w:t>Introduction</w:t>
      </w:r>
      <w:bookmarkEnd w:id="2"/>
    </w:p>
    <w:p w14:paraId="387D1E8E" w14:textId="710EED75" w:rsidR="008D4685" w:rsidRPr="0014090F" w:rsidRDefault="00865D8F" w:rsidP="00F542AD">
      <w:pPr>
        <w:spacing w:before="240" w:after="240" w:afterAutospacing="0"/>
        <w:rPr>
          <w:rFonts w:eastAsia="MS Mincho"/>
          <w:lang w:val="en-US"/>
        </w:rPr>
      </w:pPr>
      <w:r>
        <w:rPr>
          <w:lang w:eastAsia="ko-KR"/>
        </w:rPr>
        <w:t>F</w:t>
      </w:r>
      <w:r w:rsidR="00E02517">
        <w:rPr>
          <w:lang w:eastAsia="ko-KR"/>
        </w:rPr>
        <w:t xml:space="preserve">or </w:t>
      </w:r>
      <w:r w:rsidR="00E02517">
        <w:rPr>
          <w:rFonts w:hint="eastAsia"/>
          <w:lang w:eastAsia="ko-KR"/>
        </w:rPr>
        <w:t>the remaining issues on CBG-based (re)transmission</w:t>
      </w:r>
      <w:r>
        <w:rPr>
          <w:lang w:eastAsia="ko-KR"/>
        </w:rPr>
        <w:t>, following agreements</w:t>
      </w:r>
      <w:r w:rsidR="00E02517">
        <w:rPr>
          <w:lang w:eastAsia="ko-KR"/>
        </w:rPr>
        <w:t xml:space="preserve"> have been </w:t>
      </w:r>
      <w:r w:rsidR="00A625E6">
        <w:rPr>
          <w:rFonts w:hint="eastAsia"/>
        </w:rPr>
        <w:t>made</w:t>
      </w:r>
      <w:r w:rsidR="00A625E6">
        <w:rPr>
          <w:lang w:eastAsia="ko-KR"/>
        </w:rPr>
        <w:t xml:space="preserve"> </w:t>
      </w:r>
      <w:r w:rsidR="00E02517">
        <w:rPr>
          <w:rFonts w:hint="eastAsia"/>
          <w:lang w:eastAsia="ko-KR"/>
        </w:rPr>
        <w:t>in RAN1</w:t>
      </w:r>
      <w:r w:rsidR="003F4F9D">
        <w:rPr>
          <w:lang w:eastAsia="ko-KR"/>
        </w:rPr>
        <w:t xml:space="preserve"> </w:t>
      </w:r>
      <w:r w:rsidR="00E02517">
        <w:rPr>
          <w:rFonts w:hint="eastAsia"/>
          <w:lang w:eastAsia="ko-KR"/>
        </w:rPr>
        <w:t>#90</w:t>
      </w:r>
      <w:r w:rsidR="003F4F9D">
        <w:rPr>
          <w:lang w:eastAsia="ko-KR"/>
        </w:rPr>
        <w:t>b</w:t>
      </w:r>
      <w:r w:rsidR="00E02517">
        <w:rPr>
          <w:rFonts w:hint="eastAsia"/>
          <w:lang w:eastAsia="ko-KR"/>
        </w:rPr>
        <w:t xml:space="preserve"> (</w:t>
      </w:r>
      <w:r w:rsidR="003F4F9D">
        <w:rPr>
          <w:rFonts w:eastAsia="Malgun Gothic"/>
          <w:lang w:eastAsia="ko-KR"/>
        </w:rPr>
        <w:t>9</w:t>
      </w:r>
      <w:r w:rsidR="00E02517">
        <w:rPr>
          <w:rFonts w:eastAsia="Malgun Gothic"/>
          <w:lang w:eastAsia="ko-KR"/>
        </w:rPr>
        <w:t>-</w:t>
      </w:r>
      <w:r w:rsidR="003F4F9D">
        <w:rPr>
          <w:rFonts w:eastAsia="Malgun Gothic"/>
          <w:lang w:eastAsia="ko-KR"/>
        </w:rPr>
        <w:t>13</w:t>
      </w:r>
      <w:r w:rsidR="00E02517" w:rsidRPr="003E63F0">
        <w:rPr>
          <w:rFonts w:eastAsia="Malgun Gothic"/>
          <w:lang w:eastAsia="ko-KR"/>
        </w:rPr>
        <w:t xml:space="preserve"> </w:t>
      </w:r>
      <w:r w:rsidR="003F4F9D">
        <w:rPr>
          <w:rFonts w:eastAsia="Malgun Gothic"/>
          <w:lang w:eastAsia="ko-KR"/>
        </w:rPr>
        <w:t>October</w:t>
      </w:r>
      <w:r w:rsidR="00E02517" w:rsidRPr="003E63F0">
        <w:rPr>
          <w:rFonts w:eastAsia="Malgun Gothic"/>
          <w:lang w:eastAsia="ko-KR"/>
        </w:rPr>
        <w:t xml:space="preserve"> 2017</w:t>
      </w:r>
      <w:r w:rsidR="00E02517">
        <w:rPr>
          <w:rFonts w:eastAsia="Malgun Gothic" w:hint="eastAsia"/>
          <w:lang w:eastAsia="ko-KR"/>
        </w:rPr>
        <w:t>)</w:t>
      </w:r>
      <w:r w:rsidR="00E02517">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6DDD8431" w14:textId="77777777" w:rsidTr="00E72F33">
        <w:tc>
          <w:tcPr>
            <w:tcW w:w="9954" w:type="dxa"/>
          </w:tcPr>
          <w:p w14:paraId="0E7154F7" w14:textId="77777777" w:rsidR="003F4F9D" w:rsidRPr="003F4F9D" w:rsidRDefault="003F4F9D" w:rsidP="003F4F9D">
            <w:pPr>
              <w:snapToGrid/>
              <w:spacing w:after="0" w:afterAutospacing="0"/>
              <w:ind w:left="720" w:hanging="720"/>
              <w:jc w:val="left"/>
              <w:rPr>
                <w:rFonts w:ascii="Times" w:eastAsia="Batang" w:hAnsi="Times"/>
                <w:szCs w:val="24"/>
                <w:highlight w:val="green"/>
                <w:lang w:eastAsia="x-none"/>
              </w:rPr>
            </w:pPr>
            <w:r w:rsidRPr="003F4F9D">
              <w:rPr>
                <w:rFonts w:ascii="Times" w:eastAsia="Batang" w:hAnsi="Times"/>
                <w:szCs w:val="24"/>
                <w:highlight w:val="green"/>
                <w:lang w:eastAsia="x-none"/>
              </w:rPr>
              <w:t>Agreements:</w:t>
            </w:r>
          </w:p>
          <w:p w14:paraId="2CD53703" w14:textId="77777777" w:rsidR="003F4F9D" w:rsidRPr="003F4F9D" w:rsidRDefault="003F4F9D" w:rsidP="003F4F9D">
            <w:pPr>
              <w:numPr>
                <w:ilvl w:val="0"/>
                <w:numId w:val="43"/>
              </w:numPr>
              <w:snapToGrid/>
              <w:spacing w:after="0" w:afterAutospacing="0"/>
              <w:jc w:val="left"/>
              <w:rPr>
                <w:rFonts w:ascii="Times" w:eastAsia="Batang" w:hAnsi="Times"/>
                <w:szCs w:val="24"/>
                <w:lang w:eastAsia="en-US"/>
              </w:rPr>
            </w:pPr>
            <w:r w:rsidRPr="003F4F9D">
              <w:rPr>
                <w:rFonts w:ascii="Times" w:eastAsia="Batang" w:hAnsi="Times"/>
                <w:szCs w:val="24"/>
                <w:lang w:eastAsia="en-US"/>
              </w:rPr>
              <w:t>In single CW configuration, the maximum configurable number of CBGs per TB is 8</w:t>
            </w:r>
          </w:p>
          <w:p w14:paraId="0AAC392C" w14:textId="77777777" w:rsidR="003F4F9D" w:rsidRPr="003F4F9D" w:rsidRDefault="003F4F9D" w:rsidP="003F4F9D">
            <w:pPr>
              <w:numPr>
                <w:ilvl w:val="0"/>
                <w:numId w:val="43"/>
              </w:numPr>
              <w:snapToGrid/>
              <w:spacing w:after="0" w:afterAutospacing="0"/>
              <w:jc w:val="left"/>
              <w:rPr>
                <w:rFonts w:ascii="Times" w:eastAsia="Batang" w:hAnsi="Times"/>
                <w:szCs w:val="24"/>
                <w:lang w:eastAsia="en-US"/>
              </w:rPr>
            </w:pPr>
            <w:r w:rsidRPr="003F4F9D">
              <w:rPr>
                <w:rFonts w:ascii="Times" w:eastAsia="Batang" w:hAnsi="Times"/>
                <w:szCs w:val="24"/>
                <w:lang w:eastAsia="en-US"/>
              </w:rPr>
              <w:t>The possible max number of CBGs per TB is 2, 4, 6, 8</w:t>
            </w:r>
          </w:p>
          <w:p w14:paraId="0C1A009D" w14:textId="77777777" w:rsidR="003F4F9D" w:rsidRPr="003F4F9D" w:rsidRDefault="003F4F9D" w:rsidP="003F4F9D">
            <w:pPr>
              <w:numPr>
                <w:ilvl w:val="0"/>
                <w:numId w:val="43"/>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In multiple CW configuration, the maximum configurable number of CBGs per TB is 4</w:t>
            </w:r>
          </w:p>
          <w:p w14:paraId="5C964047" w14:textId="77777777" w:rsidR="003F4F9D" w:rsidRPr="003F4F9D" w:rsidRDefault="003F4F9D" w:rsidP="003F4F9D">
            <w:pPr>
              <w:numPr>
                <w:ilvl w:val="0"/>
                <w:numId w:val="43"/>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 xml:space="preserve">In multiple CW configuration, the configured maximum number of CBGs per TB is the same between TBs </w:t>
            </w:r>
          </w:p>
          <w:p w14:paraId="52E60E4F" w14:textId="77777777" w:rsidR="003F4F9D" w:rsidRPr="003F4F9D" w:rsidRDefault="003F4F9D" w:rsidP="003F4F9D">
            <w:pPr>
              <w:snapToGrid/>
              <w:spacing w:after="0" w:afterAutospacing="0"/>
              <w:jc w:val="left"/>
              <w:rPr>
                <w:rFonts w:ascii="Times" w:eastAsia="Batang" w:hAnsi="Times"/>
                <w:szCs w:val="24"/>
                <w:highlight w:val="green"/>
                <w:lang w:eastAsia="en-US"/>
              </w:rPr>
            </w:pPr>
          </w:p>
          <w:p w14:paraId="5EBFD7C5" w14:textId="77777777" w:rsidR="003F4F9D" w:rsidRPr="003F4F9D" w:rsidRDefault="003F4F9D" w:rsidP="003F4F9D">
            <w:pPr>
              <w:snapToGrid/>
              <w:spacing w:after="0" w:afterAutospacing="0"/>
              <w:ind w:left="720" w:hanging="720"/>
              <w:jc w:val="left"/>
              <w:rPr>
                <w:rFonts w:ascii="Times" w:eastAsia="Batang" w:hAnsi="Times"/>
                <w:szCs w:val="24"/>
                <w:lang w:eastAsia="en-US"/>
              </w:rPr>
            </w:pPr>
            <w:r w:rsidRPr="003F4F9D">
              <w:rPr>
                <w:rFonts w:ascii="Times" w:eastAsia="Batang" w:hAnsi="Times"/>
                <w:szCs w:val="24"/>
                <w:highlight w:val="green"/>
                <w:lang w:eastAsia="en-US"/>
              </w:rPr>
              <w:t>Agreements</w:t>
            </w:r>
            <w:r w:rsidRPr="003F4F9D">
              <w:rPr>
                <w:rFonts w:ascii="Times" w:eastAsia="Batang" w:hAnsi="Times"/>
                <w:szCs w:val="24"/>
                <w:lang w:eastAsia="en-US"/>
              </w:rPr>
              <w:t>:</w:t>
            </w:r>
          </w:p>
          <w:p w14:paraId="00C59010" w14:textId="77777777" w:rsidR="003F4F9D" w:rsidRPr="003F4F9D" w:rsidRDefault="003F4F9D" w:rsidP="003F4F9D">
            <w:pPr>
              <w:numPr>
                <w:ilvl w:val="0"/>
                <w:numId w:val="44"/>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For the case when the semi-static HARQ-ACK codebook with HARQ-ACK multiplexing which includes HARQ-ACK corresponding to all the CBGs (including the non-scheduled CBG(s)) is used,</w:t>
            </w:r>
          </w:p>
          <w:p w14:paraId="36347414" w14:textId="77777777" w:rsidR="003F4F9D" w:rsidRPr="003F4F9D" w:rsidRDefault="003F4F9D" w:rsidP="003F4F9D">
            <w:pPr>
              <w:numPr>
                <w:ilvl w:val="1"/>
                <w:numId w:val="44"/>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NACK is reported for all the CBGs if TB CRC check is not passed while CB CRC check is passed for all the CBs</w:t>
            </w:r>
          </w:p>
          <w:p w14:paraId="1555FAF0" w14:textId="77777777" w:rsidR="003F4F9D" w:rsidRPr="003F4F9D" w:rsidRDefault="003F4F9D" w:rsidP="003F4F9D">
            <w:pPr>
              <w:numPr>
                <w:ilvl w:val="1"/>
                <w:numId w:val="44"/>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NACK is mapped for the empty CBG index if the number of CBs for a TB is smaller than the configured maximum number of CBGs</w:t>
            </w:r>
          </w:p>
          <w:p w14:paraId="1E8875B3" w14:textId="77777777" w:rsidR="003F4F9D" w:rsidRPr="003F4F9D" w:rsidRDefault="003F4F9D" w:rsidP="003F4F9D">
            <w:pPr>
              <w:snapToGrid/>
              <w:spacing w:after="0" w:afterAutospacing="0"/>
              <w:jc w:val="left"/>
              <w:rPr>
                <w:rFonts w:ascii="Times" w:eastAsia="Batang" w:hAnsi="Times"/>
                <w:b/>
                <w:szCs w:val="24"/>
                <w:lang w:eastAsia="x-none"/>
              </w:rPr>
            </w:pPr>
          </w:p>
          <w:p w14:paraId="74180374" w14:textId="77777777" w:rsidR="003F4F9D" w:rsidRPr="003F4F9D" w:rsidRDefault="003F4F9D" w:rsidP="003F4F9D">
            <w:pPr>
              <w:snapToGrid/>
              <w:spacing w:after="0" w:afterAutospacing="0"/>
              <w:ind w:left="720" w:hanging="720"/>
              <w:jc w:val="left"/>
              <w:rPr>
                <w:rFonts w:ascii="Times" w:eastAsia="Batang" w:hAnsi="Times"/>
                <w:b/>
                <w:szCs w:val="24"/>
                <w:lang w:eastAsia="x-none"/>
              </w:rPr>
            </w:pPr>
            <w:r w:rsidRPr="003F4F9D">
              <w:rPr>
                <w:rFonts w:ascii="Times" w:eastAsia="Batang" w:hAnsi="Times"/>
                <w:szCs w:val="24"/>
                <w:highlight w:val="green"/>
                <w:lang w:eastAsia="x-none"/>
              </w:rPr>
              <w:t>Agreements</w:t>
            </w:r>
            <w:r w:rsidRPr="003F4F9D">
              <w:rPr>
                <w:rFonts w:ascii="Times" w:eastAsia="Batang" w:hAnsi="Times"/>
                <w:b/>
                <w:szCs w:val="24"/>
                <w:lang w:eastAsia="x-none"/>
              </w:rPr>
              <w:t>:</w:t>
            </w:r>
          </w:p>
          <w:p w14:paraId="58497884" w14:textId="77777777" w:rsidR="003F4F9D" w:rsidRPr="003F4F9D" w:rsidRDefault="003F4F9D" w:rsidP="003F4F9D">
            <w:pPr>
              <w:numPr>
                <w:ilvl w:val="0"/>
                <w:numId w:val="45"/>
              </w:numPr>
              <w:snapToGrid/>
              <w:spacing w:after="0" w:afterAutospacing="0"/>
              <w:jc w:val="left"/>
              <w:rPr>
                <w:rFonts w:ascii="Times" w:eastAsia="Batang" w:hAnsi="Times"/>
                <w:szCs w:val="24"/>
                <w:lang w:val="en-US" w:eastAsia="x-none"/>
              </w:rPr>
            </w:pPr>
            <w:r w:rsidRPr="003F4F9D">
              <w:rPr>
                <w:rFonts w:ascii="Times" w:eastAsia="Batang" w:hAnsi="Times"/>
                <w:bCs/>
                <w:szCs w:val="24"/>
                <w:lang w:eastAsia="x-none"/>
              </w:rPr>
              <w:t xml:space="preserve">When UE is configured with CBG based retransmission, for the PDSCH scheduled by PDCCH using </w:t>
            </w:r>
            <w:proofErr w:type="spellStart"/>
            <w:r w:rsidRPr="003F4F9D">
              <w:rPr>
                <w:rFonts w:ascii="Times" w:eastAsia="Batang" w:hAnsi="Times"/>
                <w:bCs/>
                <w:szCs w:val="24"/>
                <w:lang w:eastAsia="x-none"/>
              </w:rPr>
              <w:t>fallback</w:t>
            </w:r>
            <w:proofErr w:type="spellEnd"/>
            <w:r w:rsidRPr="003F4F9D">
              <w:rPr>
                <w:rFonts w:ascii="Times" w:eastAsia="Batang" w:hAnsi="Times"/>
                <w:bCs/>
                <w:szCs w:val="24"/>
                <w:lang w:eastAsia="x-none"/>
              </w:rPr>
              <w:t xml:space="preserve"> DCI, TB level HARQ-ACK feedback is used at least for the case without HARQ-ACK multiplexing</w:t>
            </w:r>
          </w:p>
          <w:p w14:paraId="15A15811" w14:textId="77777777" w:rsidR="003F4F9D" w:rsidRPr="003F4F9D" w:rsidRDefault="003F4F9D" w:rsidP="003F4F9D">
            <w:pPr>
              <w:numPr>
                <w:ilvl w:val="1"/>
                <w:numId w:val="45"/>
              </w:numPr>
              <w:snapToGrid/>
              <w:spacing w:after="0" w:afterAutospacing="0"/>
              <w:jc w:val="left"/>
              <w:rPr>
                <w:rFonts w:ascii="Times" w:eastAsia="Batang" w:hAnsi="Times"/>
                <w:szCs w:val="24"/>
                <w:lang w:val="en-US" w:eastAsia="x-none"/>
              </w:rPr>
            </w:pPr>
            <w:r w:rsidRPr="003F4F9D">
              <w:rPr>
                <w:rFonts w:ascii="Times" w:eastAsia="Batang" w:hAnsi="Times"/>
                <w:bCs/>
                <w:szCs w:val="24"/>
                <w:lang w:val="en-US" w:eastAsia="x-none"/>
              </w:rPr>
              <w:t>FFS whether this operation is applied even for the case with HARQ-ACK multiplexing</w:t>
            </w:r>
          </w:p>
          <w:p w14:paraId="2F33B618" w14:textId="75A9E816" w:rsidR="00884D25" w:rsidRPr="00E02517" w:rsidRDefault="003F4F9D" w:rsidP="003F4F9D">
            <w:pPr>
              <w:numPr>
                <w:ilvl w:val="1"/>
                <w:numId w:val="45"/>
              </w:numPr>
              <w:snapToGrid/>
              <w:spacing w:after="0" w:afterAutospacing="0"/>
              <w:jc w:val="left"/>
            </w:pPr>
            <w:r w:rsidRPr="003F4F9D">
              <w:rPr>
                <w:rFonts w:ascii="Times" w:eastAsia="Batang" w:hAnsi="Times"/>
                <w:bCs/>
                <w:szCs w:val="24"/>
                <w:lang w:val="en-US" w:eastAsia="x-none"/>
              </w:rPr>
              <w:t>Note: this means that fallback DCI does not support CBG level HARQ-ACK feedback</w:t>
            </w:r>
          </w:p>
        </w:tc>
      </w:tr>
    </w:tbl>
    <w:p w14:paraId="74934607" w14:textId="77777777" w:rsidR="000208FD" w:rsidRDefault="000208FD" w:rsidP="00ED2167">
      <w:pPr>
        <w:spacing w:after="0" w:afterAutospacing="0"/>
        <w:rPr>
          <w:lang w:val="en-US"/>
        </w:rPr>
      </w:pPr>
    </w:p>
    <w:p w14:paraId="4A88D108" w14:textId="3A9B7C3E" w:rsidR="00FB5503" w:rsidRDefault="000208FD" w:rsidP="00FB5503">
      <w:pPr>
        <w:spacing w:after="0" w:afterAutospacing="0"/>
        <w:rPr>
          <w:lang w:val="en-US"/>
        </w:rPr>
      </w:pPr>
      <w:r>
        <w:rPr>
          <w:lang w:val="en-US"/>
        </w:rPr>
        <w:t xml:space="preserve">In addition, following agreements have been made in </w:t>
      </w:r>
      <w:r w:rsidR="00750D1F">
        <w:rPr>
          <w:lang w:val="en-US"/>
        </w:rPr>
        <w:t>the email discussion [90b-NR-32]</w:t>
      </w:r>
      <w:r>
        <w:rPr>
          <w:lang w:val="en-US"/>
        </w:rPr>
        <w:t>.</w:t>
      </w:r>
      <w:r w:rsidR="00FB5503" w:rsidRPr="00FB5503">
        <w:rPr>
          <w:lang w:val="en-US"/>
        </w:rPr>
        <w:t xml:space="preserve"> </w:t>
      </w:r>
    </w:p>
    <w:tbl>
      <w:tblPr>
        <w:tblpPr w:leftFromText="180" w:rightFromText="180"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B5503" w:rsidRPr="0014090F" w14:paraId="3AADC01B" w14:textId="77777777" w:rsidTr="00632FF8">
        <w:tc>
          <w:tcPr>
            <w:tcW w:w="9954" w:type="dxa"/>
          </w:tcPr>
          <w:p w14:paraId="50BE1073" w14:textId="77777777" w:rsidR="003C0294" w:rsidRPr="003C0294" w:rsidRDefault="003C0294" w:rsidP="003C0294">
            <w:pPr>
              <w:snapToGrid/>
              <w:spacing w:after="0" w:afterAutospacing="0"/>
              <w:ind w:left="720" w:hanging="720"/>
              <w:jc w:val="left"/>
              <w:rPr>
                <w:rFonts w:ascii="Times" w:eastAsia="Batang" w:hAnsi="Times"/>
                <w:szCs w:val="24"/>
                <w:highlight w:val="green"/>
                <w:lang w:eastAsia="en-US"/>
              </w:rPr>
            </w:pPr>
            <w:r w:rsidRPr="003C0294">
              <w:rPr>
                <w:rFonts w:ascii="Times" w:eastAsia="Batang" w:hAnsi="Times"/>
                <w:szCs w:val="24"/>
                <w:highlight w:val="green"/>
                <w:lang w:eastAsia="en-US"/>
              </w:rPr>
              <w:lastRenderedPageBreak/>
              <w:t>Agreements:</w:t>
            </w:r>
          </w:p>
          <w:p w14:paraId="2689FF18" w14:textId="77777777" w:rsidR="003C0294"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In case configured with CBG based retransmission, CBGTI, CBGFI, and NDI are separately indicated in the same DCI.</w:t>
            </w:r>
          </w:p>
          <w:p w14:paraId="170C041A" w14:textId="77777777" w:rsidR="003C0294"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 xml:space="preserve">In case with CBG based retransmission and multiple CW configuration, single CBGFI is indicated in DCI and commonly applied for both two </w:t>
            </w:r>
            <w:proofErr w:type="spellStart"/>
            <w:r w:rsidRPr="003C0294">
              <w:rPr>
                <w:rFonts w:ascii="Times" w:eastAsia="Batang" w:hAnsi="Times"/>
                <w:bCs/>
                <w:szCs w:val="24"/>
                <w:lang w:val="en-US" w:eastAsia="x-none"/>
              </w:rPr>
              <w:t>TBs.</w:t>
            </w:r>
            <w:proofErr w:type="spellEnd"/>
            <w:r w:rsidRPr="003C0294">
              <w:rPr>
                <w:rFonts w:ascii="Times" w:eastAsia="Batang" w:hAnsi="Times"/>
                <w:bCs/>
                <w:szCs w:val="24"/>
                <w:lang w:val="en-US" w:eastAsia="x-none"/>
              </w:rPr>
              <w:t xml:space="preserve"> </w:t>
            </w:r>
          </w:p>
          <w:p w14:paraId="43061EC1" w14:textId="77777777" w:rsidR="003C0294"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 xml:space="preserve">Discuss further on the detailed DCI composition for CBG based retransmission such as reinterpretation of MCS/TBS field to CBGTI. </w:t>
            </w:r>
          </w:p>
          <w:p w14:paraId="5CD6ACA0" w14:textId="77777777" w:rsidR="003C0294"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 xml:space="preserve">Discuss further on the detailed HARQ-ACK feedback with CBG in terms of TB level HARQ-ACK, HARQ-ACK bundling, HARQ-ACK composition, with consideration of overall HARQ-ACK codebook design. </w:t>
            </w:r>
          </w:p>
          <w:p w14:paraId="32A96026" w14:textId="77777777" w:rsidR="003C0294"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Compressed CBG level HARQ-ACK feedback scheme except for HARQ-ACK bundling is not supported in Rel-15.</w:t>
            </w:r>
          </w:p>
          <w:p w14:paraId="31EFF18D" w14:textId="15DF2A6A" w:rsidR="00FB5503" w:rsidRPr="003C0294" w:rsidRDefault="003C0294" w:rsidP="003C0294">
            <w:pPr>
              <w:numPr>
                <w:ilvl w:val="0"/>
                <w:numId w:val="44"/>
              </w:numPr>
              <w:snapToGrid/>
              <w:spacing w:after="0" w:afterAutospacing="0"/>
              <w:jc w:val="left"/>
              <w:rPr>
                <w:rFonts w:ascii="Times" w:eastAsia="Batang" w:hAnsi="Times"/>
                <w:bCs/>
                <w:szCs w:val="24"/>
                <w:lang w:val="en-US" w:eastAsia="x-none"/>
              </w:rPr>
            </w:pPr>
            <w:r w:rsidRPr="003C0294">
              <w:rPr>
                <w:rFonts w:ascii="Times" w:eastAsia="Batang" w:hAnsi="Times"/>
                <w:bCs/>
                <w:szCs w:val="24"/>
                <w:lang w:val="en-US" w:eastAsia="x-none"/>
              </w:rPr>
              <w:t>No additional CB grouping method is introduced in Rel-15.</w:t>
            </w:r>
          </w:p>
          <w:p w14:paraId="1AE412B1" w14:textId="77777777" w:rsidR="00FB5503" w:rsidRDefault="00FB5503" w:rsidP="00632FF8">
            <w:pPr>
              <w:pStyle w:val="NormalWeb"/>
              <w:spacing w:before="0" w:after="0"/>
            </w:pPr>
          </w:p>
        </w:tc>
      </w:tr>
    </w:tbl>
    <w:p w14:paraId="168A7204" w14:textId="77777777" w:rsidR="00FB5503" w:rsidRDefault="00FB5503" w:rsidP="00ED2167">
      <w:pPr>
        <w:spacing w:after="0" w:afterAutospacing="0"/>
        <w:rPr>
          <w:lang w:val="en-US"/>
        </w:rPr>
      </w:pPr>
    </w:p>
    <w:p w14:paraId="40C810B1" w14:textId="66DD574B" w:rsidR="00A625E6" w:rsidRPr="00A625E6" w:rsidRDefault="00B40976" w:rsidP="003C0294">
      <w:pPr>
        <w:spacing w:after="0" w:afterAutospacing="0"/>
        <w:rPr>
          <w:lang w:val="en-US"/>
        </w:rPr>
      </w:pPr>
      <w:r>
        <w:rPr>
          <w:lang w:val="en-US"/>
        </w:rPr>
        <w:t>This contribution is aimed to provide proposals on both DCI composition and HARQ-ACK composition for CBG-based (re)transmissions.</w:t>
      </w:r>
      <w:r w:rsidR="00A625E6">
        <w:t xml:space="preserve"> </w:t>
      </w:r>
    </w:p>
    <w:p w14:paraId="56351F0E" w14:textId="77777777" w:rsidR="00C90A6D" w:rsidRPr="00FF798F" w:rsidRDefault="00A42933" w:rsidP="00C90A6D">
      <w:pPr>
        <w:pStyle w:val="Heading1"/>
        <w:spacing w:after="180"/>
        <w:rPr>
          <w:lang w:val="en-US"/>
        </w:rPr>
      </w:pPr>
      <w:r w:rsidRPr="007E0489">
        <w:rPr>
          <w:lang w:val="en-US"/>
        </w:rPr>
        <w:t>Discussions</w:t>
      </w:r>
      <w:bookmarkStart w:id="4" w:name="OLE_LINK1"/>
    </w:p>
    <w:bookmarkEnd w:id="4"/>
    <w:p w14:paraId="625AE415" w14:textId="6E7B5CE8" w:rsidR="009916D5" w:rsidRDefault="00C81331" w:rsidP="00C81331">
      <w:pPr>
        <w:pStyle w:val="Heading2"/>
        <w:rPr>
          <w:lang w:val="en-US"/>
        </w:rPr>
      </w:pPr>
      <w:r w:rsidRPr="00C81331">
        <w:t xml:space="preserve">Reinterpretation of some DCI fields </w:t>
      </w:r>
      <w:r>
        <w:t>for CBGTI</w:t>
      </w:r>
    </w:p>
    <w:p w14:paraId="53ECE5F9" w14:textId="426328B3" w:rsidR="009916D5" w:rsidRDefault="004974AF" w:rsidP="009916D5">
      <w:pPr>
        <w:rPr>
          <w:lang w:val="en-US"/>
        </w:rPr>
      </w:pPr>
      <w:r>
        <w:rPr>
          <w:lang w:val="en-US"/>
        </w:rPr>
        <w:t xml:space="preserve">It was agreed that </w:t>
      </w:r>
      <w:r w:rsidRPr="004974AF">
        <w:rPr>
          <w:lang w:val="en-US"/>
        </w:rPr>
        <w:t xml:space="preserve">CBG transmission information </w:t>
      </w:r>
      <w:r>
        <w:rPr>
          <w:lang w:val="en-US"/>
        </w:rPr>
        <w:t>(</w:t>
      </w:r>
      <w:r w:rsidRPr="003C0294">
        <w:rPr>
          <w:rFonts w:ascii="Times" w:eastAsia="Batang" w:hAnsi="Times"/>
          <w:bCs/>
          <w:szCs w:val="24"/>
          <w:lang w:val="en-US" w:eastAsia="x-none"/>
        </w:rPr>
        <w:t>CBGTI</w:t>
      </w:r>
      <w:r>
        <w:rPr>
          <w:rFonts w:ascii="Times" w:eastAsia="Batang" w:hAnsi="Times"/>
          <w:bCs/>
          <w:szCs w:val="24"/>
          <w:lang w:val="en-US" w:eastAsia="x-none"/>
        </w:rPr>
        <w:t>)</w:t>
      </w:r>
      <w:r w:rsidRPr="003C0294">
        <w:rPr>
          <w:rFonts w:ascii="Times" w:eastAsia="Batang" w:hAnsi="Times"/>
          <w:bCs/>
          <w:szCs w:val="24"/>
          <w:lang w:val="en-US" w:eastAsia="x-none"/>
        </w:rPr>
        <w:t xml:space="preserve">, </w:t>
      </w:r>
      <w:r w:rsidRPr="00AB5AD3">
        <w:rPr>
          <w:rFonts w:eastAsia="MS Mincho" w:hint="eastAsia"/>
          <w:lang w:val="en-US"/>
        </w:rPr>
        <w:t>CBG flushing out information</w:t>
      </w:r>
      <w:r w:rsidRPr="003C0294">
        <w:rPr>
          <w:rFonts w:ascii="Times" w:eastAsia="Batang" w:hAnsi="Times"/>
          <w:bCs/>
          <w:szCs w:val="24"/>
          <w:lang w:val="en-US" w:eastAsia="x-none"/>
        </w:rPr>
        <w:t xml:space="preserve"> </w:t>
      </w:r>
      <w:r>
        <w:rPr>
          <w:rFonts w:ascii="Times" w:eastAsia="Batang" w:hAnsi="Times"/>
          <w:bCs/>
          <w:szCs w:val="24"/>
          <w:lang w:val="en-US" w:eastAsia="x-none"/>
        </w:rPr>
        <w:t>(</w:t>
      </w:r>
      <w:r w:rsidRPr="003C0294">
        <w:rPr>
          <w:rFonts w:ascii="Times" w:eastAsia="Batang" w:hAnsi="Times"/>
          <w:bCs/>
          <w:szCs w:val="24"/>
          <w:lang w:val="en-US" w:eastAsia="x-none"/>
        </w:rPr>
        <w:t>CBGFI</w:t>
      </w:r>
      <w:r>
        <w:rPr>
          <w:rFonts w:ascii="Times" w:eastAsia="Batang" w:hAnsi="Times"/>
          <w:bCs/>
          <w:szCs w:val="24"/>
          <w:lang w:val="en-US" w:eastAsia="x-none"/>
        </w:rPr>
        <w:t>)</w:t>
      </w:r>
      <w:r w:rsidRPr="003C0294">
        <w:rPr>
          <w:rFonts w:ascii="Times" w:eastAsia="Batang" w:hAnsi="Times"/>
          <w:bCs/>
          <w:szCs w:val="24"/>
          <w:lang w:val="en-US" w:eastAsia="x-none"/>
        </w:rPr>
        <w:t xml:space="preserve">, and </w:t>
      </w:r>
      <w:r>
        <w:rPr>
          <w:rFonts w:ascii="Times" w:eastAsia="Batang" w:hAnsi="Times"/>
          <w:bCs/>
          <w:szCs w:val="24"/>
          <w:lang w:val="en-US" w:eastAsia="x-none"/>
        </w:rPr>
        <w:t>new data indicator (</w:t>
      </w:r>
      <w:r w:rsidRPr="003C0294">
        <w:rPr>
          <w:rFonts w:ascii="Times" w:eastAsia="Batang" w:hAnsi="Times"/>
          <w:bCs/>
          <w:szCs w:val="24"/>
          <w:lang w:val="en-US" w:eastAsia="x-none"/>
        </w:rPr>
        <w:t>NDI</w:t>
      </w:r>
      <w:r>
        <w:rPr>
          <w:rFonts w:ascii="Times" w:eastAsia="Batang" w:hAnsi="Times"/>
          <w:bCs/>
          <w:szCs w:val="24"/>
          <w:lang w:val="en-US" w:eastAsia="x-none"/>
        </w:rPr>
        <w:t>)</w:t>
      </w:r>
      <w:r w:rsidRPr="003C0294">
        <w:rPr>
          <w:rFonts w:ascii="Times" w:eastAsia="Batang" w:hAnsi="Times"/>
          <w:bCs/>
          <w:szCs w:val="24"/>
          <w:lang w:val="en-US" w:eastAsia="x-none"/>
        </w:rPr>
        <w:t xml:space="preserve"> are separately indicated in the same DCI.</w:t>
      </w:r>
      <w:r>
        <w:rPr>
          <w:rFonts w:ascii="Times" w:eastAsia="Batang" w:hAnsi="Times"/>
          <w:bCs/>
          <w:szCs w:val="24"/>
          <w:lang w:val="en-US" w:eastAsia="x-none"/>
        </w:rPr>
        <w:t xml:space="preserve"> </w:t>
      </w:r>
      <w:r w:rsidR="00270643">
        <w:rPr>
          <w:rFonts w:ascii="Times" w:eastAsia="Batang" w:hAnsi="Times"/>
          <w:bCs/>
          <w:szCs w:val="24"/>
          <w:lang w:val="en-US" w:eastAsia="x-none"/>
        </w:rPr>
        <w:t>F</w:t>
      </w:r>
      <w:r w:rsidR="00947DC5">
        <w:rPr>
          <w:rFonts w:ascii="Times" w:eastAsia="Batang" w:hAnsi="Times"/>
          <w:bCs/>
          <w:szCs w:val="24"/>
          <w:lang w:val="en-US" w:eastAsia="x-none"/>
        </w:rPr>
        <w:t>or the detailed design of CBGTI, some other fields like MCS field can be reused or reinterpreted as CBGTI so that the DCI size can be reduced.</w:t>
      </w:r>
    </w:p>
    <w:p w14:paraId="423F7453" w14:textId="1F5F1798" w:rsidR="00C33A3B" w:rsidRPr="009665DC" w:rsidRDefault="00C33A3B" w:rsidP="00C33A3B">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1</w:t>
      </w:r>
      <w:r w:rsidRPr="009665DC">
        <w:rPr>
          <w:rFonts w:eastAsiaTheme="minorEastAsia" w:hint="eastAsia"/>
          <w:b/>
          <w:u w:val="single"/>
          <w:lang w:val="en-US"/>
        </w:rPr>
        <w:t>:</w:t>
      </w:r>
    </w:p>
    <w:p w14:paraId="175E5917" w14:textId="53D37B82" w:rsidR="00D050B6" w:rsidRPr="00D050B6" w:rsidRDefault="00C81331" w:rsidP="00C81331">
      <w:pPr>
        <w:pStyle w:val="ListParagraph"/>
        <w:numPr>
          <w:ilvl w:val="0"/>
          <w:numId w:val="11"/>
        </w:numPr>
        <w:ind w:firstLineChars="0"/>
        <w:rPr>
          <w:rFonts w:eastAsiaTheme="minorEastAsia"/>
          <w:lang w:val="en-US"/>
        </w:rPr>
      </w:pPr>
      <w:r w:rsidRPr="00C81331">
        <w:rPr>
          <w:rFonts w:eastAsiaTheme="minorEastAsia"/>
          <w:lang w:val="en-US"/>
        </w:rPr>
        <w:t>Reinterpretation of s</w:t>
      </w:r>
      <w:r>
        <w:rPr>
          <w:rFonts w:eastAsiaTheme="minorEastAsia"/>
          <w:lang w:val="en-US"/>
        </w:rPr>
        <w:t>ome DCI fields can be supported to reduce the DCI size</w:t>
      </w:r>
      <w:r w:rsidR="00C33A3B">
        <w:rPr>
          <w:rFonts w:eastAsiaTheme="minorEastAsia"/>
          <w:lang w:val="en-US"/>
        </w:rPr>
        <w:t>.</w:t>
      </w:r>
    </w:p>
    <w:p w14:paraId="198C7F08" w14:textId="3E5B0194" w:rsidR="00E72F33" w:rsidRPr="00ED2167" w:rsidRDefault="00C81331" w:rsidP="00C81331">
      <w:pPr>
        <w:pStyle w:val="Heading2"/>
      </w:pPr>
      <w:r w:rsidRPr="00C81331">
        <w:t>HARQ-ACK bundling</w:t>
      </w:r>
    </w:p>
    <w:p w14:paraId="0822951E" w14:textId="2DF99285" w:rsidR="00ED4477" w:rsidRDefault="00712B8D" w:rsidP="003D1937">
      <w:pPr>
        <w:rPr>
          <w:rFonts w:eastAsiaTheme="minorEastAsia"/>
          <w:lang w:val="en-US"/>
        </w:rPr>
      </w:pPr>
      <w:r>
        <w:rPr>
          <w:rFonts w:eastAsiaTheme="minorEastAsia"/>
          <w:lang w:val="en-US"/>
        </w:rPr>
        <w:t xml:space="preserve">With the introduction of CBG-level HARQ-ACK feedback, the HARQ-ACK codebook size can be much larger than that in LTE. In some cases, </w:t>
      </w:r>
      <w:r w:rsidRPr="00C81331">
        <w:rPr>
          <w:rFonts w:eastAsiaTheme="minorEastAsia"/>
          <w:lang w:val="en-US"/>
        </w:rPr>
        <w:t>HARQ-ACK bundling for the CBGs</w:t>
      </w:r>
      <w:r>
        <w:rPr>
          <w:rFonts w:eastAsiaTheme="minorEastAsia"/>
          <w:lang w:val="en-US"/>
        </w:rPr>
        <w:t xml:space="preserve"> within a TB and </w:t>
      </w:r>
      <w:r w:rsidRPr="00C81331">
        <w:rPr>
          <w:rFonts w:eastAsiaTheme="minorEastAsia"/>
          <w:lang w:val="en-US"/>
        </w:rPr>
        <w:t>HARQ-ACK bundling for the CBGs</w:t>
      </w:r>
      <w:r>
        <w:rPr>
          <w:rFonts w:eastAsiaTheme="minorEastAsia"/>
          <w:lang w:val="en-US"/>
        </w:rPr>
        <w:t xml:space="preserve"> across TBs can be considered to reduce the CBG-level HARQ-ACK feedback information bits.</w:t>
      </w:r>
    </w:p>
    <w:p w14:paraId="31BF6642" w14:textId="5905EEE5" w:rsidR="00910913" w:rsidRPr="00910913" w:rsidRDefault="00910913" w:rsidP="003D1937">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2</w:t>
      </w:r>
      <w:r w:rsidRPr="009665DC">
        <w:rPr>
          <w:rFonts w:eastAsiaTheme="minorEastAsia" w:hint="eastAsia"/>
          <w:b/>
          <w:u w:val="single"/>
          <w:lang w:val="en-US"/>
        </w:rPr>
        <w:t>:</w:t>
      </w:r>
    </w:p>
    <w:p w14:paraId="16C2BAF6" w14:textId="6DDE46C9" w:rsidR="00ED4477" w:rsidRDefault="00C81331" w:rsidP="00C81331">
      <w:pPr>
        <w:pStyle w:val="ListParagraph"/>
        <w:numPr>
          <w:ilvl w:val="0"/>
          <w:numId w:val="11"/>
        </w:numPr>
        <w:ind w:firstLineChars="0"/>
        <w:rPr>
          <w:rFonts w:eastAsiaTheme="minorEastAsia"/>
          <w:lang w:val="en-US"/>
        </w:rPr>
      </w:pPr>
      <w:r w:rsidRPr="00C81331">
        <w:rPr>
          <w:rFonts w:eastAsiaTheme="minorEastAsia"/>
          <w:lang w:val="en-US"/>
        </w:rPr>
        <w:t>HARQ-ACK bundling for the CBGs</w:t>
      </w:r>
      <w:r w:rsidR="004974AF">
        <w:rPr>
          <w:rFonts w:eastAsiaTheme="minorEastAsia"/>
          <w:lang w:val="en-US"/>
        </w:rPr>
        <w:t xml:space="preserve"> within a TB and/or</w:t>
      </w:r>
      <w:r w:rsidRPr="00C81331">
        <w:rPr>
          <w:rFonts w:eastAsiaTheme="minorEastAsia"/>
          <w:lang w:val="en-US"/>
        </w:rPr>
        <w:t xml:space="preserve"> across TBs</w:t>
      </w:r>
      <w:r>
        <w:rPr>
          <w:rFonts w:eastAsiaTheme="minorEastAsia"/>
          <w:lang w:val="en-US"/>
        </w:rPr>
        <w:t xml:space="preserve"> should be supported for </w:t>
      </w:r>
      <w:r w:rsidR="004974AF">
        <w:rPr>
          <w:rFonts w:eastAsiaTheme="minorEastAsia"/>
          <w:lang w:val="en-US"/>
        </w:rPr>
        <w:t>c</w:t>
      </w:r>
      <w:r w:rsidRPr="00C81331">
        <w:rPr>
          <w:rFonts w:eastAsiaTheme="minorEastAsia"/>
          <w:lang w:val="en-US"/>
        </w:rPr>
        <w:t>ompressed CBG level HARQ-ACK feedback</w:t>
      </w:r>
      <w:r w:rsidR="005F696A" w:rsidRPr="00ED2167">
        <w:rPr>
          <w:rFonts w:eastAsiaTheme="minorEastAsia"/>
          <w:lang w:val="en-US"/>
        </w:rPr>
        <w:t>.</w:t>
      </w:r>
    </w:p>
    <w:p w14:paraId="3BDCFA92" w14:textId="77777777" w:rsidR="00F62E44" w:rsidRPr="00ED2167" w:rsidRDefault="00F62E44" w:rsidP="00F62E44">
      <w:pPr>
        <w:pStyle w:val="ListParagraph"/>
        <w:ind w:left="360" w:firstLineChars="0" w:firstLine="0"/>
        <w:rPr>
          <w:rFonts w:eastAsiaTheme="minorEastAsia"/>
          <w:lang w:val="en-US"/>
        </w:rPr>
      </w:pPr>
    </w:p>
    <w:p w14:paraId="2A3FC91E" w14:textId="77777777" w:rsidR="00A87236" w:rsidRDefault="00A87236" w:rsidP="00A87236">
      <w:pPr>
        <w:pStyle w:val="Heading2"/>
        <w:rPr>
          <w:lang w:val="en-US"/>
        </w:rPr>
      </w:pPr>
      <w:r>
        <w:t>TB-level HARQ-ACK</w:t>
      </w:r>
    </w:p>
    <w:p w14:paraId="6C13527F" w14:textId="2ED649E9" w:rsidR="00A87236" w:rsidRPr="0069718D" w:rsidRDefault="004974AF" w:rsidP="00A87236">
      <w:pPr>
        <w:rPr>
          <w:rFonts w:eastAsiaTheme="minorEastAsia"/>
          <w:lang w:val="en-US"/>
        </w:rPr>
      </w:pPr>
      <w:r>
        <w:rPr>
          <w:rFonts w:eastAsiaTheme="minorEastAsia"/>
          <w:lang w:val="en-US"/>
        </w:rPr>
        <w:t>A</w:t>
      </w:r>
      <w:r w:rsidRPr="00A53E03">
        <w:rPr>
          <w:rFonts w:eastAsiaTheme="minorEastAsia"/>
          <w:lang w:val="en-US"/>
        </w:rPr>
        <w:t xml:space="preserve"> fallback solution from CBG-level </w:t>
      </w:r>
      <w:r w:rsidRPr="00F66D33">
        <w:rPr>
          <w:rFonts w:eastAsiaTheme="minorEastAsia"/>
          <w:lang w:val="en-US"/>
        </w:rPr>
        <w:t>HARQ-ACK</w:t>
      </w:r>
      <w:r w:rsidRPr="00A53E03">
        <w:rPr>
          <w:rFonts w:eastAsiaTheme="minorEastAsia"/>
          <w:lang w:val="en-US"/>
        </w:rPr>
        <w:t xml:space="preserve"> to TB-level </w:t>
      </w:r>
      <w:r w:rsidRPr="00F66D33">
        <w:rPr>
          <w:rFonts w:eastAsiaTheme="minorEastAsia"/>
          <w:lang w:val="en-US"/>
        </w:rPr>
        <w:t>HARQ-ACK</w:t>
      </w:r>
      <w:r w:rsidRPr="00A53E03">
        <w:rPr>
          <w:rFonts w:eastAsiaTheme="minorEastAsia"/>
          <w:lang w:val="en-US"/>
        </w:rPr>
        <w:t xml:space="preserve"> </w:t>
      </w:r>
      <w:r>
        <w:rPr>
          <w:rFonts w:eastAsiaTheme="minorEastAsia"/>
          <w:lang w:val="en-US"/>
        </w:rPr>
        <w:t>should be supported in NR</w:t>
      </w:r>
      <w:r w:rsidRPr="00A53E03">
        <w:rPr>
          <w:rFonts w:eastAsiaTheme="minorEastAsia"/>
          <w:lang w:val="en-US"/>
        </w:rPr>
        <w:t>.</w:t>
      </w:r>
      <w:r>
        <w:rPr>
          <w:rFonts w:eastAsiaTheme="minorEastAsia"/>
          <w:lang w:val="en-US"/>
        </w:rPr>
        <w:t xml:space="preserve"> If CBG-level HARQ-ACK bits are already used to indicate which CBGs are not received successfully, an additional TB-level NACK is not necessary. However, if all the CBGs are decoded successfully and TB CRC check is passed, 1-bit TB-level ACK can be used instead of CBG-level HARQ-ACK bits to reduce the payload size.</w:t>
      </w:r>
    </w:p>
    <w:p w14:paraId="44F97CC6" w14:textId="63DF7400" w:rsidR="00163F50" w:rsidRPr="009665DC" w:rsidRDefault="00163F50" w:rsidP="00163F5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CE35B0">
        <w:rPr>
          <w:rFonts w:eastAsiaTheme="minorEastAsia"/>
          <w:b/>
          <w:u w:val="single"/>
          <w:lang w:val="en-US"/>
        </w:rPr>
        <w:t>3</w:t>
      </w:r>
      <w:r w:rsidRPr="009665DC">
        <w:rPr>
          <w:rFonts w:eastAsiaTheme="minorEastAsia" w:hint="eastAsia"/>
          <w:b/>
          <w:u w:val="single"/>
          <w:lang w:val="en-US"/>
        </w:rPr>
        <w:t>:</w:t>
      </w:r>
    </w:p>
    <w:p w14:paraId="7DDE2FFD" w14:textId="26A88A5B" w:rsidR="00163F50" w:rsidRDefault="00CE35B0" w:rsidP="00615190">
      <w:pPr>
        <w:pStyle w:val="ListParagraph"/>
        <w:numPr>
          <w:ilvl w:val="0"/>
          <w:numId w:val="11"/>
        </w:numPr>
        <w:ind w:firstLineChars="0"/>
        <w:rPr>
          <w:rFonts w:eastAsiaTheme="minorEastAsia"/>
          <w:lang w:val="en-US"/>
        </w:rPr>
      </w:pPr>
      <w:r>
        <w:rPr>
          <w:rFonts w:eastAsiaTheme="minorEastAsia"/>
          <w:lang w:val="en-US"/>
        </w:rPr>
        <w:t>In addition to the case that PDSCH is scheduled by fallback DCI, f</w:t>
      </w:r>
      <w:r w:rsidR="00B03490">
        <w:rPr>
          <w:rFonts w:eastAsiaTheme="minorEastAsia"/>
          <w:lang w:val="en-US"/>
        </w:rPr>
        <w:t xml:space="preserve">allback from CBG-level HARQ-ACK to </w:t>
      </w:r>
      <w:r w:rsidR="00163F50">
        <w:rPr>
          <w:rFonts w:eastAsiaTheme="minorEastAsia"/>
          <w:lang w:val="en-US"/>
        </w:rPr>
        <w:t>TB-level HARQ-ACK is</w:t>
      </w:r>
      <w:r>
        <w:rPr>
          <w:rFonts w:eastAsiaTheme="minorEastAsia"/>
          <w:lang w:val="en-US"/>
        </w:rPr>
        <w:t xml:space="preserve"> also</w:t>
      </w:r>
      <w:r w:rsidR="00163F50">
        <w:rPr>
          <w:rFonts w:eastAsiaTheme="minorEastAsia"/>
          <w:lang w:val="en-US"/>
        </w:rPr>
        <w:t xml:space="preserve"> supported/applied for CBG-based (re)transmission in the following cases:</w:t>
      </w:r>
    </w:p>
    <w:p w14:paraId="1E4F288A" w14:textId="1E3956F7" w:rsidR="00163F50" w:rsidRPr="00163F50" w:rsidRDefault="00CE35B0" w:rsidP="00615190">
      <w:pPr>
        <w:pStyle w:val="ListParagraph"/>
        <w:numPr>
          <w:ilvl w:val="1"/>
          <w:numId w:val="11"/>
        </w:numPr>
        <w:ind w:firstLineChars="0"/>
        <w:rPr>
          <w:rFonts w:eastAsiaTheme="minorEastAsia"/>
          <w:lang w:val="en-US"/>
        </w:rPr>
      </w:pPr>
      <w:r>
        <w:rPr>
          <w:rFonts w:eastAsiaTheme="minorEastAsia"/>
          <w:lang w:val="en-US"/>
        </w:rPr>
        <w:t xml:space="preserve">All </w:t>
      </w:r>
      <w:r w:rsidR="00163F50" w:rsidRPr="00163F50">
        <w:rPr>
          <w:rFonts w:eastAsiaTheme="minorEastAsia"/>
          <w:lang w:val="en-US"/>
        </w:rPr>
        <w:t>HARQ-ACKs corresponding to all CBGs are ACK or NACK</w:t>
      </w:r>
    </w:p>
    <w:p w14:paraId="3C50C0BB" w14:textId="1658095C" w:rsidR="00A87236" w:rsidRPr="009665DC" w:rsidRDefault="00A87236" w:rsidP="00A8723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CE35B0">
        <w:rPr>
          <w:rFonts w:eastAsiaTheme="minorEastAsia"/>
          <w:b/>
          <w:u w:val="single"/>
          <w:lang w:val="en-US"/>
        </w:rPr>
        <w:t>4</w:t>
      </w:r>
      <w:r w:rsidRPr="009665DC">
        <w:rPr>
          <w:rFonts w:eastAsiaTheme="minorEastAsia" w:hint="eastAsia"/>
          <w:b/>
          <w:u w:val="single"/>
          <w:lang w:val="en-US"/>
        </w:rPr>
        <w:t>:</w:t>
      </w:r>
    </w:p>
    <w:p w14:paraId="00FEA3AC" w14:textId="77777777" w:rsidR="00D050B6" w:rsidRPr="00D050B6" w:rsidRDefault="00A87236" w:rsidP="00D050B6">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14:paraId="43D9B9E0" w14:textId="77777777" w:rsidR="009916D5" w:rsidRPr="0014090F" w:rsidRDefault="009916D5" w:rsidP="009916D5">
      <w:pPr>
        <w:pStyle w:val="Heading1"/>
        <w:spacing w:after="180"/>
        <w:rPr>
          <w:lang w:val="en-US"/>
        </w:rPr>
      </w:pPr>
      <w:r w:rsidRPr="0014090F">
        <w:rPr>
          <w:lang w:val="en-US"/>
        </w:rPr>
        <w:t>Conclusion</w:t>
      </w:r>
    </w:p>
    <w:p w14:paraId="12BCAFA7" w14:textId="77777777" w:rsidR="009916D5" w:rsidRPr="007E0489" w:rsidRDefault="009916D5" w:rsidP="009916D5">
      <w:pPr>
        <w:rPr>
          <w:rFonts w:eastAsiaTheme="minorEastAsia"/>
          <w:lang w:val="en-US"/>
        </w:rPr>
      </w:pPr>
      <w:r w:rsidRPr="007E0489">
        <w:rPr>
          <w:rFonts w:eastAsiaTheme="minorEastAsia"/>
          <w:lang w:val="en-US"/>
        </w:rPr>
        <w:t>In this contribution, we have the following proposals:</w:t>
      </w:r>
    </w:p>
    <w:p w14:paraId="25E4862F" w14:textId="77777777" w:rsidR="00EA7506" w:rsidRPr="009665DC" w:rsidRDefault="00EA7506" w:rsidP="00EA750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1</w:t>
      </w:r>
      <w:r w:rsidRPr="009665DC">
        <w:rPr>
          <w:rFonts w:eastAsiaTheme="minorEastAsia" w:hint="eastAsia"/>
          <w:b/>
          <w:u w:val="single"/>
          <w:lang w:val="en-US"/>
        </w:rPr>
        <w:t>:</w:t>
      </w:r>
    </w:p>
    <w:p w14:paraId="4AFC7B4F" w14:textId="77777777" w:rsidR="00EA7506" w:rsidRPr="00D050B6" w:rsidRDefault="00EA7506" w:rsidP="00EA7506">
      <w:pPr>
        <w:pStyle w:val="ListParagraph"/>
        <w:numPr>
          <w:ilvl w:val="0"/>
          <w:numId w:val="11"/>
        </w:numPr>
        <w:ind w:firstLineChars="0"/>
        <w:rPr>
          <w:rFonts w:eastAsiaTheme="minorEastAsia"/>
          <w:lang w:val="en-US"/>
        </w:rPr>
      </w:pPr>
      <w:r w:rsidRPr="00C81331">
        <w:rPr>
          <w:rFonts w:eastAsiaTheme="minorEastAsia"/>
          <w:lang w:val="en-US"/>
        </w:rPr>
        <w:t>Reinterpretation of s</w:t>
      </w:r>
      <w:r>
        <w:rPr>
          <w:rFonts w:eastAsiaTheme="minorEastAsia"/>
          <w:lang w:val="en-US"/>
        </w:rPr>
        <w:t>ome DCI fields can be supported to reduce the DCI size.</w:t>
      </w:r>
    </w:p>
    <w:p w14:paraId="1FDA3A4D" w14:textId="77777777" w:rsidR="00EA7506" w:rsidRPr="00910913" w:rsidRDefault="00EA7506" w:rsidP="00EA750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2</w:t>
      </w:r>
      <w:r w:rsidRPr="009665DC">
        <w:rPr>
          <w:rFonts w:eastAsiaTheme="minorEastAsia" w:hint="eastAsia"/>
          <w:b/>
          <w:u w:val="single"/>
          <w:lang w:val="en-US"/>
        </w:rPr>
        <w:t>:</w:t>
      </w:r>
    </w:p>
    <w:p w14:paraId="11FB6482" w14:textId="5E9EB573" w:rsidR="00EA7506" w:rsidRDefault="009F246D" w:rsidP="00EA7506">
      <w:pPr>
        <w:pStyle w:val="ListParagraph"/>
        <w:numPr>
          <w:ilvl w:val="0"/>
          <w:numId w:val="11"/>
        </w:numPr>
        <w:ind w:firstLineChars="0"/>
        <w:rPr>
          <w:rFonts w:eastAsiaTheme="minorEastAsia"/>
          <w:lang w:val="en-US"/>
        </w:rPr>
      </w:pPr>
      <w:r w:rsidRPr="00C81331">
        <w:rPr>
          <w:rFonts w:eastAsiaTheme="minorEastAsia"/>
          <w:lang w:val="en-US"/>
        </w:rPr>
        <w:t>HARQ-ACK bundling for the CBGs</w:t>
      </w:r>
      <w:r>
        <w:rPr>
          <w:rFonts w:eastAsiaTheme="minorEastAsia"/>
          <w:lang w:val="en-US"/>
        </w:rPr>
        <w:t xml:space="preserve"> within a TB and/or</w:t>
      </w:r>
      <w:r w:rsidRPr="00C81331">
        <w:rPr>
          <w:rFonts w:eastAsiaTheme="minorEastAsia"/>
          <w:lang w:val="en-US"/>
        </w:rPr>
        <w:t xml:space="preserve"> across TBs</w:t>
      </w:r>
      <w:r>
        <w:rPr>
          <w:rFonts w:eastAsiaTheme="minorEastAsia"/>
          <w:lang w:val="en-US"/>
        </w:rPr>
        <w:t xml:space="preserve"> should be supported for c</w:t>
      </w:r>
      <w:r w:rsidRPr="00C81331">
        <w:rPr>
          <w:rFonts w:eastAsiaTheme="minorEastAsia"/>
          <w:lang w:val="en-US"/>
        </w:rPr>
        <w:t>ompressed CBG level HARQ-ACK feedback</w:t>
      </w:r>
      <w:r w:rsidR="00EA7506" w:rsidRPr="00ED2167">
        <w:rPr>
          <w:rFonts w:eastAsiaTheme="minorEastAsia"/>
          <w:lang w:val="en-US"/>
        </w:rPr>
        <w:t>.</w:t>
      </w:r>
    </w:p>
    <w:p w14:paraId="21E99704" w14:textId="77777777" w:rsidR="00EA7506" w:rsidRPr="009665DC" w:rsidRDefault="00EA7506" w:rsidP="00EA750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14:paraId="19533AF7" w14:textId="77777777" w:rsidR="00EA7506" w:rsidRDefault="00EA7506" w:rsidP="00EA7506">
      <w:pPr>
        <w:pStyle w:val="ListParagraph"/>
        <w:numPr>
          <w:ilvl w:val="0"/>
          <w:numId w:val="11"/>
        </w:numPr>
        <w:ind w:firstLineChars="0"/>
        <w:rPr>
          <w:rFonts w:eastAsiaTheme="minorEastAsia"/>
          <w:lang w:val="en-US"/>
        </w:rPr>
      </w:pPr>
      <w:r>
        <w:rPr>
          <w:rFonts w:eastAsiaTheme="minorEastAsia"/>
          <w:lang w:val="en-US"/>
        </w:rPr>
        <w:t>In addition to the case that PDSCH is scheduled by fallback DCI, fallback from CBG-level HARQ-ACK to TB-level HARQ-ACK is also supported/applied for CBG-based (re)transmission in the following cases:</w:t>
      </w:r>
    </w:p>
    <w:p w14:paraId="2909C649" w14:textId="77777777" w:rsidR="00EA7506" w:rsidRPr="00163F50" w:rsidRDefault="00EA7506" w:rsidP="00EA7506">
      <w:pPr>
        <w:pStyle w:val="ListParagraph"/>
        <w:numPr>
          <w:ilvl w:val="1"/>
          <w:numId w:val="11"/>
        </w:numPr>
        <w:ind w:firstLineChars="0"/>
        <w:rPr>
          <w:rFonts w:eastAsiaTheme="minorEastAsia"/>
          <w:lang w:val="en-US"/>
        </w:rPr>
      </w:pPr>
      <w:r>
        <w:rPr>
          <w:rFonts w:eastAsiaTheme="minorEastAsia"/>
          <w:lang w:val="en-US"/>
        </w:rPr>
        <w:t xml:space="preserve">All </w:t>
      </w:r>
      <w:r w:rsidRPr="00163F50">
        <w:rPr>
          <w:rFonts w:eastAsiaTheme="minorEastAsia"/>
          <w:lang w:val="en-US"/>
        </w:rPr>
        <w:t>HARQ-ACKs corresponding to all CBGs are ACK or NACK</w:t>
      </w:r>
    </w:p>
    <w:p w14:paraId="47EAD651" w14:textId="77777777" w:rsidR="00EA7506" w:rsidRPr="009665DC" w:rsidRDefault="00EA7506" w:rsidP="00EA750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14:paraId="0371CA25" w14:textId="38090676" w:rsidR="009916D5" w:rsidRPr="00EA7506" w:rsidRDefault="00EA7506" w:rsidP="00096110">
      <w:pPr>
        <w:pStyle w:val="ListParagraph"/>
        <w:numPr>
          <w:ilvl w:val="0"/>
          <w:numId w:val="11"/>
        </w:numPr>
        <w:ind w:firstLineChars="0"/>
        <w:rPr>
          <w:rFonts w:eastAsiaTheme="minorEastAsia"/>
          <w:lang w:val="en-US"/>
        </w:rPr>
      </w:pPr>
      <w:r w:rsidRPr="00EA7506">
        <w:rPr>
          <w:rFonts w:eastAsiaTheme="minorEastAsia"/>
          <w:lang w:val="en-US"/>
        </w:rPr>
        <w:t>Different PUCCH format or PUCCH resource should be used to support the fallback from CBG-level HARQ-ACK to TB-level HARQ-ACK.</w:t>
      </w:r>
    </w:p>
    <w:p w14:paraId="3F649561" w14:textId="77777777" w:rsidR="009916D5" w:rsidRPr="0014090F" w:rsidRDefault="009916D5" w:rsidP="009916D5">
      <w:pPr>
        <w:pStyle w:val="Heading1"/>
        <w:spacing w:after="180"/>
        <w:rPr>
          <w:rStyle w:val="Strong"/>
          <w:lang w:val="en-US"/>
        </w:rPr>
      </w:pPr>
      <w:r w:rsidRPr="0014090F">
        <w:rPr>
          <w:lang w:val="en-US"/>
        </w:rPr>
        <w:lastRenderedPageBreak/>
        <w:t>References</w:t>
      </w:r>
    </w:p>
    <w:p w14:paraId="10C37CF6" w14:textId="77777777" w:rsidR="009916D5" w:rsidRDefault="009916D5" w:rsidP="009916D5">
      <w:pPr>
        <w:pStyle w:val="textintend2"/>
      </w:pPr>
      <w:r w:rsidRPr="00727DF6">
        <w:t xml:space="preserve">RAN1 chairman’s note in </w:t>
      </w:r>
      <w:r w:rsidRPr="00FE4B97">
        <w:t>RAN1-</w:t>
      </w:r>
      <w:r>
        <w:t>#90</w:t>
      </w:r>
      <w:r w:rsidRPr="0014090F">
        <w:t xml:space="preserve">, </w:t>
      </w:r>
      <w:r>
        <w:t>Aug</w:t>
      </w:r>
      <w:r w:rsidRPr="0014090F">
        <w:t xml:space="preserve"> 201</w:t>
      </w:r>
      <w:r>
        <w:t>7</w:t>
      </w:r>
    </w:p>
    <w:p w14:paraId="74312D10" w14:textId="45CA56B8" w:rsidR="00554A60" w:rsidRDefault="00554A60" w:rsidP="00A66961">
      <w:pPr>
        <w:pStyle w:val="textintend2"/>
      </w:pPr>
      <w:r w:rsidRPr="00727DF6">
        <w:t xml:space="preserve">RAN1 chairman’s note in </w:t>
      </w:r>
      <w:r w:rsidRPr="00FE4B97">
        <w:t>RAN1-</w:t>
      </w:r>
      <w:r>
        <w:t>NR#3</w:t>
      </w:r>
      <w:r w:rsidRPr="0014090F">
        <w:t xml:space="preserve">, </w:t>
      </w:r>
      <w:r>
        <w:t>Sept</w:t>
      </w:r>
      <w:r w:rsidRPr="0014090F">
        <w:t xml:space="preserve"> 201</w:t>
      </w:r>
      <w:r>
        <w:t>7</w:t>
      </w:r>
    </w:p>
    <w:p w14:paraId="6ED4D1F4" w14:textId="262CC618" w:rsidR="00C86465" w:rsidRDefault="00C86465" w:rsidP="00C86465">
      <w:pPr>
        <w:pStyle w:val="textintend2"/>
      </w:pPr>
      <w:r w:rsidRPr="00727DF6">
        <w:t xml:space="preserve">RAN1 chairman’s note in </w:t>
      </w:r>
      <w:r w:rsidRPr="00FE4B97">
        <w:t>RAN1-</w:t>
      </w:r>
      <w:r>
        <w:t>#90b</w:t>
      </w:r>
      <w:r w:rsidRPr="0014090F">
        <w:t xml:space="preserve">, </w:t>
      </w:r>
      <w:r>
        <w:t>Oct</w:t>
      </w:r>
      <w:r w:rsidRPr="0014090F">
        <w:t xml:space="preserve"> 201</w:t>
      </w:r>
      <w:r>
        <w:t>7</w:t>
      </w:r>
    </w:p>
    <w:p w14:paraId="369DB139" w14:textId="77777777" w:rsidR="001F2C04" w:rsidRDefault="001F2C04" w:rsidP="009916D5">
      <w:pPr>
        <w:pStyle w:val="Heading2"/>
        <w:numPr>
          <w:ilvl w:val="0"/>
          <w:numId w:val="0"/>
        </w:numPr>
        <w:ind w:left="567"/>
      </w:pP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918F4" w14:textId="77777777" w:rsidR="00D6242B" w:rsidRDefault="00D6242B">
      <w:r>
        <w:separator/>
      </w:r>
    </w:p>
  </w:endnote>
  <w:endnote w:type="continuationSeparator" w:id="0">
    <w:p w14:paraId="6A207F87" w14:textId="77777777" w:rsidR="00D6242B" w:rsidRDefault="00D6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CB81B" w14:textId="77777777" w:rsidR="00E72F33" w:rsidRDefault="00E72F33">
    <w:pPr>
      <w:pStyle w:val="Footer"/>
      <w:jc w:val="center"/>
    </w:pPr>
    <w:r>
      <w:rPr>
        <w:b/>
      </w:rPr>
      <w:fldChar w:fldCharType="begin"/>
    </w:r>
    <w:r>
      <w:rPr>
        <w:b/>
      </w:rPr>
      <w:instrText>PAGE</w:instrText>
    </w:r>
    <w:r>
      <w:rPr>
        <w:b/>
      </w:rPr>
      <w:fldChar w:fldCharType="separate"/>
    </w:r>
    <w:r w:rsidR="0033645C">
      <w:rPr>
        <w:b/>
        <w:noProof/>
      </w:rPr>
      <w:t>4</w:t>
    </w:r>
    <w:r>
      <w:rPr>
        <w:b/>
      </w:rPr>
      <w:fldChar w:fldCharType="end"/>
    </w:r>
  </w:p>
  <w:p w14:paraId="30AFA479" w14:textId="77777777" w:rsidR="00E72F33" w:rsidRDefault="00E72F3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68FD6" w14:textId="77777777" w:rsidR="00D6242B" w:rsidRDefault="00D6242B">
      <w:r>
        <w:separator/>
      </w:r>
    </w:p>
  </w:footnote>
  <w:footnote w:type="continuationSeparator" w:id="0">
    <w:p w14:paraId="7692CCC7" w14:textId="77777777" w:rsidR="00D6242B" w:rsidRDefault="00D62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3">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0345D3"/>
    <w:multiLevelType w:val="hybridMultilevel"/>
    <w:tmpl w:val="FB8E1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3E32692"/>
    <w:multiLevelType w:val="hybridMultilevel"/>
    <w:tmpl w:val="482ACA20"/>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8">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5">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4A5DF3"/>
    <w:multiLevelType w:val="hybridMultilevel"/>
    <w:tmpl w:val="32C2A4B0"/>
    <w:lvl w:ilvl="0" w:tplc="D9C63DFA">
      <w:start w:val="1"/>
      <w:numFmt w:val="bullet"/>
      <w:lvlText w:val="•"/>
      <w:lvlJc w:val="left"/>
      <w:pPr>
        <w:tabs>
          <w:tab w:val="num" w:pos="360"/>
        </w:tabs>
        <w:ind w:left="360" w:hanging="360"/>
      </w:pPr>
      <w:rPr>
        <w:rFonts w:ascii="Arial" w:hAnsi="Arial" w:hint="default"/>
      </w:rPr>
    </w:lvl>
    <w:lvl w:ilvl="1" w:tplc="D9C63DFA">
      <w:start w:val="1"/>
      <w:numFmt w:val="bullet"/>
      <w:lvlText w:val="•"/>
      <w:lvlJc w:val="left"/>
      <w:pPr>
        <w:tabs>
          <w:tab w:val="num" w:pos="1080"/>
        </w:tabs>
        <w:ind w:left="1080" w:hanging="360"/>
      </w:pPr>
      <w:rPr>
        <w:rFonts w:ascii="Arial" w:hAnsi="Arial" w:hint="default"/>
      </w:rPr>
    </w:lvl>
    <w:lvl w:ilvl="2" w:tplc="1C94A1D6">
      <w:start w:val="1940"/>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1">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2">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33">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4">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C66E2A"/>
    <w:multiLevelType w:val="hybridMultilevel"/>
    <w:tmpl w:val="369662E8"/>
    <w:lvl w:ilvl="0" w:tplc="A52ADDBA">
      <w:start w:val="1"/>
      <w:numFmt w:val="bullet"/>
      <w:lvlText w:val=""/>
      <w:lvlJc w:val="left"/>
      <w:pPr>
        <w:ind w:left="541" w:hanging="420"/>
      </w:pPr>
      <w:rPr>
        <w:rFonts w:ascii="Symbol" w:hAnsi="Symbol" w:hint="default"/>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abstractNum w:abstractNumId="3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5"/>
  </w:num>
  <w:num w:numId="2">
    <w:abstractNumId w:val="6"/>
  </w:num>
  <w:num w:numId="3">
    <w:abstractNumId w:val="16"/>
  </w:num>
  <w:num w:numId="4">
    <w:abstractNumId w:val="38"/>
  </w:num>
  <w:num w:numId="5">
    <w:abstractNumId w:val="22"/>
  </w:num>
  <w:num w:numId="6">
    <w:abstractNumId w:val="23"/>
  </w:num>
  <w:num w:numId="7">
    <w:abstractNumId w:val="20"/>
  </w:num>
  <w:num w:numId="8">
    <w:abstractNumId w:val="5"/>
  </w:num>
  <w:num w:numId="9">
    <w:abstractNumId w:val="42"/>
  </w:num>
  <w:num w:numId="10">
    <w:abstractNumId w:val="19"/>
  </w:num>
  <w:num w:numId="11">
    <w:abstractNumId w:val="30"/>
  </w:num>
  <w:num w:numId="12">
    <w:abstractNumId w:val="26"/>
  </w:num>
  <w:num w:numId="13">
    <w:abstractNumId w:val="14"/>
  </w:num>
  <w:num w:numId="14">
    <w:abstractNumId w:val="25"/>
  </w:num>
  <w:num w:numId="15">
    <w:abstractNumId w:val="21"/>
  </w:num>
  <w:num w:numId="16">
    <w:abstractNumId w:val="1"/>
  </w:num>
  <w:num w:numId="17">
    <w:abstractNumId w:val="33"/>
  </w:num>
  <w:num w:numId="18">
    <w:abstractNumId w:val="24"/>
  </w:num>
  <w:num w:numId="19">
    <w:abstractNumId w:val="7"/>
  </w:num>
  <w:num w:numId="20">
    <w:abstractNumId w:val="11"/>
  </w:num>
  <w:num w:numId="21">
    <w:abstractNumId w:val="41"/>
  </w:num>
  <w:num w:numId="22">
    <w:abstractNumId w:val="15"/>
  </w:num>
  <w:num w:numId="23">
    <w:abstractNumId w:val="12"/>
  </w:num>
  <w:num w:numId="24">
    <w:abstractNumId w:val="9"/>
  </w:num>
  <w:num w:numId="25">
    <w:abstractNumId w:val="40"/>
  </w:num>
  <w:num w:numId="26">
    <w:abstractNumId w:val="31"/>
  </w:num>
  <w:num w:numId="27">
    <w:abstractNumId w:val="30"/>
  </w:num>
  <w:num w:numId="28">
    <w:abstractNumId w:val="8"/>
  </w:num>
  <w:num w:numId="29">
    <w:abstractNumId w:val="17"/>
  </w:num>
  <w:num w:numId="30">
    <w:abstractNumId w:val="0"/>
  </w:num>
  <w:num w:numId="31">
    <w:abstractNumId w:val="35"/>
  </w:num>
  <w:num w:numId="32">
    <w:abstractNumId w:val="3"/>
  </w:num>
  <w:num w:numId="33">
    <w:abstractNumId w:val="13"/>
  </w:num>
  <w:num w:numId="34">
    <w:abstractNumId w:val="34"/>
  </w:num>
  <w:num w:numId="35">
    <w:abstractNumId w:val="27"/>
  </w:num>
  <w:num w:numId="36">
    <w:abstractNumId w:val="2"/>
  </w:num>
  <w:num w:numId="37">
    <w:abstractNumId w:val="32"/>
  </w:num>
  <w:num w:numId="38">
    <w:abstractNumId w:val="37"/>
  </w:num>
  <w:num w:numId="39">
    <w:abstractNumId w:val="29"/>
  </w:num>
  <w:num w:numId="40">
    <w:abstractNumId w:val="18"/>
  </w:num>
  <w:num w:numId="41">
    <w:abstractNumId w:val="37"/>
  </w:num>
  <w:num w:numId="42">
    <w:abstractNumId w:val="10"/>
  </w:num>
  <w:num w:numId="43">
    <w:abstractNumId w:val="39"/>
  </w:num>
  <w:num w:numId="44">
    <w:abstractNumId w:val="36"/>
  </w:num>
  <w:num w:numId="45">
    <w:abstractNumId w:val="28"/>
  </w:num>
  <w:num w:numId="4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598"/>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08FD"/>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04B"/>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1D7"/>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1BA"/>
    <w:rsid w:val="00121A95"/>
    <w:rsid w:val="0012251C"/>
    <w:rsid w:val="0012275A"/>
    <w:rsid w:val="001227E2"/>
    <w:rsid w:val="0012358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4A31"/>
    <w:rsid w:val="00135012"/>
    <w:rsid w:val="00135849"/>
    <w:rsid w:val="00135907"/>
    <w:rsid w:val="00135C12"/>
    <w:rsid w:val="00136762"/>
    <w:rsid w:val="00136890"/>
    <w:rsid w:val="0013771D"/>
    <w:rsid w:val="00137BD7"/>
    <w:rsid w:val="00137C24"/>
    <w:rsid w:val="00137CC2"/>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0510"/>
    <w:rsid w:val="00161A06"/>
    <w:rsid w:val="00161FF4"/>
    <w:rsid w:val="001629A9"/>
    <w:rsid w:val="001629C4"/>
    <w:rsid w:val="001629FA"/>
    <w:rsid w:val="00162B1E"/>
    <w:rsid w:val="00162D1B"/>
    <w:rsid w:val="00162DE9"/>
    <w:rsid w:val="001630AA"/>
    <w:rsid w:val="0016317E"/>
    <w:rsid w:val="00163F5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37E"/>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969"/>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90B"/>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41F"/>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0FA7"/>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6770"/>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4B1"/>
    <w:rsid w:val="00244BF2"/>
    <w:rsid w:val="002451FF"/>
    <w:rsid w:val="0024529E"/>
    <w:rsid w:val="002452B0"/>
    <w:rsid w:val="002452CB"/>
    <w:rsid w:val="002466FC"/>
    <w:rsid w:val="0024685B"/>
    <w:rsid w:val="00246917"/>
    <w:rsid w:val="00246C75"/>
    <w:rsid w:val="00246ED4"/>
    <w:rsid w:val="002476B6"/>
    <w:rsid w:val="00247811"/>
    <w:rsid w:val="0025082F"/>
    <w:rsid w:val="002509D2"/>
    <w:rsid w:val="002512A3"/>
    <w:rsid w:val="0025152F"/>
    <w:rsid w:val="00251B51"/>
    <w:rsid w:val="002522C7"/>
    <w:rsid w:val="00252FCC"/>
    <w:rsid w:val="0025364B"/>
    <w:rsid w:val="00253DD9"/>
    <w:rsid w:val="00254FE2"/>
    <w:rsid w:val="0025564F"/>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48B"/>
    <w:rsid w:val="00270643"/>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09B"/>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2E16"/>
    <w:rsid w:val="002A34A1"/>
    <w:rsid w:val="002A36E4"/>
    <w:rsid w:val="002A3956"/>
    <w:rsid w:val="002A3D8F"/>
    <w:rsid w:val="002A3F6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34AF"/>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2F3F"/>
    <w:rsid w:val="003335DF"/>
    <w:rsid w:val="003339D7"/>
    <w:rsid w:val="00334EBA"/>
    <w:rsid w:val="00334FFC"/>
    <w:rsid w:val="00335062"/>
    <w:rsid w:val="00335668"/>
    <w:rsid w:val="0033597C"/>
    <w:rsid w:val="00335A38"/>
    <w:rsid w:val="00336348"/>
    <w:rsid w:val="0033645C"/>
    <w:rsid w:val="00336920"/>
    <w:rsid w:val="00336E9C"/>
    <w:rsid w:val="00337859"/>
    <w:rsid w:val="003379BE"/>
    <w:rsid w:val="00340184"/>
    <w:rsid w:val="003403BC"/>
    <w:rsid w:val="00340ACE"/>
    <w:rsid w:val="00340AF7"/>
    <w:rsid w:val="00340D63"/>
    <w:rsid w:val="00341388"/>
    <w:rsid w:val="003419A5"/>
    <w:rsid w:val="003420D7"/>
    <w:rsid w:val="00342480"/>
    <w:rsid w:val="0034249C"/>
    <w:rsid w:val="00344193"/>
    <w:rsid w:val="0034492A"/>
    <w:rsid w:val="003459C5"/>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11F"/>
    <w:rsid w:val="00384394"/>
    <w:rsid w:val="00384F5D"/>
    <w:rsid w:val="0038592C"/>
    <w:rsid w:val="00385AD2"/>
    <w:rsid w:val="0038607A"/>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0AD"/>
    <w:rsid w:val="003B335B"/>
    <w:rsid w:val="003B45F5"/>
    <w:rsid w:val="003B4F08"/>
    <w:rsid w:val="003B612B"/>
    <w:rsid w:val="003B634A"/>
    <w:rsid w:val="003B6442"/>
    <w:rsid w:val="003B76E4"/>
    <w:rsid w:val="003C029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1937"/>
    <w:rsid w:val="003D2430"/>
    <w:rsid w:val="003D24A9"/>
    <w:rsid w:val="003D27EB"/>
    <w:rsid w:val="003D2BB7"/>
    <w:rsid w:val="003D2EE5"/>
    <w:rsid w:val="003D3750"/>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8E8"/>
    <w:rsid w:val="003F09C1"/>
    <w:rsid w:val="003F0B1F"/>
    <w:rsid w:val="003F0B92"/>
    <w:rsid w:val="003F0BD3"/>
    <w:rsid w:val="003F0CFA"/>
    <w:rsid w:val="003F11BC"/>
    <w:rsid w:val="003F289A"/>
    <w:rsid w:val="003F2DDF"/>
    <w:rsid w:val="003F2E06"/>
    <w:rsid w:val="003F348D"/>
    <w:rsid w:val="003F4D28"/>
    <w:rsid w:val="003F4F9D"/>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6DD6"/>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7BC"/>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4AF"/>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13A"/>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10F"/>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3C2"/>
    <w:rsid w:val="00503546"/>
    <w:rsid w:val="005049B0"/>
    <w:rsid w:val="00506031"/>
    <w:rsid w:val="0050697A"/>
    <w:rsid w:val="0050741B"/>
    <w:rsid w:val="005079E3"/>
    <w:rsid w:val="00510296"/>
    <w:rsid w:val="00510397"/>
    <w:rsid w:val="005106A3"/>
    <w:rsid w:val="005109E5"/>
    <w:rsid w:val="00511984"/>
    <w:rsid w:val="00512FAA"/>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4A60"/>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635"/>
    <w:rsid w:val="0057078A"/>
    <w:rsid w:val="00571258"/>
    <w:rsid w:val="005712C3"/>
    <w:rsid w:val="00571934"/>
    <w:rsid w:val="00571B57"/>
    <w:rsid w:val="00571E86"/>
    <w:rsid w:val="00572A6B"/>
    <w:rsid w:val="00574024"/>
    <w:rsid w:val="0057576A"/>
    <w:rsid w:val="00576873"/>
    <w:rsid w:val="00576A96"/>
    <w:rsid w:val="00577224"/>
    <w:rsid w:val="005803C8"/>
    <w:rsid w:val="00580763"/>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696A"/>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190"/>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47F97"/>
    <w:rsid w:val="00650C60"/>
    <w:rsid w:val="00650DAF"/>
    <w:rsid w:val="00650DC0"/>
    <w:rsid w:val="00651185"/>
    <w:rsid w:val="0065141E"/>
    <w:rsid w:val="00651437"/>
    <w:rsid w:val="00651671"/>
    <w:rsid w:val="00651C08"/>
    <w:rsid w:val="006524E5"/>
    <w:rsid w:val="0065292F"/>
    <w:rsid w:val="00652BC1"/>
    <w:rsid w:val="00653FDF"/>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2E6A"/>
    <w:rsid w:val="006632A6"/>
    <w:rsid w:val="00663A2F"/>
    <w:rsid w:val="00664181"/>
    <w:rsid w:val="00665E10"/>
    <w:rsid w:val="00665FC6"/>
    <w:rsid w:val="006663E6"/>
    <w:rsid w:val="00666D32"/>
    <w:rsid w:val="00667B49"/>
    <w:rsid w:val="00667BBE"/>
    <w:rsid w:val="00667E2D"/>
    <w:rsid w:val="00667F12"/>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0F69"/>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7AE"/>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44A"/>
    <w:rsid w:val="007125B2"/>
    <w:rsid w:val="00712B8D"/>
    <w:rsid w:val="0071328E"/>
    <w:rsid w:val="0071366D"/>
    <w:rsid w:val="00713B3F"/>
    <w:rsid w:val="00714231"/>
    <w:rsid w:val="00714FAF"/>
    <w:rsid w:val="007152FD"/>
    <w:rsid w:val="007159D6"/>
    <w:rsid w:val="00715D1D"/>
    <w:rsid w:val="0071671F"/>
    <w:rsid w:val="00716843"/>
    <w:rsid w:val="0071783F"/>
    <w:rsid w:val="00717964"/>
    <w:rsid w:val="00717B07"/>
    <w:rsid w:val="00721DDF"/>
    <w:rsid w:val="00721E1B"/>
    <w:rsid w:val="00722CBA"/>
    <w:rsid w:val="007231FF"/>
    <w:rsid w:val="007238F0"/>
    <w:rsid w:val="007239C5"/>
    <w:rsid w:val="00723BA7"/>
    <w:rsid w:val="00724672"/>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B6E"/>
    <w:rsid w:val="00744DDB"/>
    <w:rsid w:val="00745199"/>
    <w:rsid w:val="007457FA"/>
    <w:rsid w:val="00745F0E"/>
    <w:rsid w:val="00746887"/>
    <w:rsid w:val="00746919"/>
    <w:rsid w:val="00747B98"/>
    <w:rsid w:val="0075048D"/>
    <w:rsid w:val="00750703"/>
    <w:rsid w:val="00750A29"/>
    <w:rsid w:val="00750A5B"/>
    <w:rsid w:val="00750D1F"/>
    <w:rsid w:val="00750E79"/>
    <w:rsid w:val="007524D3"/>
    <w:rsid w:val="00753CF4"/>
    <w:rsid w:val="007540A6"/>
    <w:rsid w:val="00754802"/>
    <w:rsid w:val="007550DC"/>
    <w:rsid w:val="00755160"/>
    <w:rsid w:val="00755545"/>
    <w:rsid w:val="00755AB8"/>
    <w:rsid w:val="00755B3C"/>
    <w:rsid w:val="00755F60"/>
    <w:rsid w:val="007563AE"/>
    <w:rsid w:val="0075642D"/>
    <w:rsid w:val="007568E0"/>
    <w:rsid w:val="007569E4"/>
    <w:rsid w:val="00756ACF"/>
    <w:rsid w:val="0075782F"/>
    <w:rsid w:val="00760EEE"/>
    <w:rsid w:val="00761399"/>
    <w:rsid w:val="007614D2"/>
    <w:rsid w:val="0076276A"/>
    <w:rsid w:val="00762A2C"/>
    <w:rsid w:val="00763C1F"/>
    <w:rsid w:val="0076409D"/>
    <w:rsid w:val="007645DC"/>
    <w:rsid w:val="00764623"/>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C6D"/>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5E4F"/>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DD"/>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D64F6"/>
    <w:rsid w:val="007E02A2"/>
    <w:rsid w:val="007E0489"/>
    <w:rsid w:val="007E19F1"/>
    <w:rsid w:val="007E1DF6"/>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5EB6"/>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6"/>
    <w:rsid w:val="00822C1B"/>
    <w:rsid w:val="008230A6"/>
    <w:rsid w:val="00823115"/>
    <w:rsid w:val="008234E7"/>
    <w:rsid w:val="0082420D"/>
    <w:rsid w:val="008244C6"/>
    <w:rsid w:val="008247F8"/>
    <w:rsid w:val="00825324"/>
    <w:rsid w:val="00825978"/>
    <w:rsid w:val="00825DBF"/>
    <w:rsid w:val="0082633E"/>
    <w:rsid w:val="0082790B"/>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5D8F"/>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0AB"/>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A31"/>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6DC"/>
    <w:rsid w:val="008F2D2B"/>
    <w:rsid w:val="008F339E"/>
    <w:rsid w:val="008F376B"/>
    <w:rsid w:val="008F3F8B"/>
    <w:rsid w:val="008F5338"/>
    <w:rsid w:val="008F6F50"/>
    <w:rsid w:val="008F72E8"/>
    <w:rsid w:val="008F77E9"/>
    <w:rsid w:val="008F7BBF"/>
    <w:rsid w:val="008F7EBD"/>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0913"/>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473"/>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DC5"/>
    <w:rsid w:val="009506E1"/>
    <w:rsid w:val="00950FE5"/>
    <w:rsid w:val="00951403"/>
    <w:rsid w:val="0095150D"/>
    <w:rsid w:val="00951E37"/>
    <w:rsid w:val="009528D1"/>
    <w:rsid w:val="0095398F"/>
    <w:rsid w:val="00954511"/>
    <w:rsid w:val="00955617"/>
    <w:rsid w:val="00955946"/>
    <w:rsid w:val="00955D88"/>
    <w:rsid w:val="0095660C"/>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16D5"/>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515A"/>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C7DE8"/>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7DC"/>
    <w:rsid w:val="009E7A91"/>
    <w:rsid w:val="009E7C8A"/>
    <w:rsid w:val="009E7CA1"/>
    <w:rsid w:val="009E7ECE"/>
    <w:rsid w:val="009F0619"/>
    <w:rsid w:val="009F0C13"/>
    <w:rsid w:val="009F0DE7"/>
    <w:rsid w:val="009F145D"/>
    <w:rsid w:val="009F169C"/>
    <w:rsid w:val="009F246D"/>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449"/>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5E6"/>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236"/>
    <w:rsid w:val="00A87902"/>
    <w:rsid w:val="00A87EEC"/>
    <w:rsid w:val="00A90281"/>
    <w:rsid w:val="00A90515"/>
    <w:rsid w:val="00A90ECB"/>
    <w:rsid w:val="00A91076"/>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DD2"/>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490"/>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0976"/>
    <w:rsid w:val="00B416C6"/>
    <w:rsid w:val="00B41E54"/>
    <w:rsid w:val="00B42B98"/>
    <w:rsid w:val="00B433D1"/>
    <w:rsid w:val="00B437F0"/>
    <w:rsid w:val="00B439BF"/>
    <w:rsid w:val="00B44021"/>
    <w:rsid w:val="00B441EA"/>
    <w:rsid w:val="00B45C0A"/>
    <w:rsid w:val="00B46088"/>
    <w:rsid w:val="00B46979"/>
    <w:rsid w:val="00B47501"/>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66A00"/>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8C6"/>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6E7B"/>
    <w:rsid w:val="00BA7891"/>
    <w:rsid w:val="00BA7CDF"/>
    <w:rsid w:val="00BB15BD"/>
    <w:rsid w:val="00BB19C5"/>
    <w:rsid w:val="00BB282D"/>
    <w:rsid w:val="00BB2DC7"/>
    <w:rsid w:val="00BB30F7"/>
    <w:rsid w:val="00BB3A1E"/>
    <w:rsid w:val="00BB3EAE"/>
    <w:rsid w:val="00BB5E4C"/>
    <w:rsid w:val="00BB660D"/>
    <w:rsid w:val="00BB71F0"/>
    <w:rsid w:val="00BB7397"/>
    <w:rsid w:val="00BB73F0"/>
    <w:rsid w:val="00BB744D"/>
    <w:rsid w:val="00BB7DDD"/>
    <w:rsid w:val="00BB7E89"/>
    <w:rsid w:val="00BB7EA4"/>
    <w:rsid w:val="00BC0052"/>
    <w:rsid w:val="00BC0231"/>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17D6D"/>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A3B"/>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25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57932"/>
    <w:rsid w:val="00C60D67"/>
    <w:rsid w:val="00C60E7A"/>
    <w:rsid w:val="00C612E1"/>
    <w:rsid w:val="00C61C28"/>
    <w:rsid w:val="00C62754"/>
    <w:rsid w:val="00C64BB9"/>
    <w:rsid w:val="00C655BF"/>
    <w:rsid w:val="00C6591B"/>
    <w:rsid w:val="00C65C0F"/>
    <w:rsid w:val="00C66B02"/>
    <w:rsid w:val="00C66BD6"/>
    <w:rsid w:val="00C66E36"/>
    <w:rsid w:val="00C66E54"/>
    <w:rsid w:val="00C66E71"/>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331"/>
    <w:rsid w:val="00C81C3D"/>
    <w:rsid w:val="00C81F4F"/>
    <w:rsid w:val="00C82185"/>
    <w:rsid w:val="00C8235A"/>
    <w:rsid w:val="00C83CB0"/>
    <w:rsid w:val="00C83EAC"/>
    <w:rsid w:val="00C8458B"/>
    <w:rsid w:val="00C84B33"/>
    <w:rsid w:val="00C85541"/>
    <w:rsid w:val="00C86465"/>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4B6"/>
    <w:rsid w:val="00CB2A64"/>
    <w:rsid w:val="00CB310A"/>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0C3B"/>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5B0"/>
    <w:rsid w:val="00CE4500"/>
    <w:rsid w:val="00CE48A8"/>
    <w:rsid w:val="00CE5337"/>
    <w:rsid w:val="00CE5BFC"/>
    <w:rsid w:val="00CE73F2"/>
    <w:rsid w:val="00CE74F5"/>
    <w:rsid w:val="00CE7DD2"/>
    <w:rsid w:val="00CF052B"/>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4B5E"/>
    <w:rsid w:val="00D050B6"/>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1B75"/>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42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726"/>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76A"/>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2F33"/>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506"/>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23"/>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167"/>
    <w:rsid w:val="00ED362E"/>
    <w:rsid w:val="00ED369F"/>
    <w:rsid w:val="00ED3772"/>
    <w:rsid w:val="00ED4477"/>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3042"/>
    <w:rsid w:val="00EF46AC"/>
    <w:rsid w:val="00EF474D"/>
    <w:rsid w:val="00EF4F61"/>
    <w:rsid w:val="00EF5DF9"/>
    <w:rsid w:val="00EF678A"/>
    <w:rsid w:val="00EF73E9"/>
    <w:rsid w:val="00EF7DAE"/>
    <w:rsid w:val="00F005DA"/>
    <w:rsid w:val="00F00958"/>
    <w:rsid w:val="00F00CA2"/>
    <w:rsid w:val="00F01CDC"/>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47C4F"/>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2E44"/>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CED"/>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503"/>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3FE2"/>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 w:val="00FF7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53BF99"/>
  <w15:docId w15:val="{1DF5F8E6-A1A5-46A6-B90C-326F1BA9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7970631">
      <w:bodyDiv w:val="1"/>
      <w:marLeft w:val="0"/>
      <w:marRight w:val="0"/>
      <w:marTop w:val="0"/>
      <w:marBottom w:val="0"/>
      <w:divBdr>
        <w:top w:val="none" w:sz="0" w:space="0" w:color="auto"/>
        <w:left w:val="none" w:sz="0" w:space="0" w:color="auto"/>
        <w:bottom w:val="none" w:sz="0" w:space="0" w:color="auto"/>
        <w:right w:val="none" w:sz="0" w:space="0" w:color="auto"/>
      </w:divBdr>
      <w:divsChild>
        <w:div w:id="639385117">
          <w:marLeft w:val="1166"/>
          <w:marRight w:val="0"/>
          <w:marTop w:val="96"/>
          <w:marBottom w:val="0"/>
          <w:divBdr>
            <w:top w:val="none" w:sz="0" w:space="0" w:color="auto"/>
            <w:left w:val="none" w:sz="0" w:space="0" w:color="auto"/>
            <w:bottom w:val="none" w:sz="0" w:space="0" w:color="auto"/>
            <w:right w:val="none" w:sz="0" w:space="0" w:color="auto"/>
          </w:divBdr>
        </w:div>
      </w:divsChild>
    </w:div>
    <w:div w:id="157962052">
      <w:bodyDiv w:val="1"/>
      <w:marLeft w:val="0"/>
      <w:marRight w:val="0"/>
      <w:marTop w:val="0"/>
      <w:marBottom w:val="0"/>
      <w:divBdr>
        <w:top w:val="none" w:sz="0" w:space="0" w:color="auto"/>
        <w:left w:val="none" w:sz="0" w:space="0" w:color="auto"/>
        <w:bottom w:val="none" w:sz="0" w:space="0" w:color="auto"/>
        <w:right w:val="none" w:sz="0" w:space="0" w:color="auto"/>
      </w:divBdr>
      <w:divsChild>
        <w:div w:id="725180149">
          <w:marLeft w:val="1166"/>
          <w:marRight w:val="0"/>
          <w:marTop w:val="96"/>
          <w:marBottom w:val="0"/>
          <w:divBdr>
            <w:top w:val="none" w:sz="0" w:space="0" w:color="auto"/>
            <w:left w:val="none" w:sz="0" w:space="0" w:color="auto"/>
            <w:bottom w:val="none" w:sz="0" w:space="0" w:color="auto"/>
            <w:right w:val="none" w:sz="0" w:space="0" w:color="auto"/>
          </w:divBdr>
        </w:div>
      </w:divsChild>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397336">
      <w:bodyDiv w:val="1"/>
      <w:marLeft w:val="0"/>
      <w:marRight w:val="0"/>
      <w:marTop w:val="0"/>
      <w:marBottom w:val="0"/>
      <w:divBdr>
        <w:top w:val="none" w:sz="0" w:space="0" w:color="auto"/>
        <w:left w:val="none" w:sz="0" w:space="0" w:color="auto"/>
        <w:bottom w:val="none" w:sz="0" w:space="0" w:color="auto"/>
        <w:right w:val="none" w:sz="0" w:space="0" w:color="auto"/>
      </w:divBdr>
    </w:div>
    <w:div w:id="437917138">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64717302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6222089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7261028">
      <w:bodyDiv w:val="1"/>
      <w:marLeft w:val="0"/>
      <w:marRight w:val="0"/>
      <w:marTop w:val="0"/>
      <w:marBottom w:val="0"/>
      <w:divBdr>
        <w:top w:val="none" w:sz="0" w:space="0" w:color="auto"/>
        <w:left w:val="none" w:sz="0" w:space="0" w:color="auto"/>
        <w:bottom w:val="none" w:sz="0" w:space="0" w:color="auto"/>
        <w:right w:val="none" w:sz="0" w:space="0" w:color="auto"/>
      </w:divBdr>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730035390">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61641-6507-4E79-845D-BD3AC0FA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37</cp:revision>
  <cp:lastPrinted>2017-04-24T01:32:00Z</cp:lastPrinted>
  <dcterms:created xsi:type="dcterms:W3CDTF">2017-09-28T01:08:00Z</dcterms:created>
  <dcterms:modified xsi:type="dcterms:W3CDTF">2017-11-17T18:26:00Z</dcterms:modified>
</cp:coreProperties>
</file>