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A76" w:rsidRPr="00880A6C" w:rsidRDefault="00FD1A76" w:rsidP="00FD1A76">
      <w:pPr>
        <w:pStyle w:val="Header"/>
        <w:tabs>
          <w:tab w:val="clear" w:pos="4536"/>
        </w:tabs>
        <w:rPr>
          <w:i/>
          <w:sz w:val="28"/>
          <w:szCs w:val="28"/>
        </w:rPr>
      </w:pPr>
      <w:r>
        <w:rPr>
          <w:sz w:val="28"/>
          <w:szCs w:val="28"/>
        </w:rPr>
        <w:t xml:space="preserve">3GPP </w:t>
      </w:r>
      <w:r w:rsidRPr="00880A6C">
        <w:rPr>
          <w:sz w:val="28"/>
          <w:szCs w:val="28"/>
        </w:rPr>
        <w:t>TSG-RAN WG1 #9</w:t>
      </w:r>
      <w:r>
        <w:rPr>
          <w:sz w:val="28"/>
          <w:szCs w:val="28"/>
        </w:rPr>
        <w:t>1</w:t>
      </w:r>
      <w:r w:rsidRPr="00880A6C">
        <w:rPr>
          <w:sz w:val="28"/>
          <w:szCs w:val="28"/>
        </w:rPr>
        <w:tab/>
      </w:r>
      <w:r>
        <w:rPr>
          <w:color w:val="000000"/>
        </w:rPr>
        <w:t>R1-1721408</w:t>
      </w:r>
    </w:p>
    <w:p w:rsidR="00FD1A76" w:rsidRPr="00880A6C" w:rsidRDefault="00FD1A76" w:rsidP="00FD1A76">
      <w:pPr>
        <w:pStyle w:val="Header"/>
        <w:rPr>
          <w:color w:val="000000"/>
          <w:sz w:val="28"/>
          <w:szCs w:val="28"/>
        </w:rPr>
      </w:pPr>
      <w:r>
        <w:rPr>
          <w:sz w:val="28"/>
          <w:szCs w:val="28"/>
        </w:rPr>
        <w:t xml:space="preserve">Reno, USA, </w:t>
      </w:r>
      <w:r w:rsidRPr="00D52BF0">
        <w:rPr>
          <w:sz w:val="28"/>
          <w:szCs w:val="28"/>
        </w:rPr>
        <w:t>Nov 27th – Dec</w:t>
      </w:r>
      <w:r>
        <w:rPr>
          <w:sz w:val="28"/>
          <w:szCs w:val="28"/>
        </w:rPr>
        <w:t xml:space="preserve"> </w:t>
      </w:r>
      <w:r w:rsidRPr="00D52BF0">
        <w:rPr>
          <w:sz w:val="28"/>
          <w:szCs w:val="28"/>
        </w:rPr>
        <w:t>1st, 2017</w:t>
      </w:r>
    </w:p>
    <w:p w:rsidR="00FD1A76" w:rsidRPr="000833FA" w:rsidRDefault="00FD1A76" w:rsidP="00FD1A76">
      <w:pPr>
        <w:pStyle w:val="Header"/>
      </w:pPr>
    </w:p>
    <w:p w:rsidR="00FD1A76" w:rsidRPr="00880A6C" w:rsidRDefault="00FD1A76" w:rsidP="00FD1A76">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Pr>
          <w:sz w:val="22"/>
          <w:szCs w:val="22"/>
        </w:rPr>
        <w:t>Intel Corporation</w:t>
      </w:r>
      <w:r w:rsidRPr="00880A6C">
        <w:rPr>
          <w:sz w:val="22"/>
          <w:szCs w:val="22"/>
        </w:rPr>
        <w:t xml:space="preserve"> </w:t>
      </w:r>
    </w:p>
    <w:p w:rsidR="00FD1A76" w:rsidRPr="00880A6C" w:rsidRDefault="00FD1A76" w:rsidP="00FD1A76">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bookmarkStart w:id="1" w:name="_GoBack"/>
      <w:bookmarkEnd w:id="1"/>
      <w:r>
        <w:rPr>
          <w:sz w:val="22"/>
          <w:szCs w:val="22"/>
        </w:rPr>
        <w:t>Summary for AI 7.3.3.5</w:t>
      </w:r>
    </w:p>
    <w:p w:rsidR="00FD1A76" w:rsidRPr="00880A6C" w:rsidRDefault="00FD1A76" w:rsidP="00FD1A76">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t>7.</w:t>
      </w:r>
      <w:r>
        <w:rPr>
          <w:sz w:val="22"/>
          <w:szCs w:val="22"/>
        </w:rPr>
        <w:t>3.3.5</w:t>
      </w:r>
    </w:p>
    <w:p w:rsidR="00FD1A76" w:rsidRPr="00880A6C" w:rsidRDefault="00FD1A76" w:rsidP="00FD1A76">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rsidR="00FD1A76" w:rsidRPr="002100D2" w:rsidRDefault="00FD1A76" w:rsidP="00FD1A76">
      <w:pPr>
        <w:pBdr>
          <w:bottom w:val="single" w:sz="4" w:space="1" w:color="auto"/>
        </w:pBdr>
        <w:tabs>
          <w:tab w:val="left" w:pos="2552"/>
        </w:tabs>
      </w:pPr>
    </w:p>
    <w:p w:rsidR="00FD1A76" w:rsidRDefault="00FD1A76" w:rsidP="00FD1A76">
      <w:pPr>
        <w:pStyle w:val="Heading1"/>
      </w:pPr>
      <w:r w:rsidRPr="00845EAD">
        <w:rPr>
          <w:sz w:val="26"/>
        </w:rPr>
        <w:t>Introduction</w:t>
      </w:r>
    </w:p>
    <w:p w:rsidR="00FD1A76" w:rsidRDefault="00481520" w:rsidP="00FD1A76">
      <w:pPr>
        <w:pStyle w:val="BodyText"/>
      </w:pPr>
      <w:r>
        <w:t xml:space="preserve">This document summarizes some of the key topics discussed in Tdocs submitted under AI 7.3.3.5. </w:t>
      </w:r>
      <w:r w:rsidR="00FD1A76">
        <w:t xml:space="preserve"> </w:t>
      </w:r>
    </w:p>
    <w:p w:rsidR="00941BEA" w:rsidRPr="00666C11" w:rsidRDefault="00941BEA" w:rsidP="00941BEA">
      <w:pPr>
        <w:pStyle w:val="Heading1"/>
        <w:rPr>
          <w:sz w:val="26"/>
        </w:rPr>
      </w:pPr>
      <w:r>
        <w:rPr>
          <w:sz w:val="26"/>
        </w:rPr>
        <w:t>Details of LBRM</w:t>
      </w:r>
    </w:p>
    <w:p w:rsidR="00FD1A76" w:rsidRPr="002874E2" w:rsidRDefault="002874E2" w:rsidP="00FD1A76">
      <w:pPr>
        <w:pStyle w:val="BodyText"/>
        <w:rPr>
          <w:lang w:val="en-GB" w:eastAsia="zh-CN"/>
        </w:rPr>
      </w:pPr>
      <w:r w:rsidRPr="002874E2">
        <w:rPr>
          <w:lang w:val="en-GB" w:eastAsia="zh-CN"/>
        </w:rPr>
        <w:t>Several contributions</w:t>
      </w:r>
      <w:r w:rsidR="003965F9">
        <w:rPr>
          <w:lang w:val="en-GB" w:eastAsia="zh-CN"/>
        </w:rPr>
        <w:t xml:space="preserve"> discuss how reference transport block size (b</w:t>
      </w:r>
      <w:r w:rsidR="006122EB">
        <w:rPr>
          <w:lang w:val="en-GB" w:eastAsia="zh-CN"/>
        </w:rPr>
        <w:t xml:space="preserve">ased on which LBRM is applied) </w:t>
      </w:r>
      <w:r w:rsidR="00941BEA">
        <w:rPr>
          <w:lang w:val="en-GB" w:eastAsia="zh-CN"/>
        </w:rPr>
        <w:t xml:space="preserve">can be determined, including factors such as maximum spectral efficiency (maximum modulation order and maximum supported coding rate Rmax), number of layers for MIMO, a reference number of OFDM symbols occupied by data and a reference number of resource blocks. </w:t>
      </w:r>
    </w:p>
    <w:p w:rsidR="002C34B1" w:rsidRDefault="002874E2" w:rsidP="004125D4">
      <w:pPr>
        <w:jc w:val="both"/>
        <w:rPr>
          <w:b/>
        </w:rPr>
      </w:pPr>
      <w:r w:rsidRPr="004125D4">
        <w:rPr>
          <w:b/>
        </w:rPr>
        <w:t xml:space="preserve">Proposal </w:t>
      </w:r>
      <w:r w:rsidR="00666C11">
        <w:rPr>
          <w:b/>
        </w:rPr>
        <w:t>2.</w:t>
      </w:r>
      <w:r w:rsidR="004125D4">
        <w:rPr>
          <w:b/>
        </w:rPr>
        <w:t>1</w:t>
      </w:r>
      <w:r w:rsidRPr="004125D4">
        <w:rPr>
          <w:b/>
        </w:rPr>
        <w:t xml:space="preserve">: </w:t>
      </w:r>
      <w:r w:rsidRPr="00A51371">
        <w:rPr>
          <w:b/>
        </w:rPr>
        <w:t>Reference TBS (TBS</w:t>
      </w:r>
      <w:r w:rsidRPr="002C34B1">
        <w:rPr>
          <w:b/>
          <w:vertAlign w:val="subscript"/>
        </w:rPr>
        <w:t>LBRM</w:t>
      </w:r>
      <w:r w:rsidRPr="00A51371">
        <w:rPr>
          <w:b/>
        </w:rPr>
        <w:t xml:space="preserve">) </w:t>
      </w:r>
      <w:r w:rsidR="008365AF">
        <w:rPr>
          <w:b/>
        </w:rPr>
        <w:t>for applying LBRM is determined</w:t>
      </w:r>
      <w:r w:rsidRPr="00A51371">
        <w:rPr>
          <w:b/>
        </w:rPr>
        <w:t xml:space="preserve"> based on the </w:t>
      </w:r>
      <w:r w:rsidR="00666C11">
        <w:rPr>
          <w:b/>
        </w:rPr>
        <w:t xml:space="preserve">UE capability </w:t>
      </w:r>
      <w:r w:rsidR="008365AF">
        <w:rPr>
          <w:b/>
        </w:rPr>
        <w:t>for a given serving cell</w:t>
      </w:r>
      <w:r w:rsidR="00666C11">
        <w:rPr>
          <w:b/>
        </w:rPr>
        <w:t xml:space="preserve"> according to the following factors</w:t>
      </w:r>
      <w:r w:rsidRPr="00A51371">
        <w:rPr>
          <w:b/>
        </w:rPr>
        <w:t xml:space="preserve">: </w:t>
      </w:r>
    </w:p>
    <w:p w:rsidR="002C34B1" w:rsidRDefault="008365AF" w:rsidP="002C34B1">
      <w:pPr>
        <w:pStyle w:val="ListParagraph"/>
        <w:numPr>
          <w:ilvl w:val="0"/>
          <w:numId w:val="7"/>
        </w:numPr>
        <w:jc w:val="both"/>
        <w:rPr>
          <w:b/>
        </w:rPr>
      </w:pPr>
      <w:r>
        <w:rPr>
          <w:b/>
        </w:rPr>
        <w:t>Q</w:t>
      </w:r>
      <w:r w:rsidRPr="008365AF">
        <w:rPr>
          <w:b/>
          <w:vertAlign w:val="subscript"/>
        </w:rPr>
        <w:t>m,max</w:t>
      </w:r>
      <w:r>
        <w:rPr>
          <w:b/>
        </w:rPr>
        <w:t>, according to configuration of m</w:t>
      </w:r>
      <w:r w:rsidR="002C34B1">
        <w:rPr>
          <w:b/>
        </w:rPr>
        <w:t>aximum modulation order</w:t>
      </w:r>
    </w:p>
    <w:p w:rsidR="002C34B1" w:rsidRDefault="008365AF" w:rsidP="002C34B1">
      <w:pPr>
        <w:pStyle w:val="ListParagraph"/>
        <w:numPr>
          <w:ilvl w:val="0"/>
          <w:numId w:val="7"/>
        </w:numPr>
        <w:jc w:val="both"/>
        <w:rPr>
          <w:b/>
        </w:rPr>
      </w:pPr>
      <w:r>
        <w:rPr>
          <w:b/>
        </w:rPr>
        <w:t>v</w:t>
      </w:r>
      <w:r w:rsidRPr="008365AF">
        <w:rPr>
          <w:b/>
          <w:vertAlign w:val="subscript"/>
        </w:rPr>
        <w:t>max</w:t>
      </w:r>
      <w:r>
        <w:rPr>
          <w:b/>
        </w:rPr>
        <w:t>, according to configuration of m</w:t>
      </w:r>
      <w:r w:rsidR="002C34B1">
        <w:rPr>
          <w:b/>
        </w:rPr>
        <w:t>aximum number of layers</w:t>
      </w:r>
      <w:r>
        <w:rPr>
          <w:b/>
        </w:rPr>
        <w:t xml:space="preserve"> for MIMO</w:t>
      </w:r>
    </w:p>
    <w:p w:rsidR="002C34B1" w:rsidRDefault="002C34B1" w:rsidP="002C34B1">
      <w:pPr>
        <w:pStyle w:val="ListParagraph"/>
        <w:numPr>
          <w:ilvl w:val="0"/>
          <w:numId w:val="7"/>
        </w:numPr>
        <w:jc w:val="both"/>
        <w:rPr>
          <w:b/>
        </w:rPr>
      </w:pPr>
      <w:r>
        <w:rPr>
          <w:b/>
        </w:rPr>
        <w:t>Maximum coding rate</w:t>
      </w:r>
      <w:r w:rsidR="008365AF">
        <w:rPr>
          <w:b/>
        </w:rPr>
        <w:t xml:space="preserve"> (e.g. Rmax = 0.935)</w:t>
      </w:r>
    </w:p>
    <w:p w:rsidR="004125D4" w:rsidRDefault="002C34B1" w:rsidP="002C34B1">
      <w:pPr>
        <w:pStyle w:val="ListParagraph"/>
        <w:numPr>
          <w:ilvl w:val="0"/>
          <w:numId w:val="7"/>
        </w:numPr>
        <w:jc w:val="both"/>
        <w:rPr>
          <w:b/>
        </w:rPr>
      </w:pPr>
      <w:r>
        <w:rPr>
          <w:b/>
        </w:rPr>
        <w:t>R</w:t>
      </w:r>
      <w:r w:rsidR="002874E2" w:rsidRPr="002C34B1">
        <w:rPr>
          <w:b/>
        </w:rPr>
        <w:t xml:space="preserve">eference </w:t>
      </w:r>
      <w:r w:rsidR="00470E38">
        <w:rPr>
          <w:b/>
        </w:rPr>
        <w:t>number of OFDM symbols for data</w:t>
      </w:r>
      <w:r w:rsidR="002874E2" w:rsidRPr="002C34B1">
        <w:rPr>
          <w:b/>
        </w:rPr>
        <w:t xml:space="preserve"> </w:t>
      </w:r>
      <w:r w:rsidR="008365AF">
        <w:rPr>
          <w:b/>
        </w:rPr>
        <w:t xml:space="preserve">(e.g. </w:t>
      </w:r>
      <w:r w:rsidR="00FF77CA">
        <w:rPr>
          <w:b/>
        </w:rPr>
        <w:t>1</w:t>
      </w:r>
      <w:r w:rsidR="00470E38">
        <w:rPr>
          <w:b/>
        </w:rPr>
        <w:t>3</w:t>
      </w:r>
      <w:r w:rsidR="00FF77CA">
        <w:rPr>
          <w:b/>
        </w:rPr>
        <w:t xml:space="preserve"> OFDM symbol</w:t>
      </w:r>
      <w:r w:rsidR="00470E38">
        <w:rPr>
          <w:b/>
        </w:rPr>
        <w:t>s</w:t>
      </w:r>
      <w:r w:rsidR="008365AF">
        <w:rPr>
          <w:b/>
        </w:rPr>
        <w:t>)</w:t>
      </w:r>
    </w:p>
    <w:p w:rsidR="002C34B1" w:rsidRPr="002C34B1" w:rsidRDefault="008365AF" w:rsidP="002C34B1">
      <w:pPr>
        <w:pStyle w:val="ListParagraph"/>
        <w:numPr>
          <w:ilvl w:val="0"/>
          <w:numId w:val="7"/>
        </w:numPr>
        <w:jc w:val="both"/>
        <w:rPr>
          <w:b/>
        </w:rPr>
      </w:pPr>
      <w:r>
        <w:rPr>
          <w:b/>
        </w:rPr>
        <w:t xml:space="preserve">Reference number of </w:t>
      </w:r>
      <w:r w:rsidR="00470E38">
        <w:rPr>
          <w:b/>
        </w:rPr>
        <w:t>resource blocks</w:t>
      </w:r>
    </w:p>
    <w:p w:rsidR="004125D4" w:rsidRDefault="004125D4" w:rsidP="004125D4">
      <w:pPr>
        <w:jc w:val="both"/>
        <w:rPr>
          <w:b/>
        </w:rPr>
      </w:pPr>
    </w:p>
    <w:p w:rsidR="00CD6653" w:rsidRDefault="008365AF" w:rsidP="002C34B1">
      <w:pPr>
        <w:jc w:val="both"/>
      </w:pPr>
      <w:r>
        <w:t xml:space="preserve">For </w:t>
      </w:r>
      <w:r w:rsidR="00FF77CA">
        <w:t>‘</w:t>
      </w:r>
      <w:r w:rsidR="00470E38">
        <w:t>R</w:t>
      </w:r>
      <w:r>
        <w:t xml:space="preserve">eference number of </w:t>
      </w:r>
      <w:r w:rsidR="00470E38">
        <w:t>resource blocks’</w:t>
      </w:r>
      <w:r>
        <w:t xml:space="preserve">, different proposals were </w:t>
      </w:r>
      <w:r w:rsidR="00F36DA0">
        <w:t xml:space="preserve">made in different contributions </w:t>
      </w:r>
      <w:r w:rsidR="003C0CD5">
        <w:t>([3][4][7][8][10][11]), briefly summarized below.</w:t>
      </w:r>
      <w:r w:rsidR="00941BEA">
        <w:t xml:space="preserve"> </w:t>
      </w:r>
    </w:p>
    <w:p w:rsidR="00470E38" w:rsidRDefault="00B30A4D" w:rsidP="00470E38">
      <w:pPr>
        <w:pStyle w:val="ListParagraph"/>
        <w:numPr>
          <w:ilvl w:val="0"/>
          <w:numId w:val="8"/>
        </w:numPr>
        <w:jc w:val="both"/>
      </w:pPr>
      <w:r>
        <w:t>Proportional to</w:t>
      </w:r>
      <w:r w:rsidR="00470E38">
        <w:t xml:space="preserve"> </w:t>
      </w:r>
      <w:r>
        <w:t>the</w:t>
      </w:r>
      <w:r w:rsidR="003C0CD5">
        <w:t xml:space="preserve"> BW, </w:t>
      </w:r>
      <w:r w:rsidR="00470E38">
        <w:t>determined from comparing BWP RB number with RB</w:t>
      </w:r>
      <w:r w:rsidR="00470E38" w:rsidRPr="00CD6653">
        <w:rPr>
          <w:vertAlign w:val="subscript"/>
        </w:rPr>
        <w:t>max</w:t>
      </w:r>
      <w:r w:rsidR="00470E38">
        <w:rPr>
          <w:vertAlign w:val="subscript"/>
        </w:rPr>
        <w:t xml:space="preserve"> </w:t>
      </w:r>
      <w:r w:rsidR="00470E38" w:rsidRPr="00470E38">
        <w:t>which</w:t>
      </w:r>
      <w:r w:rsidR="00470E38">
        <w:t xml:space="preserve"> is maximum RB allocation for a carrier [3]</w:t>
      </w:r>
    </w:p>
    <w:p w:rsidR="00470E38" w:rsidRDefault="00470E38" w:rsidP="00470E38">
      <w:pPr>
        <w:pStyle w:val="ListParagraph"/>
        <w:numPr>
          <w:ilvl w:val="0"/>
          <w:numId w:val="8"/>
        </w:numPr>
        <w:jc w:val="both"/>
      </w:pPr>
      <w:r w:rsidRPr="00CD6653">
        <w:t>according to the channel bandwidth and sub-carrier spacing (SCS)</w:t>
      </w:r>
      <w:r>
        <w:t>[4]</w:t>
      </w:r>
    </w:p>
    <w:p w:rsidR="00470E38" w:rsidRDefault="00F36DA0" w:rsidP="00470E38">
      <w:pPr>
        <w:pStyle w:val="ListParagraph"/>
        <w:numPr>
          <w:ilvl w:val="0"/>
          <w:numId w:val="8"/>
        </w:numPr>
        <w:jc w:val="both"/>
      </w:pPr>
      <w:r>
        <w:t xml:space="preserve">according to </w:t>
      </w:r>
      <w:r w:rsidR="00470E38">
        <w:t>maximum configured BWP</w:t>
      </w:r>
      <w:r w:rsidR="00513FE2">
        <w:t xml:space="preserve"> </w:t>
      </w:r>
      <w:r>
        <w:t>quantized</w:t>
      </w:r>
      <w:r w:rsidR="00513FE2">
        <w:t xml:space="preserve"> </w:t>
      </w:r>
      <w:r>
        <w:t xml:space="preserve">to a limited </w:t>
      </w:r>
      <w:r w:rsidR="00513FE2">
        <w:t>set of values for resource allocation</w:t>
      </w:r>
      <w:r w:rsidR="006122EB">
        <w:t>s [7]</w:t>
      </w:r>
    </w:p>
    <w:p w:rsidR="00470E38" w:rsidRDefault="006122EB" w:rsidP="00470E38">
      <w:pPr>
        <w:pStyle w:val="ListParagraph"/>
        <w:numPr>
          <w:ilvl w:val="0"/>
          <w:numId w:val="8"/>
        </w:numPr>
        <w:jc w:val="both"/>
      </w:pPr>
      <w:r>
        <w:t xml:space="preserve">is </w:t>
      </w:r>
      <w:r w:rsidR="00470E38">
        <w:t>always 273 PRBs [10]</w:t>
      </w:r>
    </w:p>
    <w:p w:rsidR="00941BEA" w:rsidRPr="00941BEA" w:rsidRDefault="006122EB" w:rsidP="00F36DA0">
      <w:pPr>
        <w:pStyle w:val="ListParagraph"/>
        <w:numPr>
          <w:ilvl w:val="0"/>
          <w:numId w:val="8"/>
        </w:numPr>
        <w:jc w:val="both"/>
      </w:pPr>
      <w:r>
        <w:rPr>
          <w:lang w:val="en-GB"/>
        </w:rPr>
        <w:t xml:space="preserve">according to </w:t>
      </w:r>
      <w:r w:rsidR="00CD6653" w:rsidRPr="00CD6653">
        <w:rPr>
          <w:lang w:val="en-GB"/>
        </w:rPr>
        <w:t>maximum supportable number of subcarriers (across all configurable BWPs</w:t>
      </w:r>
      <w:r w:rsidR="00CD6653">
        <w:rPr>
          <w:lang w:val="en-GB"/>
        </w:rPr>
        <w:t>)[11]</w:t>
      </w:r>
    </w:p>
    <w:p w:rsidR="003C0CD5" w:rsidRDefault="003C0CD5" w:rsidP="00941BEA">
      <w:pPr>
        <w:jc w:val="both"/>
      </w:pPr>
    </w:p>
    <w:p w:rsidR="00941BEA" w:rsidRDefault="003C0CD5" w:rsidP="00941BEA">
      <w:pPr>
        <w:jc w:val="both"/>
      </w:pPr>
      <w:r>
        <w:t>It seems several companies consider that there should be some dependency of ‘Reference number of resource blocks’ on channel bandwidth or maximum supportable number of subcarriers across all configurable BWPs. Thus, it seems the following could be an agreeable proposal.</w:t>
      </w:r>
    </w:p>
    <w:p w:rsidR="003C0CD5" w:rsidRDefault="003C0CD5" w:rsidP="003C0CD5">
      <w:pPr>
        <w:tabs>
          <w:tab w:val="left" w:pos="5773"/>
        </w:tabs>
        <w:jc w:val="both"/>
      </w:pPr>
      <w:r>
        <w:tab/>
      </w:r>
    </w:p>
    <w:p w:rsidR="00F36DA0" w:rsidRPr="00B30A4D" w:rsidRDefault="006122EB" w:rsidP="003C0CD5">
      <w:pPr>
        <w:jc w:val="both"/>
        <w:rPr>
          <w:b/>
        </w:rPr>
      </w:pPr>
      <w:r w:rsidRPr="00B30A4D">
        <w:rPr>
          <w:b/>
        </w:rPr>
        <w:t>Proposal 2</w:t>
      </w:r>
      <w:r w:rsidR="00666C11">
        <w:rPr>
          <w:b/>
        </w:rPr>
        <w:t>.2</w:t>
      </w:r>
      <w:r w:rsidRPr="00B30A4D">
        <w:rPr>
          <w:b/>
        </w:rPr>
        <w:t>: Reference number of resource blo</w:t>
      </w:r>
      <w:r w:rsidR="00B30A4D" w:rsidRPr="00B30A4D">
        <w:rPr>
          <w:b/>
        </w:rPr>
        <w:t xml:space="preserve">cks </w:t>
      </w:r>
      <w:r w:rsidR="003C0CD5">
        <w:rPr>
          <w:b/>
        </w:rPr>
        <w:t>is the maximum supportable number of resource blocks across all configurable BWPs</w:t>
      </w:r>
      <w:r w:rsidR="00B30A4D" w:rsidRPr="00B30A4D">
        <w:rPr>
          <w:b/>
        </w:rPr>
        <w:t xml:space="preserve">. </w:t>
      </w:r>
    </w:p>
    <w:p w:rsidR="00F36DA0" w:rsidRDefault="00F36DA0" w:rsidP="00F36DA0"/>
    <w:p w:rsidR="004125D4" w:rsidRPr="004125D4" w:rsidRDefault="004125D4" w:rsidP="002C34B1">
      <w:pPr>
        <w:jc w:val="both"/>
      </w:pPr>
      <w:r>
        <w:t>In current spec draft (38.212), the LBRM is captured as follows: “</w:t>
      </w:r>
      <w:r w:rsidRPr="00470E38">
        <w:rPr>
          <w:lang w:val="en-GB"/>
        </w:rPr>
        <w:t>N</w:t>
      </w:r>
      <w:r w:rsidRPr="00470E38">
        <w:rPr>
          <w:vertAlign w:val="subscript"/>
          <w:lang w:val="en-GB"/>
        </w:rPr>
        <w:t>cb</w:t>
      </w:r>
      <w:r w:rsidRPr="00470E38">
        <w:rPr>
          <w:lang w:eastAsia="zh-CN"/>
        </w:rPr>
        <w:t xml:space="preserve"> = min (N,N</w:t>
      </w:r>
      <w:r w:rsidRPr="00470E38">
        <w:rPr>
          <w:vertAlign w:val="subscript"/>
          <w:lang w:eastAsia="zh-CN"/>
        </w:rPr>
        <w:t>ref</w:t>
      </w:r>
      <w:r w:rsidRPr="00470E38">
        <w:rPr>
          <w:lang w:eastAsia="zh-CN"/>
        </w:rPr>
        <w:t xml:space="preserve">)  otherwise, where </w:t>
      </w:r>
      <w:r w:rsidRPr="00470E38">
        <w:rPr>
          <w:lang w:val="en-GB"/>
        </w:rPr>
        <w:t>N</w:t>
      </w:r>
      <w:r w:rsidRPr="00470E38">
        <w:rPr>
          <w:vertAlign w:val="subscript"/>
          <w:lang w:val="en-GB"/>
        </w:rPr>
        <w:t>ref</w:t>
      </w:r>
      <w:r w:rsidRPr="00470E38">
        <w:rPr>
          <w:lang w:val="en-GB"/>
        </w:rPr>
        <w:t xml:space="preserve"> = [] and R</w:t>
      </w:r>
      <w:r w:rsidRPr="00470E38">
        <w:rPr>
          <w:vertAlign w:val="subscript"/>
          <w:lang w:val="en-GB"/>
        </w:rPr>
        <w:t>LBRM</w:t>
      </w:r>
      <w:r w:rsidRPr="00470E38">
        <w:rPr>
          <w:lang w:val="en-GB"/>
        </w:rPr>
        <w:t xml:space="preserve"> = 2/3</w:t>
      </w:r>
      <w:r w:rsidRPr="00470E38">
        <w:rPr>
          <w:lang w:eastAsia="zh-CN"/>
        </w:rPr>
        <w:t>.</w:t>
      </w:r>
      <w:r w:rsidRPr="00F610C3">
        <w:rPr>
          <w:color w:val="FF0000"/>
        </w:rPr>
        <w:t xml:space="preserve"> </w:t>
      </w:r>
      <w:r>
        <w:t>”</w:t>
      </w:r>
      <w:r w:rsidRPr="004125D4">
        <w:t xml:space="preserve">Some contributions </w:t>
      </w:r>
      <w:r>
        <w:t>(</w:t>
      </w:r>
      <w:r w:rsidR="002C34B1">
        <w:t>[1],[7]</w:t>
      </w:r>
      <w:r>
        <w:t xml:space="preserve">) </w:t>
      </w:r>
      <w:r w:rsidRPr="004125D4">
        <w:t>discuss</w:t>
      </w:r>
      <w:r>
        <w:t xml:space="preserve"> how to derive the Nref</w:t>
      </w:r>
      <w:r w:rsidR="003965F9">
        <w:t xml:space="preserve"> value based on the TBS</w:t>
      </w:r>
      <w:r w:rsidR="003965F9" w:rsidRPr="003965F9">
        <w:rPr>
          <w:vertAlign w:val="subscript"/>
        </w:rPr>
        <w:t>LBRM</w:t>
      </w:r>
      <w:r w:rsidR="003965F9">
        <w:t xml:space="preserve"> and the code blocks for a given transport block</w:t>
      </w:r>
      <w:r w:rsidR="002C34B1">
        <w:t xml:space="preserve"> and one </w:t>
      </w:r>
      <w:r w:rsidR="003965F9">
        <w:t xml:space="preserve">contribution </w:t>
      </w:r>
      <w:r w:rsidR="002C34B1">
        <w:t xml:space="preserve">([11] </w:t>
      </w:r>
      <w:r w:rsidR="003965F9">
        <w:t>discussed application of the value differently for base graph 1 and base graph 2</w:t>
      </w:r>
      <w:r w:rsidR="002C34B1">
        <w:t>. In summary i</w:t>
      </w:r>
      <w:r w:rsidR="003965F9">
        <w:t xml:space="preserve">t seems the following could be an acceptable proposal. </w:t>
      </w:r>
    </w:p>
    <w:p w:rsidR="002874E2" w:rsidRPr="004125D4" w:rsidRDefault="004125D4" w:rsidP="004125D4">
      <w:pPr>
        <w:jc w:val="both"/>
        <w:rPr>
          <w:b/>
        </w:rPr>
      </w:pPr>
      <w:r>
        <w:rPr>
          <w:b/>
        </w:rPr>
        <w:t xml:space="preserve">Proposal </w:t>
      </w:r>
      <w:r w:rsidR="00666C11">
        <w:rPr>
          <w:b/>
        </w:rPr>
        <w:t>2.</w:t>
      </w:r>
      <w:r w:rsidR="00F36DA0">
        <w:rPr>
          <w:b/>
        </w:rPr>
        <w:t>3</w:t>
      </w:r>
      <w:r w:rsidR="003965F9">
        <w:rPr>
          <w:b/>
        </w:rPr>
        <w:t>:</w:t>
      </w:r>
      <w:r>
        <w:rPr>
          <w:b/>
        </w:rPr>
        <w:t xml:space="preserve"> For rate matching, define </w:t>
      </w:r>
      <w:r w:rsidR="003965F9">
        <w:rPr>
          <w:b/>
        </w:rPr>
        <w:t>Ncb</w:t>
      </w:r>
      <w:r>
        <w:rPr>
          <w:b/>
        </w:rPr>
        <w:t xml:space="preserve"> per code block of a TB as </w:t>
      </w:r>
      <w:r w:rsidR="00E44DAD" w:rsidRPr="004125D4">
        <w:rPr>
          <w:position w:val="-32"/>
        </w:rPr>
        <w:object w:dxaOrig="18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30.75pt" o:ole="">
            <v:imagedata r:id="rId7" o:title=""/>
          </v:shape>
          <o:OLEObject Type="Embed" ProgID="Equation.3" ShapeID="_x0000_i1025" DrawAspect="Content" ObjectID="_1573370641" r:id="rId8"/>
        </w:object>
      </w:r>
      <w:r w:rsidRPr="004125D4">
        <w:rPr>
          <w:b/>
          <w:lang w:eastAsia="zh-CN"/>
        </w:rPr>
        <w:t xml:space="preserve">, </w:t>
      </w:r>
      <w:r w:rsidR="002874E2" w:rsidRPr="004125D4">
        <w:rPr>
          <w:b/>
        </w:rPr>
        <w:t>where C is the number of code bloc</w:t>
      </w:r>
      <w:r w:rsidR="002874E2" w:rsidRPr="004125D4">
        <w:rPr>
          <w:rFonts w:hint="eastAsia"/>
          <w:b/>
          <w:lang w:eastAsia="zh-CN"/>
        </w:rPr>
        <w:t xml:space="preserve">ks </w:t>
      </w:r>
      <w:r w:rsidRPr="004125D4">
        <w:rPr>
          <w:b/>
          <w:lang w:eastAsia="zh-CN"/>
        </w:rPr>
        <w:t xml:space="preserve">for the TB. </w:t>
      </w:r>
    </w:p>
    <w:p w:rsidR="002874E2" w:rsidRPr="00D52BF0" w:rsidRDefault="002874E2" w:rsidP="00FD1A76">
      <w:pPr>
        <w:pStyle w:val="BodyText"/>
        <w:rPr>
          <w:b/>
          <w:lang w:val="en-GB" w:eastAsia="zh-CN"/>
        </w:rPr>
      </w:pPr>
    </w:p>
    <w:p w:rsidR="00666C11" w:rsidRDefault="008365AF" w:rsidP="00666C11">
      <w:pPr>
        <w:jc w:val="both"/>
      </w:pPr>
      <w:r>
        <w:rPr>
          <w:lang w:val="en-GB" w:eastAsia="zh-CN"/>
        </w:rPr>
        <w:t xml:space="preserve">Some contributions discussed how LBRM can be applied for uplink, whether UE-specific or cell-specific configurations are supportable. [1] </w:t>
      </w:r>
      <w:r w:rsidR="00FF77CA">
        <w:rPr>
          <w:lang w:val="en-GB" w:eastAsia="zh-CN"/>
        </w:rPr>
        <w:t>proposes</w:t>
      </w:r>
      <w:r>
        <w:rPr>
          <w:lang w:val="en-GB" w:eastAsia="zh-CN"/>
        </w:rPr>
        <w:t xml:space="preserve"> to support both UE-specific and cell-specific configurations</w:t>
      </w:r>
      <w:r w:rsidR="00FF77CA">
        <w:rPr>
          <w:lang w:val="en-GB" w:eastAsia="zh-CN"/>
        </w:rPr>
        <w:t xml:space="preserve"> citing potential benefits with either scenario</w:t>
      </w:r>
      <w:r>
        <w:rPr>
          <w:lang w:val="en-GB" w:eastAsia="zh-CN"/>
        </w:rPr>
        <w:t xml:space="preserve">, while [4], </w:t>
      </w:r>
      <w:r w:rsidR="00FF77CA">
        <w:rPr>
          <w:lang w:val="en-GB" w:eastAsia="zh-CN"/>
        </w:rPr>
        <w:t xml:space="preserve">[5], </w:t>
      </w:r>
      <w:r>
        <w:rPr>
          <w:lang w:val="en-GB" w:eastAsia="zh-CN"/>
        </w:rPr>
        <w:t>[7]</w:t>
      </w:r>
      <w:r w:rsidR="00FF77CA">
        <w:rPr>
          <w:lang w:val="en-GB" w:eastAsia="zh-CN"/>
        </w:rPr>
        <w:t xml:space="preserve">,[8] propose to support LBRM via UE-specific RRC signalling. Therefore, it can be discussed further </w:t>
      </w:r>
      <w:r w:rsidR="00FF77CA" w:rsidRPr="00FF77CA">
        <w:rPr>
          <w:lang w:val="en-GB" w:eastAsia="zh-CN"/>
        </w:rPr>
        <w:t>if cell-specific configuration of LBRM for uplink can be supported, and if so, how.</w:t>
      </w:r>
      <w:r w:rsidR="00FF77CA">
        <w:rPr>
          <w:lang w:val="en-GB" w:eastAsia="zh-CN"/>
        </w:rPr>
        <w:t xml:space="preserve"> However, at least the following </w:t>
      </w:r>
      <w:r w:rsidR="00666C11">
        <w:t xml:space="preserve">could be an acceptable proposal. </w:t>
      </w:r>
    </w:p>
    <w:p w:rsidR="00666C11" w:rsidRPr="004125D4" w:rsidRDefault="00666C11" w:rsidP="00666C11">
      <w:pPr>
        <w:jc w:val="both"/>
      </w:pPr>
    </w:p>
    <w:p w:rsidR="00FD1A76" w:rsidRPr="00666C11" w:rsidRDefault="008365AF" w:rsidP="00666C11">
      <w:pPr>
        <w:jc w:val="both"/>
        <w:rPr>
          <w:b/>
          <w:lang w:eastAsia="zh-CN"/>
        </w:rPr>
      </w:pPr>
      <w:r>
        <w:rPr>
          <w:b/>
        </w:rPr>
        <w:t xml:space="preserve">Proposal </w:t>
      </w:r>
      <w:r w:rsidR="00666C11">
        <w:rPr>
          <w:b/>
        </w:rPr>
        <w:t>2.</w:t>
      </w:r>
      <w:r w:rsidR="00F36DA0">
        <w:rPr>
          <w:b/>
        </w:rPr>
        <w:t>4</w:t>
      </w:r>
      <w:r>
        <w:rPr>
          <w:b/>
        </w:rPr>
        <w:t xml:space="preserve">: UE-specific configuration of LBRM is supported for uplink. </w:t>
      </w:r>
    </w:p>
    <w:p w:rsidR="00FD1A76" w:rsidRPr="00845EAD" w:rsidRDefault="00FD1A76" w:rsidP="00FD1A76">
      <w:pPr>
        <w:pStyle w:val="Heading1"/>
        <w:rPr>
          <w:sz w:val="26"/>
        </w:rPr>
      </w:pPr>
      <w:r>
        <w:rPr>
          <w:sz w:val="26"/>
        </w:rPr>
        <w:lastRenderedPageBreak/>
        <w:t>Soft Buffer Dimensioning for NR</w:t>
      </w:r>
    </w:p>
    <w:p w:rsidR="00FD1A76" w:rsidRDefault="00FD1A76" w:rsidP="00FD1A76">
      <w:pPr>
        <w:overflowPunct w:val="0"/>
        <w:autoSpaceDE w:val="0"/>
        <w:autoSpaceDN w:val="0"/>
        <w:adjustRightInd w:val="0"/>
        <w:spacing w:after="180"/>
        <w:jc w:val="both"/>
        <w:rPr>
          <w:rFonts w:cs="Arial"/>
        </w:rPr>
      </w:pPr>
      <w:r>
        <w:rPr>
          <w:rFonts w:cs="Arial"/>
        </w:rPr>
        <w:t xml:space="preserve">In last RAN1 meeting, several companies proposed that </w:t>
      </w:r>
      <w:r w:rsidRPr="00572428">
        <w:rPr>
          <w:rFonts w:cs="Arial"/>
        </w:rPr>
        <w:t>soft buffer dimensioning does not have to be designed with simultaneous support of peak rate, full IR support, and the maximum number of HARQ processes</w:t>
      </w:r>
      <w:r>
        <w:rPr>
          <w:rFonts w:cs="Arial"/>
        </w:rPr>
        <w:t xml:space="preserve"> (See section 3 of summary document from RAN1#90bis, R1-1708813). There is also an agreement from RAN1#89 in Annex A of this document.</w:t>
      </w:r>
      <w:r w:rsidR="00F36DA0">
        <w:rPr>
          <w:rFonts w:cs="Arial"/>
        </w:rPr>
        <w:t xml:space="preserve"> Several companies discuss how soft buffer is dimensioned. </w:t>
      </w:r>
    </w:p>
    <w:p w:rsidR="00F36DA0" w:rsidRPr="00CF2751" w:rsidRDefault="00666C11" w:rsidP="00FD1A76">
      <w:pPr>
        <w:overflowPunct w:val="0"/>
        <w:autoSpaceDE w:val="0"/>
        <w:autoSpaceDN w:val="0"/>
        <w:adjustRightInd w:val="0"/>
        <w:spacing w:after="180"/>
        <w:jc w:val="both"/>
        <w:rPr>
          <w:rFonts w:cs="Arial"/>
          <w:b/>
        </w:rPr>
      </w:pPr>
      <w:r>
        <w:rPr>
          <w:rFonts w:cs="Arial"/>
          <w:b/>
        </w:rPr>
        <w:t>Proposal 3.1</w:t>
      </w:r>
      <w:r w:rsidR="00F36DA0" w:rsidRPr="00CF2751">
        <w:rPr>
          <w:rFonts w:cs="Arial"/>
          <w:b/>
        </w:rPr>
        <w:t xml:space="preserve">: </w:t>
      </w:r>
      <w:r w:rsidR="00FB19D6">
        <w:rPr>
          <w:rFonts w:cs="Arial"/>
          <w:b/>
        </w:rPr>
        <w:t xml:space="preserve">NR </w:t>
      </w:r>
      <w:r w:rsidR="00F36DA0" w:rsidRPr="00CF2751">
        <w:rPr>
          <w:rFonts w:cs="Arial"/>
          <w:b/>
        </w:rPr>
        <w:t>Soft buffer dimensioning is derived from (3*DataRate/2) * (</w:t>
      </w:r>
      <w:r w:rsidR="003C0CD5" w:rsidRPr="00CF2751">
        <w:rPr>
          <w:rFonts w:cs="Arial"/>
          <w:b/>
        </w:rPr>
        <w:t>reference_DL_</w:t>
      </w:r>
      <w:r w:rsidR="00F36DA0" w:rsidRPr="00CF2751">
        <w:rPr>
          <w:rFonts w:cs="Arial"/>
          <w:b/>
        </w:rPr>
        <w:t>HARQ_RTT)</w:t>
      </w:r>
      <w:r w:rsidR="00CF2751">
        <w:rPr>
          <w:rFonts w:cs="Arial"/>
          <w:b/>
        </w:rPr>
        <w:t>.</w:t>
      </w:r>
    </w:p>
    <w:p w:rsidR="003C0CD5" w:rsidRDefault="003C0CD5" w:rsidP="00FD1A76">
      <w:pPr>
        <w:overflowPunct w:val="0"/>
        <w:autoSpaceDE w:val="0"/>
        <w:autoSpaceDN w:val="0"/>
        <w:adjustRightInd w:val="0"/>
        <w:spacing w:after="180"/>
        <w:jc w:val="both"/>
        <w:rPr>
          <w:rFonts w:cs="Arial"/>
        </w:rPr>
      </w:pPr>
      <w:r>
        <w:rPr>
          <w:rFonts w:cs="Arial"/>
        </w:rPr>
        <w:t xml:space="preserve">Reference [1] proposes that the total soft buffer size or the maximum HARQ RTT under the peak data rate should be reported as UE capability. On the other hand, references [2][7][11] discussed possible values (1.5 ms to 2 ms) of </w:t>
      </w:r>
      <w:r w:rsidRPr="003C0CD5">
        <w:rPr>
          <w:rFonts w:cs="Arial"/>
        </w:rPr>
        <w:t>reference_DL_HARQ_RTT</w:t>
      </w:r>
      <w:r>
        <w:rPr>
          <w:rFonts w:cs="Arial"/>
        </w:rPr>
        <w:t xml:space="preserve"> for soft buffer dimensioning. Given the processing time numbers (N1 values) being considered, it seems feasible to use a reference value of DL HARQ RTT to apply for soft buffer dimensioning. Therefore, it is </w:t>
      </w:r>
      <w:r w:rsidR="00FA06B1">
        <w:rPr>
          <w:rFonts w:cs="Arial"/>
        </w:rPr>
        <w:t>suggested to</w:t>
      </w:r>
      <w:r>
        <w:rPr>
          <w:rFonts w:cs="Arial"/>
        </w:rPr>
        <w:t xml:space="preserve"> agree to a reference value of 1.5 ms for soft buffer dimensioning. </w:t>
      </w:r>
    </w:p>
    <w:p w:rsidR="003C0CD5" w:rsidRPr="00CF2751" w:rsidRDefault="00F36DA0" w:rsidP="003C0CD5">
      <w:pPr>
        <w:rPr>
          <w:b/>
          <w:i/>
        </w:rPr>
      </w:pPr>
      <w:r w:rsidRPr="00CF2751">
        <w:rPr>
          <w:rFonts w:cs="Arial"/>
          <w:b/>
        </w:rPr>
        <w:t xml:space="preserve">Proposal </w:t>
      </w:r>
      <w:r w:rsidR="00666C11">
        <w:rPr>
          <w:rFonts w:cs="Arial"/>
          <w:b/>
        </w:rPr>
        <w:t>3.2</w:t>
      </w:r>
      <w:r w:rsidRPr="00CF2751">
        <w:rPr>
          <w:rFonts w:cs="Arial"/>
          <w:b/>
        </w:rPr>
        <w:t xml:space="preserve">: </w:t>
      </w:r>
      <w:r w:rsidR="003C0CD5" w:rsidRPr="00CF2751">
        <w:rPr>
          <w:rFonts w:hint="eastAsia"/>
          <w:b/>
          <w:i/>
        </w:rPr>
        <w:t>A reference</w:t>
      </w:r>
      <w:r w:rsidR="003C0CD5" w:rsidRPr="00CF2751">
        <w:rPr>
          <w:b/>
          <w:i/>
        </w:rPr>
        <w:t>_DL_HARQ_RTT</w:t>
      </w:r>
      <w:r w:rsidR="003C0CD5" w:rsidRPr="00CF2751">
        <w:rPr>
          <w:rFonts w:hint="eastAsia"/>
          <w:b/>
          <w:i/>
        </w:rPr>
        <w:t xml:space="preserve"> value </w:t>
      </w:r>
      <w:r w:rsidR="00FA06B1" w:rsidRPr="00CF2751">
        <w:rPr>
          <w:b/>
          <w:i/>
        </w:rPr>
        <w:t>of 1.5</w:t>
      </w:r>
      <w:r w:rsidR="003C0CD5" w:rsidRPr="00CF2751">
        <w:rPr>
          <w:rFonts w:hint="eastAsia"/>
          <w:b/>
          <w:i/>
        </w:rPr>
        <w:t xml:space="preserve"> ms is </w:t>
      </w:r>
      <w:r w:rsidR="003C0CD5" w:rsidRPr="00CF2751">
        <w:rPr>
          <w:b/>
          <w:i/>
        </w:rPr>
        <w:t xml:space="preserve">applied </w:t>
      </w:r>
      <w:r w:rsidR="003C0CD5" w:rsidRPr="00CF2751">
        <w:rPr>
          <w:rFonts w:hint="eastAsia"/>
          <w:b/>
          <w:i/>
        </w:rPr>
        <w:t xml:space="preserve">for </w:t>
      </w:r>
      <w:r w:rsidR="00CF2751">
        <w:rPr>
          <w:b/>
          <w:i/>
        </w:rPr>
        <w:t xml:space="preserve">NR </w:t>
      </w:r>
      <w:r w:rsidR="003C0CD5" w:rsidRPr="00CF2751">
        <w:rPr>
          <w:rFonts w:hint="eastAsia"/>
          <w:b/>
          <w:i/>
        </w:rPr>
        <w:t xml:space="preserve">soft buffer </w:t>
      </w:r>
      <w:r w:rsidR="003C0CD5" w:rsidRPr="00CF2751">
        <w:rPr>
          <w:b/>
          <w:i/>
        </w:rPr>
        <w:t xml:space="preserve">dimensioning. </w:t>
      </w:r>
    </w:p>
    <w:p w:rsidR="00FD1A76" w:rsidRPr="003C5F4E" w:rsidRDefault="00FD1A76" w:rsidP="00FD1A76">
      <w:pPr>
        <w:pStyle w:val="BodyText"/>
        <w:rPr>
          <w:b/>
          <w:i/>
        </w:rPr>
      </w:pPr>
    </w:p>
    <w:p w:rsidR="00FD1A76" w:rsidRPr="00894F50" w:rsidRDefault="00FD1A76" w:rsidP="00FD1A76">
      <w:pPr>
        <w:pStyle w:val="Heading1"/>
        <w:rPr>
          <w:sz w:val="26"/>
        </w:rPr>
      </w:pPr>
      <w:r>
        <w:rPr>
          <w:sz w:val="26"/>
        </w:rPr>
        <w:t>Soft Buffer Dimensioning and management for LTE-NR DC</w:t>
      </w:r>
    </w:p>
    <w:p w:rsidR="00FD1A76" w:rsidRDefault="00FD1A76" w:rsidP="00FD1A76">
      <w:pPr>
        <w:pStyle w:val="BodyText"/>
      </w:pPr>
      <w:r>
        <w:t xml:space="preserve">In last </w:t>
      </w:r>
      <w:r w:rsidR="00CF2751">
        <w:t xml:space="preserve">RAN1 </w:t>
      </w:r>
      <w:r>
        <w:t>meeting, several companies discussed soft buffer dimensioning and management for LTE-NR DC (see section 4 of summary documen</w:t>
      </w:r>
      <w:r w:rsidR="00CF2751">
        <w:t xml:space="preserve">t from RAN1#90bis, R1-1708813) and companies maintain similar position in Tdocs submitted to RAN1#91. </w:t>
      </w:r>
    </w:p>
    <w:p w:rsidR="00CF2751" w:rsidRDefault="00CF2751" w:rsidP="00CF2751">
      <w:pPr>
        <w:pStyle w:val="BodyText"/>
      </w:pPr>
      <w:r>
        <w:t>One company proposes to define in UE category - separate buffer size for LTE operation and NR operation, and total buffer for LTE-NR DC operation (Huawei, HiSilicon). Define soft buffer as sum of LTE and NR (Samsung, MTK). No proposal for agreements could be made here as there is a dependency on NR soft buffer computation (see above) and in regards to LTE-NR peak data rate and capability discussions.</w:t>
      </w:r>
    </w:p>
    <w:p w:rsidR="00CF2751" w:rsidRDefault="00CF2751" w:rsidP="00CF2751">
      <w:pPr>
        <w:pStyle w:val="BodyText"/>
      </w:pPr>
      <w:r w:rsidRPr="001478EB">
        <w:rPr>
          <w:b/>
          <w:i/>
        </w:rPr>
        <w:t xml:space="preserve">Proposal </w:t>
      </w:r>
      <w:r w:rsidR="003144AA">
        <w:rPr>
          <w:b/>
          <w:i/>
        </w:rPr>
        <w:t>4</w:t>
      </w:r>
      <w:r w:rsidRPr="001478EB">
        <w:rPr>
          <w:b/>
          <w:i/>
        </w:rPr>
        <w:t xml:space="preserve">.1: </w:t>
      </w:r>
      <w:r>
        <w:rPr>
          <w:b/>
          <w:i/>
        </w:rPr>
        <w:t>Discuss LTE-NR soft buffer dimensioning after further progress on</w:t>
      </w:r>
      <w:r w:rsidRPr="00741C94">
        <w:rPr>
          <w:b/>
          <w:i/>
        </w:rPr>
        <w:t xml:space="preserve"> </w:t>
      </w:r>
      <w:r>
        <w:rPr>
          <w:b/>
          <w:i/>
        </w:rPr>
        <w:t xml:space="preserve">NR soft buffer dimensioning, LTE-NR </w:t>
      </w:r>
      <w:r w:rsidRPr="00741C94">
        <w:rPr>
          <w:b/>
          <w:i/>
        </w:rPr>
        <w:t xml:space="preserve">UE </w:t>
      </w:r>
      <w:r>
        <w:rPr>
          <w:b/>
          <w:i/>
        </w:rPr>
        <w:t>peak data rate definition and</w:t>
      </w:r>
      <w:r w:rsidRPr="00741C94">
        <w:rPr>
          <w:b/>
          <w:i/>
        </w:rPr>
        <w:t xml:space="preserve"> capabilities</w:t>
      </w:r>
    </w:p>
    <w:p w:rsidR="00CF2751" w:rsidRPr="003B5DBB" w:rsidRDefault="00CF2751" w:rsidP="00CF2751">
      <w:pPr>
        <w:overflowPunct w:val="0"/>
        <w:autoSpaceDE w:val="0"/>
        <w:autoSpaceDN w:val="0"/>
        <w:adjustRightInd w:val="0"/>
        <w:spacing w:after="180"/>
        <w:jc w:val="both"/>
      </w:pPr>
      <w:r>
        <w:t>F</w:t>
      </w:r>
      <w:r w:rsidRPr="003B5DBB">
        <w:t>ollowing were proposed</w:t>
      </w:r>
      <w:r>
        <w:t xml:space="preserve"> for LTE and NR soft buffer sharing.</w:t>
      </w:r>
    </w:p>
    <w:p w:rsidR="00CF2751" w:rsidRPr="003B5DBB" w:rsidRDefault="00CF2751" w:rsidP="00CF2751">
      <w:pPr>
        <w:pStyle w:val="ListParagraph"/>
        <w:numPr>
          <w:ilvl w:val="1"/>
          <w:numId w:val="9"/>
        </w:numPr>
        <w:overflowPunct w:val="0"/>
        <w:autoSpaceDE w:val="0"/>
        <w:autoSpaceDN w:val="0"/>
        <w:adjustRightInd w:val="0"/>
        <w:spacing w:after="180"/>
        <w:jc w:val="both"/>
      </w:pPr>
      <w:r>
        <w:t>Dynamic sharing (Ericsson, Samsung</w:t>
      </w:r>
      <w:r w:rsidRPr="003B5DBB">
        <w:t>(up to UE implementation), Intel</w:t>
      </w:r>
      <w:r>
        <w:t>,vivo</w:t>
      </w:r>
      <w:r w:rsidRPr="003B5DBB">
        <w:t>)</w:t>
      </w:r>
    </w:p>
    <w:p w:rsidR="00CF2751" w:rsidRDefault="00CF2751" w:rsidP="00CF2751">
      <w:pPr>
        <w:pStyle w:val="ListParagraph"/>
        <w:numPr>
          <w:ilvl w:val="1"/>
          <w:numId w:val="9"/>
        </w:numPr>
        <w:overflowPunct w:val="0"/>
        <w:autoSpaceDE w:val="0"/>
        <w:autoSpaceDN w:val="0"/>
        <w:adjustRightInd w:val="0"/>
        <w:spacing w:after="180"/>
        <w:jc w:val="both"/>
      </w:pPr>
      <w:r w:rsidRPr="003B5DBB">
        <w:t>Semi-static configuration (LGE</w:t>
      </w:r>
      <w:r>
        <w:t>, Huawei,Hisilicon</w:t>
      </w:r>
      <w:r w:rsidRPr="003B5DBB">
        <w:t>)</w:t>
      </w:r>
      <w:r>
        <w:t xml:space="preserve"> or fixed buffer size(Huawei, Hisilicon</w:t>
      </w:r>
      <w:r w:rsidRPr="003B5DBB">
        <w:t>)</w:t>
      </w:r>
    </w:p>
    <w:p w:rsidR="00CF2751" w:rsidRDefault="00CF2751" w:rsidP="00CF2751">
      <w:pPr>
        <w:pStyle w:val="ListParagraph"/>
        <w:numPr>
          <w:ilvl w:val="1"/>
          <w:numId w:val="9"/>
        </w:numPr>
        <w:overflowPunct w:val="0"/>
        <w:autoSpaceDE w:val="0"/>
        <w:autoSpaceDN w:val="0"/>
        <w:adjustRightInd w:val="0"/>
        <w:spacing w:after="180"/>
        <w:jc w:val="both"/>
      </w:pPr>
      <w:r>
        <w:t>Hard split (ZTE, Sanechips (neither dynamic nor semi-static), MTK)</w:t>
      </w:r>
    </w:p>
    <w:p w:rsidR="00CF2751" w:rsidRPr="001478EB" w:rsidRDefault="00CF2751" w:rsidP="00CF2751">
      <w:pPr>
        <w:pStyle w:val="BodyText"/>
        <w:rPr>
          <w:b/>
          <w:i/>
        </w:rPr>
      </w:pPr>
      <w:r w:rsidRPr="001478EB">
        <w:rPr>
          <w:b/>
          <w:i/>
        </w:rPr>
        <w:t xml:space="preserve">Proposal </w:t>
      </w:r>
      <w:r w:rsidR="003144AA">
        <w:rPr>
          <w:b/>
          <w:i/>
        </w:rPr>
        <w:t>4</w:t>
      </w:r>
      <w:r w:rsidRPr="001478EB">
        <w:rPr>
          <w:b/>
          <w:i/>
        </w:rPr>
        <w:t>.</w:t>
      </w:r>
      <w:r>
        <w:rPr>
          <w:b/>
          <w:i/>
        </w:rPr>
        <w:t>2</w:t>
      </w:r>
      <w:r w:rsidRPr="001478EB">
        <w:rPr>
          <w:b/>
          <w:i/>
        </w:rPr>
        <w:t xml:space="preserve">: </w:t>
      </w:r>
      <w:r>
        <w:rPr>
          <w:b/>
          <w:i/>
        </w:rPr>
        <w:t>Select from following</w:t>
      </w:r>
      <w:r w:rsidRPr="001478EB">
        <w:rPr>
          <w:b/>
          <w:i/>
        </w:rPr>
        <w:t xml:space="preserve"> options for </w:t>
      </w:r>
      <w:r>
        <w:rPr>
          <w:b/>
          <w:i/>
        </w:rPr>
        <w:t xml:space="preserve">soft buffer sharing in </w:t>
      </w:r>
      <w:r w:rsidRPr="001478EB">
        <w:rPr>
          <w:b/>
          <w:i/>
        </w:rPr>
        <w:t>LTE-NR DC</w:t>
      </w:r>
      <w:r>
        <w:rPr>
          <w:b/>
          <w:i/>
        </w:rPr>
        <w:t>:</w:t>
      </w:r>
    </w:p>
    <w:p w:rsidR="00CF2751" w:rsidRPr="001478EB" w:rsidRDefault="00CF2751" w:rsidP="00CF2751">
      <w:pPr>
        <w:pStyle w:val="BodyText"/>
        <w:ind w:left="720"/>
        <w:rPr>
          <w:b/>
          <w:i/>
        </w:rPr>
      </w:pPr>
      <w:r w:rsidRPr="001478EB">
        <w:rPr>
          <w:b/>
          <w:i/>
        </w:rPr>
        <w:t>Option 1:  Dynamic sharing of soft buffer across LTE and NR.</w:t>
      </w:r>
    </w:p>
    <w:p w:rsidR="00CF2751" w:rsidRPr="001478EB" w:rsidRDefault="00CF2751" w:rsidP="00CF2751">
      <w:pPr>
        <w:pStyle w:val="BodyText"/>
        <w:ind w:left="720"/>
        <w:rPr>
          <w:b/>
          <w:i/>
        </w:rPr>
      </w:pPr>
      <w:r w:rsidRPr="001478EB">
        <w:rPr>
          <w:b/>
          <w:i/>
        </w:rPr>
        <w:t>Option 2: Semi-static sharing of soft buffer across LTE and NR.</w:t>
      </w:r>
    </w:p>
    <w:p w:rsidR="00CF2751" w:rsidRPr="001478EB" w:rsidRDefault="00CF2751" w:rsidP="00CF2751">
      <w:pPr>
        <w:pStyle w:val="BodyText"/>
        <w:ind w:left="720"/>
        <w:rPr>
          <w:b/>
          <w:i/>
        </w:rPr>
      </w:pPr>
      <w:r w:rsidRPr="001478EB">
        <w:rPr>
          <w:b/>
          <w:i/>
        </w:rPr>
        <w:t xml:space="preserve">Option 3: Hard split or no sharing of soft buffer </w:t>
      </w:r>
      <w:r>
        <w:rPr>
          <w:b/>
          <w:i/>
        </w:rPr>
        <w:t>across LTE and NR</w:t>
      </w:r>
    </w:p>
    <w:p w:rsidR="00FD1A76" w:rsidRPr="003C5F4E" w:rsidRDefault="00FD1A76" w:rsidP="00FD1A76">
      <w:pPr>
        <w:pStyle w:val="BodyText"/>
      </w:pPr>
    </w:p>
    <w:p w:rsidR="00FD1A76" w:rsidRPr="00945406" w:rsidRDefault="00FD1A76" w:rsidP="00FD1A76">
      <w:pPr>
        <w:pStyle w:val="Heading1"/>
        <w:numPr>
          <w:ilvl w:val="0"/>
          <w:numId w:val="0"/>
        </w:numPr>
      </w:pPr>
      <w:r>
        <w:t>References</w:t>
      </w:r>
    </w:p>
    <w:p w:rsidR="002874E2" w:rsidRDefault="002874E2" w:rsidP="002874E2">
      <w:pPr>
        <w:pStyle w:val="ListParagraph"/>
        <w:numPr>
          <w:ilvl w:val="0"/>
          <w:numId w:val="6"/>
        </w:numPr>
      </w:pPr>
      <w:r w:rsidRPr="002874E2">
        <w:t>R1-1719399</w:t>
      </w:r>
      <w:r>
        <w:tab/>
        <w:t>Soft buffer management in NR and LTE-NR DC</w:t>
      </w:r>
      <w:r>
        <w:tab/>
        <w:t>Huawei, HiSilicon</w:t>
      </w:r>
    </w:p>
    <w:p w:rsidR="002874E2" w:rsidRDefault="002874E2" w:rsidP="002874E2">
      <w:pPr>
        <w:pStyle w:val="ListParagraph"/>
        <w:numPr>
          <w:ilvl w:val="0"/>
          <w:numId w:val="6"/>
        </w:numPr>
      </w:pPr>
      <w:r w:rsidRPr="002874E2">
        <w:t>R1-1719493</w:t>
      </w:r>
      <w:r>
        <w:tab/>
        <w:t>Considerations for soft-buffer management</w:t>
      </w:r>
      <w:r>
        <w:tab/>
        <w:t>ZTE, Sanechips</w:t>
      </w:r>
    </w:p>
    <w:p w:rsidR="002874E2" w:rsidRDefault="002874E2" w:rsidP="002874E2">
      <w:pPr>
        <w:pStyle w:val="ListParagraph"/>
        <w:numPr>
          <w:ilvl w:val="0"/>
          <w:numId w:val="6"/>
        </w:numPr>
      </w:pPr>
      <w:r w:rsidRPr="002874E2">
        <w:t>R1-1719574</w:t>
      </w:r>
      <w:r>
        <w:tab/>
        <w:t>NR soft buffer design</w:t>
      </w:r>
      <w:r>
        <w:tab/>
        <w:t>MediaTek Inc.</w:t>
      </w:r>
    </w:p>
    <w:p w:rsidR="002874E2" w:rsidRDefault="002874E2" w:rsidP="002874E2">
      <w:pPr>
        <w:pStyle w:val="ListParagraph"/>
        <w:numPr>
          <w:ilvl w:val="0"/>
          <w:numId w:val="6"/>
        </w:numPr>
      </w:pPr>
      <w:r w:rsidRPr="002874E2">
        <w:t>R1-1719597</w:t>
      </w:r>
      <w:r>
        <w:tab/>
        <w:t>DL/UL Transmit Buffer and Soft Buffer Management</w:t>
      </w:r>
      <w:r>
        <w:tab/>
        <w:t>Ericsson</w:t>
      </w:r>
    </w:p>
    <w:p w:rsidR="002874E2" w:rsidRDefault="002874E2" w:rsidP="002874E2">
      <w:pPr>
        <w:pStyle w:val="ListParagraph"/>
        <w:numPr>
          <w:ilvl w:val="0"/>
          <w:numId w:val="6"/>
        </w:numPr>
      </w:pPr>
      <w:r w:rsidRPr="002874E2">
        <w:t>R1-1719797</w:t>
      </w:r>
      <w:r>
        <w:tab/>
        <w:t>On soft-buffer management for NR</w:t>
      </w:r>
      <w:r>
        <w:tab/>
        <w:t>vivo</w:t>
      </w:r>
    </w:p>
    <w:p w:rsidR="002874E2" w:rsidRDefault="002874E2" w:rsidP="002874E2">
      <w:pPr>
        <w:pStyle w:val="ListParagraph"/>
        <w:numPr>
          <w:ilvl w:val="0"/>
          <w:numId w:val="6"/>
        </w:numPr>
      </w:pPr>
      <w:r w:rsidRPr="002874E2">
        <w:t>R1-1719933</w:t>
      </w:r>
      <w:r>
        <w:tab/>
        <w:t>Considerations on soft buffer management for NR</w:t>
      </w:r>
      <w:r>
        <w:tab/>
        <w:t>LG Electronics</w:t>
      </w:r>
    </w:p>
    <w:p w:rsidR="002874E2" w:rsidRDefault="002874E2" w:rsidP="002874E2">
      <w:pPr>
        <w:pStyle w:val="ListParagraph"/>
        <w:numPr>
          <w:ilvl w:val="0"/>
          <w:numId w:val="6"/>
        </w:numPr>
      </w:pPr>
      <w:r w:rsidRPr="002874E2">
        <w:t>R1-1720098</w:t>
      </w:r>
      <w:r>
        <w:tab/>
        <w:t>Soft buffer management for NR</w:t>
      </w:r>
      <w:r>
        <w:tab/>
        <w:t>Intel Corporation</w:t>
      </w:r>
    </w:p>
    <w:p w:rsidR="002874E2" w:rsidRDefault="002874E2" w:rsidP="002874E2">
      <w:pPr>
        <w:pStyle w:val="ListParagraph"/>
        <w:numPr>
          <w:ilvl w:val="0"/>
          <w:numId w:val="6"/>
        </w:numPr>
      </w:pPr>
      <w:r w:rsidRPr="002874E2">
        <w:t>R1-1720206</w:t>
      </w:r>
      <w:r>
        <w:tab/>
        <w:t>Soft buffer management for NR</w:t>
      </w:r>
      <w:r>
        <w:tab/>
        <w:t>CATT</w:t>
      </w:r>
    </w:p>
    <w:p w:rsidR="002874E2" w:rsidRPr="002874E2" w:rsidRDefault="002874E2" w:rsidP="002874E2">
      <w:pPr>
        <w:pStyle w:val="ListParagraph"/>
        <w:numPr>
          <w:ilvl w:val="0"/>
          <w:numId w:val="6"/>
        </w:numPr>
      </w:pPr>
      <w:r w:rsidRPr="002874E2">
        <w:rPr>
          <w:color w:val="A6A6A6"/>
        </w:rPr>
        <w:t>R1-1720343</w:t>
      </w:r>
      <w:r w:rsidRPr="002874E2">
        <w:rPr>
          <w:color w:val="A6A6A6"/>
        </w:rPr>
        <w:tab/>
        <w:t>Soft Buffer Management</w:t>
      </w:r>
      <w:r w:rsidRPr="002874E2">
        <w:rPr>
          <w:color w:val="A6A6A6"/>
        </w:rPr>
        <w:tab/>
        <w:t xml:space="preserve">Samsung </w:t>
      </w:r>
    </w:p>
    <w:p w:rsidR="002874E2" w:rsidRDefault="002874E2" w:rsidP="002874E2">
      <w:pPr>
        <w:pStyle w:val="ListParagraph"/>
        <w:numPr>
          <w:ilvl w:val="0"/>
          <w:numId w:val="6"/>
        </w:numPr>
      </w:pPr>
      <w:r w:rsidRPr="002874E2">
        <w:t>R1-1720482</w:t>
      </w:r>
      <w:r>
        <w:tab/>
        <w:t>Limited buffer rate matching application details</w:t>
      </w:r>
      <w:r>
        <w:tab/>
        <w:t>Nokia, Nokia Shanghai Bell</w:t>
      </w:r>
    </w:p>
    <w:p w:rsidR="002874E2" w:rsidRPr="00D043BF" w:rsidRDefault="002874E2" w:rsidP="002874E2">
      <w:pPr>
        <w:pStyle w:val="ListParagraph"/>
        <w:numPr>
          <w:ilvl w:val="0"/>
          <w:numId w:val="6"/>
        </w:numPr>
      </w:pPr>
      <w:r w:rsidRPr="002874E2">
        <w:t>R1-1720691</w:t>
      </w:r>
      <w:r>
        <w:tab/>
        <w:t>Soft-buffer management</w:t>
      </w:r>
      <w:r>
        <w:tab/>
        <w:t>Qualcomm Incorporated</w:t>
      </w:r>
    </w:p>
    <w:p w:rsidR="00FD1A76" w:rsidRDefault="00FD1A76" w:rsidP="00FD1A76">
      <w:pPr>
        <w:pStyle w:val="BodyText"/>
      </w:pPr>
    </w:p>
    <w:p w:rsidR="00FD1A76" w:rsidRDefault="00FD1A76" w:rsidP="00FD1A76"/>
    <w:p w:rsidR="00FD1A76" w:rsidRDefault="00FD1A76" w:rsidP="00FD1A76"/>
    <w:p w:rsidR="00FD1A76" w:rsidRDefault="00FD1A76" w:rsidP="00FD1A76"/>
    <w:p w:rsidR="00FD1A76" w:rsidRDefault="00FD1A76" w:rsidP="00FD1A76"/>
    <w:p w:rsidR="00FD1A76" w:rsidRDefault="00FD1A76" w:rsidP="00FD1A76"/>
    <w:p w:rsidR="00FD1A76" w:rsidRPr="00546091" w:rsidRDefault="00FD1A76" w:rsidP="00FD1A76">
      <w:pPr>
        <w:pStyle w:val="BodyText"/>
        <w:ind w:left="720"/>
        <w:jc w:val="center"/>
        <w:rPr>
          <w:b/>
          <w:lang w:eastAsia="ja-JP"/>
        </w:rPr>
      </w:pPr>
      <w:r w:rsidRPr="00546091">
        <w:rPr>
          <w:b/>
        </w:rPr>
        <w:t>Annex A</w:t>
      </w:r>
    </w:p>
    <w:p w:rsidR="00FD1A76" w:rsidRDefault="00FD1A76" w:rsidP="00FD1A76">
      <w:pPr>
        <w:pStyle w:val="BodyText"/>
        <w:ind w:left="720"/>
        <w:rPr>
          <w:lang w:eastAsia="ja-JP"/>
        </w:rPr>
      </w:pPr>
    </w:p>
    <w:p w:rsidR="00FD1A76" w:rsidRDefault="00FD1A76" w:rsidP="00FD1A76">
      <w:pPr>
        <w:spacing w:before="240"/>
        <w:jc w:val="both"/>
        <w:rPr>
          <w:sz w:val="22"/>
          <w:szCs w:val="22"/>
        </w:rPr>
      </w:pPr>
      <w:r>
        <w:rPr>
          <w:sz w:val="22"/>
          <w:szCs w:val="22"/>
        </w:rPr>
        <w:t>In previous RAN1 meeting (in May), following was agreed with respect to the soft buffer dimensioning.</w:t>
      </w:r>
    </w:p>
    <w:p w:rsidR="00FD1A76" w:rsidRPr="000146A7" w:rsidRDefault="00FD1A76" w:rsidP="00FD1A76">
      <w:pPr>
        <w:rPr>
          <w:rFonts w:eastAsia="MS Mincho"/>
          <w:b/>
          <w:iCs/>
          <w:highlight w:val="yellow"/>
          <w:u w:val="single"/>
          <w:lang w:eastAsia="ja-JP"/>
        </w:rPr>
      </w:pPr>
      <w:r w:rsidRPr="00270631">
        <w:rPr>
          <w:rFonts w:eastAsia="MS Mincho" w:hint="eastAsia"/>
          <w:b/>
          <w:iCs/>
          <w:highlight w:val="green"/>
          <w:u w:val="single"/>
          <w:lang w:eastAsia="ja-JP"/>
        </w:rPr>
        <w:t>Agreements:</w:t>
      </w:r>
    </w:p>
    <w:p w:rsidR="00FD1A76" w:rsidRPr="00270631" w:rsidRDefault="00FD1A76" w:rsidP="00FD1A76">
      <w:pPr>
        <w:numPr>
          <w:ilvl w:val="0"/>
          <w:numId w:val="2"/>
        </w:numPr>
        <w:rPr>
          <w:rFonts w:eastAsia="MS Mincho"/>
          <w:iCs/>
          <w:lang w:eastAsia="ja-JP"/>
        </w:rPr>
      </w:pPr>
      <w:r w:rsidRPr="00270631">
        <w:rPr>
          <w:rFonts w:eastAsia="MS Mincho"/>
          <w:iCs/>
          <w:lang w:eastAsia="ja-JP"/>
        </w:rPr>
        <w:t>A set of reference parameters is used for the purpose of soft buffer dimensioning</w:t>
      </w:r>
    </w:p>
    <w:p w:rsidR="00FD1A76" w:rsidRPr="00270631" w:rsidRDefault="00FD1A76" w:rsidP="00FD1A76">
      <w:pPr>
        <w:numPr>
          <w:ilvl w:val="1"/>
          <w:numId w:val="2"/>
        </w:numPr>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ms] and data rate(s) of </w:t>
      </w:r>
      <w:r w:rsidRPr="00270631">
        <w:rPr>
          <w:rFonts w:eastAsia="MS Mincho"/>
          <w:i/>
          <w:iCs/>
          <w:lang w:eastAsia="ja-JP"/>
        </w:rPr>
        <w:t>X</w:t>
      </w:r>
      <w:r w:rsidRPr="00270631">
        <w:rPr>
          <w:rFonts w:eastAsia="MS Mincho"/>
          <w:iCs/>
          <w:lang w:eastAsia="ja-JP"/>
        </w:rPr>
        <w:t xml:space="preserve"> Gbps </w:t>
      </w:r>
    </w:p>
    <w:p w:rsidR="00FD1A76" w:rsidRPr="00270631" w:rsidRDefault="00FD1A76" w:rsidP="00FD1A76">
      <w:pPr>
        <w:numPr>
          <w:ilvl w:val="1"/>
          <w:numId w:val="2"/>
        </w:numPr>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FD1A76" w:rsidRPr="00270631" w:rsidRDefault="00FD1A76" w:rsidP="00FD1A76">
      <w:pPr>
        <w:numPr>
          <w:ilvl w:val="1"/>
          <w:numId w:val="2"/>
        </w:numPr>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FD1A76" w:rsidRPr="00270631" w:rsidRDefault="00FD1A76" w:rsidP="00FD1A76">
      <w:pPr>
        <w:numPr>
          <w:ilvl w:val="1"/>
          <w:numId w:val="2"/>
        </w:numPr>
        <w:rPr>
          <w:rFonts w:eastAsia="MS Mincho"/>
          <w:iCs/>
          <w:lang w:eastAsia="ja-JP"/>
        </w:rPr>
      </w:pPr>
      <w:r w:rsidRPr="00270631">
        <w:rPr>
          <w:rFonts w:eastAsia="MS Mincho"/>
          <w:iCs/>
          <w:lang w:eastAsia="ja-JP"/>
        </w:rPr>
        <w:t>This does not imply UE has to have a HARQ-ACK timing based on the reference HARQ RTT</w:t>
      </w:r>
    </w:p>
    <w:p w:rsidR="00FD1A76" w:rsidRPr="00270631" w:rsidRDefault="00FD1A76" w:rsidP="00FD1A76">
      <w:pPr>
        <w:numPr>
          <w:ilvl w:val="1"/>
          <w:numId w:val="2"/>
        </w:numPr>
        <w:rPr>
          <w:rFonts w:eastAsia="MS Mincho"/>
          <w:iCs/>
          <w:lang w:eastAsia="ja-JP"/>
        </w:rPr>
      </w:pPr>
      <w:r w:rsidRPr="00270631">
        <w:rPr>
          <w:rFonts w:eastAsia="MS Mincho"/>
          <w:iCs/>
          <w:lang w:eastAsia="ja-JP"/>
        </w:rPr>
        <w:t>FFS: how different UE categories are defined</w:t>
      </w:r>
    </w:p>
    <w:p w:rsidR="00FD1A76" w:rsidRPr="00270631" w:rsidRDefault="00FD1A76" w:rsidP="00FD1A76">
      <w:pPr>
        <w:numPr>
          <w:ilvl w:val="1"/>
          <w:numId w:val="2"/>
        </w:numPr>
        <w:rPr>
          <w:rFonts w:eastAsia="MS Mincho"/>
          <w:iCs/>
          <w:lang w:eastAsia="ja-JP"/>
        </w:rPr>
      </w:pPr>
      <w:r w:rsidRPr="00270631">
        <w:rPr>
          <w:rFonts w:eastAsia="MS Mincho"/>
          <w:iCs/>
          <w:lang w:eastAsia="ja-JP"/>
        </w:rPr>
        <w:t>LBRM is taken into account</w:t>
      </w:r>
    </w:p>
    <w:p w:rsidR="00FD1A76" w:rsidRPr="00270631" w:rsidRDefault="00FD1A76" w:rsidP="00FD1A76">
      <w:pPr>
        <w:numPr>
          <w:ilvl w:val="0"/>
          <w:numId w:val="2"/>
        </w:numPr>
        <w:rPr>
          <w:rFonts w:eastAsia="MS Mincho"/>
          <w:iCs/>
          <w:lang w:eastAsia="ja-JP"/>
        </w:rPr>
      </w:pPr>
      <w:r w:rsidRPr="00270631">
        <w:rPr>
          <w:rFonts w:eastAsia="MS Mincho"/>
          <w:iCs/>
          <w:lang w:eastAsia="ja-JP"/>
        </w:rPr>
        <w:t xml:space="preserve">Maximum number of HARQ processes per carrier supported in NR is 8 or 16 </w:t>
      </w:r>
    </w:p>
    <w:p w:rsidR="00FD1A76" w:rsidRPr="00270631" w:rsidRDefault="00FD1A76" w:rsidP="00FD1A76">
      <w:pPr>
        <w:numPr>
          <w:ilvl w:val="1"/>
          <w:numId w:val="2"/>
        </w:numPr>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single-TRxP transmission</w:t>
      </w:r>
    </w:p>
    <w:p w:rsidR="00FD1A76" w:rsidRPr="00270631" w:rsidRDefault="00FD1A76" w:rsidP="00FD1A76">
      <w:pPr>
        <w:numPr>
          <w:ilvl w:val="1"/>
          <w:numId w:val="2"/>
        </w:numPr>
        <w:rPr>
          <w:rFonts w:eastAsia="MS Mincho"/>
          <w:iCs/>
          <w:lang w:eastAsia="ja-JP"/>
        </w:rPr>
      </w:pPr>
      <w:r w:rsidRPr="00270631">
        <w:rPr>
          <w:rFonts w:eastAsia="MS Mincho"/>
          <w:iCs/>
          <w:lang w:eastAsia="ja-JP"/>
        </w:rPr>
        <w:t>FFS: down-selection of 8 or 16</w:t>
      </w:r>
    </w:p>
    <w:p w:rsidR="00FD1A76" w:rsidRPr="00270631" w:rsidRDefault="00FD1A76" w:rsidP="00FD1A76">
      <w:pPr>
        <w:numPr>
          <w:ilvl w:val="1"/>
          <w:numId w:val="2"/>
        </w:numPr>
        <w:rPr>
          <w:rFonts w:eastAsia="MS Mincho"/>
          <w:iCs/>
          <w:lang w:eastAsia="ja-JP"/>
        </w:rPr>
      </w:pPr>
      <w:r w:rsidRPr="00270631">
        <w:rPr>
          <w:rFonts w:eastAsia="MS Mincho"/>
          <w:iCs/>
          <w:lang w:eastAsia="ja-JP"/>
        </w:rPr>
        <w:t>FFS: soft-buffer handling</w:t>
      </w:r>
    </w:p>
    <w:p w:rsidR="00FD1A76" w:rsidRDefault="00FD1A76" w:rsidP="00FD1A76">
      <w:pPr>
        <w:numPr>
          <w:ilvl w:val="1"/>
          <w:numId w:val="2"/>
        </w:numPr>
        <w:rPr>
          <w:rFonts w:eastAsia="MS Mincho"/>
          <w:iCs/>
          <w:lang w:eastAsia="ja-JP"/>
        </w:rPr>
      </w:pPr>
      <w:r w:rsidRPr="00270631">
        <w:rPr>
          <w:rFonts w:eastAsia="MS Mincho"/>
          <w:iCs/>
          <w:lang w:eastAsia="ja-JP"/>
        </w:rPr>
        <w:t xml:space="preserve">FFS: the value may be different depending on a certain condition (e.g., subcarrier spacing) </w:t>
      </w:r>
    </w:p>
    <w:p w:rsidR="00481520" w:rsidRDefault="00481520" w:rsidP="00481520">
      <w:pPr>
        <w:rPr>
          <w:rFonts w:eastAsia="MS Mincho"/>
          <w:iCs/>
          <w:lang w:eastAsia="ja-JP"/>
        </w:rPr>
      </w:pPr>
    </w:p>
    <w:p w:rsidR="00481520" w:rsidRDefault="00481520" w:rsidP="00481520">
      <w:pPr>
        <w:rPr>
          <w:rFonts w:eastAsia="MS Mincho"/>
          <w:iCs/>
          <w:lang w:eastAsia="ja-JP"/>
        </w:rPr>
      </w:pPr>
    </w:p>
    <w:p w:rsidR="00481520" w:rsidRDefault="00481520" w:rsidP="00481520">
      <w:pPr>
        <w:rPr>
          <w:rFonts w:eastAsia="MS Mincho"/>
          <w:iCs/>
          <w:lang w:eastAsia="ja-JP"/>
        </w:rPr>
      </w:pPr>
    </w:p>
    <w:p w:rsidR="00481520" w:rsidRDefault="00481520" w:rsidP="00481520">
      <w:pPr>
        <w:pStyle w:val="BodyText"/>
      </w:pPr>
      <w:r w:rsidRPr="00D52BF0">
        <w:rPr>
          <w:rFonts w:eastAsia="Times New Roman"/>
          <w:noProof/>
        </w:rPr>
        <mc:AlternateContent>
          <mc:Choice Requires="wps">
            <w:drawing>
              <wp:anchor distT="45720" distB="45720" distL="114300" distR="114300" simplePos="0" relativeHeight="251659264" behindDoc="0" locked="0" layoutInCell="1" allowOverlap="1" wp14:anchorId="09F508F3" wp14:editId="1864FA97">
                <wp:simplePos x="0" y="0"/>
                <wp:positionH relativeFrom="column">
                  <wp:posOffset>-61595</wp:posOffset>
                </wp:positionH>
                <wp:positionV relativeFrom="paragraph">
                  <wp:posOffset>332105</wp:posOffset>
                </wp:positionV>
                <wp:extent cx="5806440" cy="39014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3901440"/>
                        </a:xfrm>
                        <a:prstGeom prst="rect">
                          <a:avLst/>
                        </a:prstGeom>
                        <a:solidFill>
                          <a:srgbClr val="FFFFFF"/>
                        </a:solidFill>
                        <a:ln w="9525">
                          <a:solidFill>
                            <a:srgbClr val="000000"/>
                          </a:solidFill>
                          <a:miter lim="800000"/>
                          <a:headEnd/>
                          <a:tailEnd/>
                        </a:ln>
                      </wps:spPr>
                      <wps:txbx>
                        <w:txbxContent>
                          <w:p w:rsidR="00941BEA" w:rsidRPr="00AC5E66" w:rsidRDefault="00941BEA" w:rsidP="00481520">
                            <w:pPr>
                              <w:rPr>
                                <w:szCs w:val="20"/>
                                <w:highlight w:val="green"/>
                              </w:rPr>
                            </w:pPr>
                            <w:r w:rsidRPr="00AC5E66">
                              <w:rPr>
                                <w:szCs w:val="20"/>
                                <w:highlight w:val="green"/>
                              </w:rPr>
                              <w:t>Agreements:</w:t>
                            </w:r>
                          </w:p>
                          <w:p w:rsidR="00941BEA" w:rsidRPr="00AC5E66" w:rsidRDefault="00941BEA" w:rsidP="00481520">
                            <w:pPr>
                              <w:numPr>
                                <w:ilvl w:val="0"/>
                                <w:numId w:val="4"/>
                              </w:numPr>
                              <w:rPr>
                                <w:szCs w:val="20"/>
                              </w:rPr>
                            </w:pPr>
                            <w:r>
                              <w:rPr>
                                <w:szCs w:val="20"/>
                              </w:rPr>
                              <w:t>For DL, lim</w:t>
                            </w:r>
                            <w:r w:rsidRPr="00AC5E66">
                              <w:rPr>
                                <w:szCs w:val="20"/>
                              </w:rPr>
                              <w:t>ited buffer rate matching (LBRM) is supported and is applied per HARQ process.</w:t>
                            </w:r>
                          </w:p>
                          <w:p w:rsidR="00941BEA" w:rsidRPr="00AC5E66" w:rsidRDefault="00941BEA" w:rsidP="00481520">
                            <w:pPr>
                              <w:numPr>
                                <w:ilvl w:val="1"/>
                                <w:numId w:val="4"/>
                              </w:numPr>
                              <w:rPr>
                                <w:szCs w:val="20"/>
                              </w:rPr>
                            </w:pPr>
                            <w:r w:rsidRPr="00AC5E66">
                              <w:rPr>
                                <w:szCs w:val="20"/>
                              </w:rPr>
                              <w:t xml:space="preserve">NR limits transmit buffer corresponding to a largest TBS coded at rate </w:t>
                            </w:r>
                            <w:r w:rsidRPr="00D67C12">
                              <w:rPr>
                                <w:szCs w:val="20"/>
                              </w:rPr>
                              <w:t>R</w:t>
                            </w:r>
                            <w:r w:rsidRPr="00D67C12">
                              <w:rPr>
                                <w:szCs w:val="20"/>
                                <w:vertAlign w:val="subscript"/>
                              </w:rPr>
                              <w:t>LBRM</w:t>
                            </w:r>
                            <w:r w:rsidRPr="00D67C12">
                              <w:rPr>
                                <w:sz w:val="24"/>
                                <w:szCs w:val="20"/>
                              </w:rPr>
                              <w:t>.</w:t>
                            </w:r>
                          </w:p>
                          <w:p w:rsidR="00941BEA" w:rsidRPr="00D67C12" w:rsidRDefault="00941BEA" w:rsidP="00481520">
                            <w:pPr>
                              <w:pStyle w:val="BodyText"/>
                              <w:numPr>
                                <w:ilvl w:val="1"/>
                                <w:numId w:val="4"/>
                              </w:numPr>
                              <w:rPr>
                                <w:szCs w:val="20"/>
                                <w:lang w:eastAsia="zh-CN"/>
                              </w:rPr>
                            </w:pPr>
                            <w:r w:rsidRPr="00D67C12">
                              <w:rPr>
                                <w:szCs w:val="20"/>
                                <w:lang w:eastAsia="zh-CN"/>
                              </w:rPr>
                              <w:t>R</w:t>
                            </w:r>
                            <w:r w:rsidRPr="00D67C12">
                              <w:rPr>
                                <w:szCs w:val="20"/>
                                <w:vertAlign w:val="subscript"/>
                                <w:lang w:eastAsia="zh-CN"/>
                              </w:rPr>
                              <w:t>LBRM</w:t>
                            </w:r>
                            <w:r w:rsidRPr="00D67C12">
                              <w:rPr>
                                <w:szCs w:val="20"/>
                                <w:lang w:eastAsia="zh-CN"/>
                              </w:rPr>
                              <w:t xml:space="preserve"> =</w:t>
                            </w:r>
                            <w:r>
                              <w:rPr>
                                <w:szCs w:val="20"/>
                                <w:lang w:eastAsia="zh-CN"/>
                              </w:rPr>
                              <w:t>1/2</w:t>
                            </w:r>
                            <w:r w:rsidRPr="00D67C12">
                              <w:rPr>
                                <w:szCs w:val="20"/>
                                <w:lang w:eastAsia="zh-CN"/>
                              </w:rPr>
                              <w:t xml:space="preserve">  is supported. </w:t>
                            </w:r>
                          </w:p>
                          <w:p w:rsidR="00941BEA" w:rsidRPr="007806AC" w:rsidRDefault="00941BEA" w:rsidP="00481520">
                            <w:pPr>
                              <w:numPr>
                                <w:ilvl w:val="0"/>
                                <w:numId w:val="5"/>
                              </w:numPr>
                              <w:rPr>
                                <w:szCs w:val="20"/>
                              </w:rPr>
                            </w:pPr>
                            <w:r w:rsidRPr="007806AC">
                              <w:rPr>
                                <w:szCs w:val="20"/>
                              </w:rPr>
                              <w:t>Largest TBS for LBRM for DL should at least take into account UE capability</w:t>
                            </w:r>
                          </w:p>
                          <w:p w:rsidR="00941BEA" w:rsidRPr="007806AC" w:rsidRDefault="00941BEA" w:rsidP="00481520">
                            <w:pPr>
                              <w:numPr>
                                <w:ilvl w:val="1"/>
                                <w:numId w:val="5"/>
                              </w:numPr>
                              <w:rPr>
                                <w:szCs w:val="20"/>
                              </w:rPr>
                            </w:pPr>
                            <w:r w:rsidRPr="007806AC">
                              <w:rPr>
                                <w:szCs w:val="20"/>
                              </w:rPr>
                              <w:t>Details FFS (e.g., based on UE signalling, gNB configuration w.r.t. highest mod order, etc.)</w:t>
                            </w:r>
                          </w:p>
                          <w:p w:rsidR="00941BEA" w:rsidRPr="00A07E8B" w:rsidRDefault="00941BEA" w:rsidP="00481520">
                            <w:pPr>
                              <w:numPr>
                                <w:ilvl w:val="2"/>
                                <w:numId w:val="5"/>
                              </w:numPr>
                            </w:pPr>
                            <w:r w:rsidRPr="00A07E8B">
                              <w:t>Note: this does not prevent the possibility of defining a single largest TBS used for LBRM in Rel-15</w:t>
                            </w:r>
                          </w:p>
                          <w:p w:rsidR="00941BEA" w:rsidRPr="004072B6" w:rsidRDefault="00941BEA" w:rsidP="00481520">
                            <w:pPr>
                              <w:rPr>
                                <w:szCs w:val="20"/>
                              </w:rPr>
                            </w:pPr>
                            <w:r w:rsidRPr="004072B6">
                              <w:rPr>
                                <w:szCs w:val="20"/>
                                <w:highlight w:val="green"/>
                              </w:rPr>
                              <w:t>Agreements</w:t>
                            </w:r>
                            <w:r w:rsidRPr="004072B6">
                              <w:rPr>
                                <w:szCs w:val="20"/>
                              </w:rPr>
                              <w:t>:</w:t>
                            </w:r>
                          </w:p>
                          <w:p w:rsidR="00941BEA" w:rsidRPr="004072B6" w:rsidRDefault="00941BEA" w:rsidP="00481520">
                            <w:pPr>
                              <w:numPr>
                                <w:ilvl w:val="0"/>
                                <w:numId w:val="3"/>
                              </w:numPr>
                              <w:rPr>
                                <w:szCs w:val="20"/>
                              </w:rPr>
                            </w:pPr>
                            <w:r w:rsidRPr="004072B6">
                              <w:rPr>
                                <w:szCs w:val="20"/>
                              </w:rPr>
                              <w:t>Dynamic sharing of soft buffer is possible for DL reception by UE implementation</w:t>
                            </w:r>
                          </w:p>
                          <w:p w:rsidR="00941BEA" w:rsidRDefault="00941BEA" w:rsidP="00481520">
                            <w:pPr>
                              <w:numPr>
                                <w:ilvl w:val="1"/>
                                <w:numId w:val="3"/>
                              </w:numPr>
                              <w:rPr>
                                <w:szCs w:val="20"/>
                              </w:rPr>
                            </w:pPr>
                            <w:r w:rsidRPr="004072B6">
                              <w:rPr>
                                <w:szCs w:val="20"/>
                              </w:rPr>
                              <w:t>No spec impact</w:t>
                            </w:r>
                          </w:p>
                          <w:p w:rsidR="00941BEA" w:rsidRPr="004E7206" w:rsidRDefault="00941BEA" w:rsidP="00481520">
                            <w:pPr>
                              <w:rPr>
                                <w:b/>
                                <w:color w:val="FF0000"/>
                                <w:szCs w:val="20"/>
                                <w:u w:val="single"/>
                              </w:rPr>
                            </w:pPr>
                            <w:r>
                              <w:rPr>
                                <w:b/>
                                <w:color w:val="FF0000"/>
                                <w:szCs w:val="20"/>
                                <w:u w:val="single"/>
                              </w:rPr>
                              <w:t>Update after</w:t>
                            </w:r>
                            <w:r w:rsidRPr="004E7206">
                              <w:rPr>
                                <w:b/>
                                <w:color w:val="FF0000"/>
                                <w:szCs w:val="20"/>
                                <w:u w:val="single"/>
                              </w:rPr>
                              <w:t xml:space="preserve"> email approval:</w:t>
                            </w:r>
                          </w:p>
                          <w:p w:rsidR="00941BEA" w:rsidRPr="004E7206" w:rsidRDefault="00941BEA" w:rsidP="00481520">
                            <w:pPr>
                              <w:rPr>
                                <w:szCs w:val="20"/>
                                <w:highlight w:val="green"/>
                              </w:rPr>
                            </w:pPr>
                            <w:r w:rsidRPr="004E7206">
                              <w:rPr>
                                <w:szCs w:val="20"/>
                                <w:highlight w:val="green"/>
                              </w:rPr>
                              <w:t>Agreements:</w:t>
                            </w:r>
                          </w:p>
                          <w:p w:rsidR="00941BEA" w:rsidRPr="004E7206" w:rsidRDefault="00941BEA" w:rsidP="00481520">
                            <w:pPr>
                              <w:numPr>
                                <w:ilvl w:val="0"/>
                                <w:numId w:val="3"/>
                              </w:numPr>
                            </w:pPr>
                            <w:r w:rsidRPr="004E7206">
                              <w:rPr>
                                <w:rFonts w:hint="eastAsia"/>
                              </w:rPr>
                              <w:t>For DL LBRM, RLBRM is changed from 1/2 to 2/3.</w:t>
                            </w:r>
                          </w:p>
                          <w:p w:rsidR="00941BEA" w:rsidRDefault="00941BEA" w:rsidP="00481520">
                            <w:pPr>
                              <w:numPr>
                                <w:ilvl w:val="0"/>
                                <w:numId w:val="3"/>
                              </w:numPr>
                              <w:spacing w:before="100" w:beforeAutospacing="1" w:after="100" w:afterAutospacing="1"/>
                              <w:rPr>
                                <w:rFonts w:ascii="MS PGothic" w:hAnsi="MS PGothic"/>
                              </w:rPr>
                            </w:pPr>
                            <w:r>
                              <w:rPr>
                                <w:rFonts w:hint="eastAsia"/>
                                <w:szCs w:val="20"/>
                              </w:rPr>
                              <w:t xml:space="preserve">For uplink, </w:t>
                            </w:r>
                          </w:p>
                          <w:p w:rsidR="00941BEA" w:rsidRDefault="00941BEA" w:rsidP="00481520">
                            <w:pPr>
                              <w:numPr>
                                <w:ilvl w:val="1"/>
                                <w:numId w:val="3"/>
                              </w:numPr>
                              <w:spacing w:before="100" w:beforeAutospacing="1" w:after="100" w:afterAutospacing="1"/>
                            </w:pPr>
                            <w:r>
                              <w:rPr>
                                <w:rFonts w:hint="eastAsia"/>
                                <w:szCs w:val="20"/>
                              </w:rPr>
                              <w:t>Full buffer rate-matching is supported</w:t>
                            </w:r>
                            <w:r>
                              <w:rPr>
                                <w:rFonts w:hint="eastAsia"/>
                              </w:rPr>
                              <w:t xml:space="preserve"> </w:t>
                            </w:r>
                          </w:p>
                          <w:p w:rsidR="00941BEA" w:rsidRDefault="00941BEA" w:rsidP="00481520">
                            <w:pPr>
                              <w:numPr>
                                <w:ilvl w:val="1"/>
                                <w:numId w:val="3"/>
                              </w:numPr>
                              <w:spacing w:before="100" w:beforeAutospacing="1" w:after="100" w:afterAutospacing="1"/>
                              <w:rPr>
                                <w:rFonts w:ascii="MS PGothic" w:hAnsi="MS PGothic" w:cs="Calibri"/>
                              </w:rPr>
                            </w:pPr>
                            <w:r>
                              <w:rPr>
                                <w:rFonts w:hint="eastAsia"/>
                                <w:szCs w:val="20"/>
                              </w:rPr>
                              <w:t>Limited buffer rate-matching is also supported via RRC configuration and, when configured, is applied to all HARQ processes</w:t>
                            </w:r>
                            <w:r>
                              <w:rPr>
                                <w:rFonts w:hint="eastAsia"/>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NR limits UL transmit buffer corresponding to a largest UL TBS coded at rate R</w:t>
                            </w:r>
                            <w:r w:rsidRPr="00514754">
                              <w:rPr>
                                <w:rFonts w:ascii="Calibri" w:hAnsi="Calibri" w:cs="Calibri"/>
                                <w:sz w:val="20"/>
                                <w:szCs w:val="20"/>
                                <w:vertAlign w:val="subscript"/>
                              </w:rPr>
                              <w:t>LBRM,UL</w:t>
                            </w:r>
                            <w:r w:rsidRPr="00514754">
                              <w:rPr>
                                <w:rFonts w:ascii="Calibri" w:hAnsi="Calibri" w:cs="Calibri"/>
                                <w:sz w:val="20"/>
                                <w:szCs w:val="20"/>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R</w:t>
                            </w:r>
                            <w:r w:rsidRPr="00514754">
                              <w:rPr>
                                <w:rFonts w:ascii="Calibri" w:hAnsi="Calibri" w:cs="Calibri"/>
                                <w:sz w:val="20"/>
                                <w:szCs w:val="20"/>
                                <w:vertAlign w:val="subscript"/>
                              </w:rPr>
                              <w:t xml:space="preserve">LBRM, UL </w:t>
                            </w:r>
                            <w:r w:rsidRPr="00514754">
                              <w:rPr>
                                <w:rFonts w:ascii="Calibri" w:hAnsi="Calibri" w:cs="Calibri"/>
                                <w:sz w:val="20"/>
                                <w:szCs w:val="20"/>
                              </w:rPr>
                              <w:t> = 2/3.</w:t>
                            </w:r>
                            <w:r w:rsidRPr="00514754">
                              <w:rPr>
                                <w:rFonts w:ascii="Calibri" w:hAnsi="Calibri" w:cs="Calibri"/>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Details FFS</w:t>
                            </w:r>
                            <w:r w:rsidRPr="00514754">
                              <w:rPr>
                                <w:rFonts w:ascii="Calibri" w:hAnsi="Calibri" w:cs="Calibri"/>
                              </w:rPr>
                              <w:t xml:space="preserve"> </w:t>
                            </w:r>
                          </w:p>
                          <w:p w:rsidR="00941BEA" w:rsidRDefault="00941BEA" w:rsidP="004815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F508F3" id="_x0000_t202" coordsize="21600,21600" o:spt="202" path="m,l,21600r21600,l21600,xe">
                <v:stroke joinstyle="miter"/>
                <v:path gradientshapeok="t" o:connecttype="rect"/>
              </v:shapetype>
              <v:shape id="Text Box 2" o:spid="_x0000_s1026" type="#_x0000_t202" style="position:absolute;left:0;text-align:left;margin-left:-4.85pt;margin-top:26.15pt;width:457.2pt;height:307.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">
                <v:textbox>
                  <w:txbxContent>
                    <w:p w:rsidR="00941BEA" w:rsidRPr="00AC5E66" w:rsidRDefault="00941BEA" w:rsidP="00481520">
                      <w:pPr>
                        <w:rPr>
                          <w:szCs w:val="20"/>
                          <w:highlight w:val="green"/>
                        </w:rPr>
                      </w:pPr>
                      <w:r w:rsidRPr="00AC5E66">
                        <w:rPr>
                          <w:szCs w:val="20"/>
                          <w:highlight w:val="green"/>
                        </w:rPr>
                        <w:t>Agreements:</w:t>
                      </w:r>
                    </w:p>
                    <w:p w:rsidR="00941BEA" w:rsidRPr="00AC5E66" w:rsidRDefault="00941BEA" w:rsidP="00481520">
                      <w:pPr>
                        <w:numPr>
                          <w:ilvl w:val="0"/>
                          <w:numId w:val="4"/>
                        </w:numPr>
                        <w:rPr>
                          <w:szCs w:val="20"/>
                        </w:rPr>
                      </w:pPr>
                      <w:r>
                        <w:rPr>
                          <w:szCs w:val="20"/>
                        </w:rPr>
                        <w:t>For DL, lim</w:t>
                      </w:r>
                      <w:r w:rsidRPr="00AC5E66">
                        <w:rPr>
                          <w:szCs w:val="20"/>
                        </w:rPr>
                        <w:t>ited buffer rate matching (LBRM) is supported and is applied per HARQ process.</w:t>
                      </w:r>
                    </w:p>
                    <w:p w:rsidR="00941BEA" w:rsidRPr="00AC5E66" w:rsidRDefault="00941BEA" w:rsidP="00481520">
                      <w:pPr>
                        <w:numPr>
                          <w:ilvl w:val="1"/>
                          <w:numId w:val="4"/>
                        </w:numPr>
                        <w:rPr>
                          <w:szCs w:val="20"/>
                        </w:rPr>
                      </w:pPr>
                      <w:r w:rsidRPr="00AC5E66">
                        <w:rPr>
                          <w:szCs w:val="20"/>
                        </w:rPr>
                        <w:t xml:space="preserve">NR limits transmit buffer corresponding to a largest TBS coded at rate </w:t>
                      </w:r>
                      <w:r w:rsidRPr="00D67C12">
                        <w:rPr>
                          <w:szCs w:val="20"/>
                        </w:rPr>
                        <w:t>R</w:t>
                      </w:r>
                      <w:r w:rsidRPr="00D67C12">
                        <w:rPr>
                          <w:szCs w:val="20"/>
                          <w:vertAlign w:val="subscript"/>
                        </w:rPr>
                        <w:t>LBRM</w:t>
                      </w:r>
                      <w:r w:rsidRPr="00D67C12">
                        <w:rPr>
                          <w:sz w:val="24"/>
                          <w:szCs w:val="20"/>
                        </w:rPr>
                        <w:t>.</w:t>
                      </w:r>
                    </w:p>
                    <w:p w:rsidR="00941BEA" w:rsidRPr="00D67C12" w:rsidRDefault="00941BEA" w:rsidP="00481520">
                      <w:pPr>
                        <w:pStyle w:val="BodyText"/>
                        <w:numPr>
                          <w:ilvl w:val="1"/>
                          <w:numId w:val="4"/>
                        </w:numPr>
                        <w:rPr>
                          <w:szCs w:val="20"/>
                          <w:lang w:eastAsia="zh-CN"/>
                        </w:rPr>
                      </w:pPr>
                      <w:r w:rsidRPr="00D67C12">
                        <w:rPr>
                          <w:szCs w:val="20"/>
                          <w:lang w:eastAsia="zh-CN"/>
                        </w:rPr>
                        <w:t>R</w:t>
                      </w:r>
                      <w:r w:rsidRPr="00D67C12">
                        <w:rPr>
                          <w:szCs w:val="20"/>
                          <w:vertAlign w:val="subscript"/>
                          <w:lang w:eastAsia="zh-CN"/>
                        </w:rPr>
                        <w:t>LBRM</w:t>
                      </w:r>
                      <w:r w:rsidRPr="00D67C12">
                        <w:rPr>
                          <w:szCs w:val="20"/>
                          <w:lang w:eastAsia="zh-CN"/>
                        </w:rPr>
                        <w:t xml:space="preserve"> =</w:t>
                      </w:r>
                      <w:r>
                        <w:rPr>
                          <w:szCs w:val="20"/>
                          <w:lang w:eastAsia="zh-CN"/>
                        </w:rPr>
                        <w:t>1/2</w:t>
                      </w:r>
                      <w:r w:rsidRPr="00D67C12">
                        <w:rPr>
                          <w:szCs w:val="20"/>
                          <w:lang w:eastAsia="zh-CN"/>
                        </w:rPr>
                        <w:t xml:space="preserve">  is supported. </w:t>
                      </w:r>
                    </w:p>
                    <w:p w:rsidR="00941BEA" w:rsidRPr="007806AC" w:rsidRDefault="00941BEA" w:rsidP="00481520">
                      <w:pPr>
                        <w:numPr>
                          <w:ilvl w:val="0"/>
                          <w:numId w:val="5"/>
                        </w:numPr>
                        <w:rPr>
                          <w:szCs w:val="20"/>
                        </w:rPr>
                      </w:pPr>
                      <w:r w:rsidRPr="007806AC">
                        <w:rPr>
                          <w:szCs w:val="20"/>
                        </w:rPr>
                        <w:t>Largest TBS for LBRM for DL should at least take into account UE capability</w:t>
                      </w:r>
                    </w:p>
                    <w:p w:rsidR="00941BEA" w:rsidRPr="007806AC" w:rsidRDefault="00941BEA" w:rsidP="00481520">
                      <w:pPr>
                        <w:numPr>
                          <w:ilvl w:val="1"/>
                          <w:numId w:val="5"/>
                        </w:numPr>
                        <w:rPr>
                          <w:szCs w:val="20"/>
                        </w:rPr>
                      </w:pPr>
                      <w:r w:rsidRPr="007806AC">
                        <w:rPr>
                          <w:szCs w:val="20"/>
                        </w:rPr>
                        <w:t>Details FFS (e.g., based on UE signalling, gNB configuration w.r.t. highest mod order, etc.)</w:t>
                      </w:r>
                    </w:p>
                    <w:p w:rsidR="00941BEA" w:rsidRPr="00A07E8B" w:rsidRDefault="00941BEA" w:rsidP="00481520">
                      <w:pPr>
                        <w:numPr>
                          <w:ilvl w:val="2"/>
                          <w:numId w:val="5"/>
                        </w:numPr>
                      </w:pPr>
                      <w:r w:rsidRPr="00A07E8B">
                        <w:t>Note: this does not prevent the possibility of defining a single largest TBS used for LBRM in Rel-15</w:t>
                      </w:r>
                    </w:p>
                    <w:p w:rsidR="00941BEA" w:rsidRPr="004072B6" w:rsidRDefault="00941BEA" w:rsidP="00481520">
                      <w:pPr>
                        <w:rPr>
                          <w:szCs w:val="20"/>
                        </w:rPr>
                      </w:pPr>
                      <w:r w:rsidRPr="004072B6">
                        <w:rPr>
                          <w:szCs w:val="20"/>
                          <w:highlight w:val="green"/>
                        </w:rPr>
                        <w:t>Agreements</w:t>
                      </w:r>
                      <w:r w:rsidRPr="004072B6">
                        <w:rPr>
                          <w:szCs w:val="20"/>
                        </w:rPr>
                        <w:t>:</w:t>
                      </w:r>
                    </w:p>
                    <w:p w:rsidR="00941BEA" w:rsidRPr="004072B6" w:rsidRDefault="00941BEA" w:rsidP="00481520">
                      <w:pPr>
                        <w:numPr>
                          <w:ilvl w:val="0"/>
                          <w:numId w:val="3"/>
                        </w:numPr>
                        <w:rPr>
                          <w:szCs w:val="20"/>
                        </w:rPr>
                      </w:pPr>
                      <w:r w:rsidRPr="004072B6">
                        <w:rPr>
                          <w:szCs w:val="20"/>
                        </w:rPr>
                        <w:t>Dynamic sharing of soft buffer is possible for DL reception by UE implementation</w:t>
                      </w:r>
                    </w:p>
                    <w:p w:rsidR="00941BEA" w:rsidRDefault="00941BEA" w:rsidP="00481520">
                      <w:pPr>
                        <w:numPr>
                          <w:ilvl w:val="1"/>
                          <w:numId w:val="3"/>
                        </w:numPr>
                        <w:rPr>
                          <w:szCs w:val="20"/>
                        </w:rPr>
                      </w:pPr>
                      <w:r w:rsidRPr="004072B6">
                        <w:rPr>
                          <w:szCs w:val="20"/>
                        </w:rPr>
                        <w:t>No spec impact</w:t>
                      </w:r>
                    </w:p>
                    <w:p w:rsidR="00941BEA" w:rsidRPr="004E7206" w:rsidRDefault="00941BEA" w:rsidP="00481520">
                      <w:pPr>
                        <w:rPr>
                          <w:b/>
                          <w:color w:val="FF0000"/>
                          <w:szCs w:val="20"/>
                          <w:u w:val="single"/>
                        </w:rPr>
                      </w:pPr>
                      <w:r>
                        <w:rPr>
                          <w:b/>
                          <w:color w:val="FF0000"/>
                          <w:szCs w:val="20"/>
                          <w:u w:val="single"/>
                        </w:rPr>
                        <w:t>Update after</w:t>
                      </w:r>
                      <w:r w:rsidRPr="004E7206">
                        <w:rPr>
                          <w:b/>
                          <w:color w:val="FF0000"/>
                          <w:szCs w:val="20"/>
                          <w:u w:val="single"/>
                        </w:rPr>
                        <w:t xml:space="preserve"> email approval:</w:t>
                      </w:r>
                    </w:p>
                    <w:p w:rsidR="00941BEA" w:rsidRPr="004E7206" w:rsidRDefault="00941BEA" w:rsidP="00481520">
                      <w:pPr>
                        <w:rPr>
                          <w:szCs w:val="20"/>
                          <w:highlight w:val="green"/>
                        </w:rPr>
                      </w:pPr>
                      <w:r w:rsidRPr="004E7206">
                        <w:rPr>
                          <w:szCs w:val="20"/>
                          <w:highlight w:val="green"/>
                        </w:rPr>
                        <w:t>Agreements:</w:t>
                      </w:r>
                    </w:p>
                    <w:p w:rsidR="00941BEA" w:rsidRPr="004E7206" w:rsidRDefault="00941BEA" w:rsidP="00481520">
                      <w:pPr>
                        <w:numPr>
                          <w:ilvl w:val="0"/>
                          <w:numId w:val="3"/>
                        </w:numPr>
                      </w:pPr>
                      <w:r w:rsidRPr="004E7206">
                        <w:rPr>
                          <w:rFonts w:hint="eastAsia"/>
                        </w:rPr>
                        <w:t>For DL LBRM, RLBRM is changed from 1/2 to 2/3.</w:t>
                      </w:r>
                    </w:p>
                    <w:p w:rsidR="00941BEA" w:rsidRDefault="00941BEA" w:rsidP="00481520">
                      <w:pPr>
                        <w:numPr>
                          <w:ilvl w:val="0"/>
                          <w:numId w:val="3"/>
                        </w:numPr>
                        <w:spacing w:before="100" w:beforeAutospacing="1" w:after="100" w:afterAutospacing="1"/>
                        <w:rPr>
                          <w:rFonts w:ascii="MS PGothic" w:hAnsi="MS PGothic"/>
                        </w:rPr>
                      </w:pPr>
                      <w:r>
                        <w:rPr>
                          <w:rFonts w:hint="eastAsia"/>
                          <w:szCs w:val="20"/>
                        </w:rPr>
                        <w:t xml:space="preserve">For uplink, </w:t>
                      </w:r>
                    </w:p>
                    <w:p w:rsidR="00941BEA" w:rsidRDefault="00941BEA" w:rsidP="00481520">
                      <w:pPr>
                        <w:numPr>
                          <w:ilvl w:val="1"/>
                          <w:numId w:val="3"/>
                        </w:numPr>
                        <w:spacing w:before="100" w:beforeAutospacing="1" w:after="100" w:afterAutospacing="1"/>
                      </w:pPr>
                      <w:r>
                        <w:rPr>
                          <w:rFonts w:hint="eastAsia"/>
                          <w:szCs w:val="20"/>
                        </w:rPr>
                        <w:t>Full buffer rate-matching is supported</w:t>
                      </w:r>
                      <w:r>
                        <w:rPr>
                          <w:rFonts w:hint="eastAsia"/>
                        </w:rPr>
                        <w:t xml:space="preserve"> </w:t>
                      </w:r>
                    </w:p>
                    <w:p w:rsidR="00941BEA" w:rsidRDefault="00941BEA" w:rsidP="00481520">
                      <w:pPr>
                        <w:numPr>
                          <w:ilvl w:val="1"/>
                          <w:numId w:val="3"/>
                        </w:numPr>
                        <w:spacing w:before="100" w:beforeAutospacing="1" w:after="100" w:afterAutospacing="1"/>
                        <w:rPr>
                          <w:rFonts w:ascii="MS PGothic" w:hAnsi="MS PGothic" w:cs="Calibri"/>
                        </w:rPr>
                      </w:pPr>
                      <w:r>
                        <w:rPr>
                          <w:rFonts w:hint="eastAsia"/>
                          <w:szCs w:val="20"/>
                        </w:rPr>
                        <w:t>Limited buffer rate-matching is also supported via RRC configuration and, when configured, is applied to all HARQ processes</w:t>
                      </w:r>
                      <w:r>
                        <w:rPr>
                          <w:rFonts w:hint="eastAsia"/>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NR limits UL transmit buffer corresponding to a largest UL TBS coded at rate R</w:t>
                      </w:r>
                      <w:r w:rsidRPr="00514754">
                        <w:rPr>
                          <w:rFonts w:ascii="Calibri" w:hAnsi="Calibri" w:cs="Calibri"/>
                          <w:sz w:val="20"/>
                          <w:szCs w:val="20"/>
                          <w:vertAlign w:val="subscript"/>
                        </w:rPr>
                        <w:t>LBRM,UL</w:t>
                      </w:r>
                      <w:r w:rsidRPr="00514754">
                        <w:rPr>
                          <w:rFonts w:ascii="Calibri" w:hAnsi="Calibri" w:cs="Calibri"/>
                          <w:sz w:val="20"/>
                          <w:szCs w:val="20"/>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R</w:t>
                      </w:r>
                      <w:r w:rsidRPr="00514754">
                        <w:rPr>
                          <w:rFonts w:ascii="Calibri" w:hAnsi="Calibri" w:cs="Calibri"/>
                          <w:sz w:val="20"/>
                          <w:szCs w:val="20"/>
                          <w:vertAlign w:val="subscript"/>
                        </w:rPr>
                        <w:t xml:space="preserve">LBRM, UL </w:t>
                      </w:r>
                      <w:r w:rsidRPr="00514754">
                        <w:rPr>
                          <w:rFonts w:ascii="Calibri" w:hAnsi="Calibri" w:cs="Calibri"/>
                          <w:sz w:val="20"/>
                          <w:szCs w:val="20"/>
                        </w:rPr>
                        <w:t> = 2/3.</w:t>
                      </w:r>
                      <w:r w:rsidRPr="00514754">
                        <w:rPr>
                          <w:rFonts w:ascii="Calibri" w:hAnsi="Calibri" w:cs="Calibri"/>
                        </w:rPr>
                        <w:t xml:space="preserve"> </w:t>
                      </w:r>
                    </w:p>
                    <w:p w:rsidR="00941BEA" w:rsidRPr="00514754" w:rsidRDefault="00941BEA" w:rsidP="00481520">
                      <w:pPr>
                        <w:pStyle w:val="NormalWeb"/>
                        <w:ind w:left="2880"/>
                        <w:rPr>
                          <w:rFonts w:ascii="Calibri" w:hAnsi="Calibri" w:cs="Calibri"/>
                        </w:rPr>
                      </w:pPr>
                      <w:r w:rsidRPr="00514754">
                        <w:rPr>
                          <w:rFonts w:ascii="Calibri" w:hAnsi="Calibri" w:cs="Calibri"/>
                          <w:sz w:val="20"/>
                          <w:szCs w:val="20"/>
                        </w:rPr>
                        <w:t>§  Details FFS</w:t>
                      </w:r>
                      <w:r w:rsidRPr="00514754">
                        <w:rPr>
                          <w:rFonts w:ascii="Calibri" w:hAnsi="Calibri" w:cs="Calibri"/>
                        </w:rPr>
                        <w:t xml:space="preserve"> </w:t>
                      </w:r>
                    </w:p>
                    <w:p w:rsidR="00941BEA" w:rsidRDefault="00941BEA" w:rsidP="00481520"/>
                  </w:txbxContent>
                </v:textbox>
                <w10:wrap type="square"/>
              </v:shape>
            </w:pict>
          </mc:Fallback>
        </mc:AlternateContent>
      </w:r>
      <w:r>
        <w:t>Following agreements were made in RAN1#90bis meeting and subsequent email discussions.</w:t>
      </w:r>
    </w:p>
    <w:p w:rsidR="00481520" w:rsidRDefault="00481520" w:rsidP="00481520">
      <w:pPr>
        <w:rPr>
          <w:rFonts w:eastAsia="MS Mincho"/>
          <w:iCs/>
          <w:lang w:eastAsia="ja-JP"/>
        </w:rPr>
      </w:pPr>
    </w:p>
    <w:p w:rsidR="00481520" w:rsidRPr="00270631" w:rsidRDefault="00481520" w:rsidP="00481520">
      <w:pPr>
        <w:rPr>
          <w:rFonts w:eastAsia="MS Mincho"/>
          <w:iCs/>
          <w:lang w:eastAsia="ja-JP"/>
        </w:rPr>
      </w:pPr>
    </w:p>
    <w:p w:rsidR="00FD1A76" w:rsidRDefault="00FD1A76" w:rsidP="00FD1A76">
      <w:pPr>
        <w:pStyle w:val="BodyText"/>
        <w:ind w:left="720"/>
      </w:pPr>
    </w:p>
    <w:p w:rsidR="00FD1A76" w:rsidRDefault="00FD1A76" w:rsidP="00FD1A76"/>
    <w:p w:rsidR="00FD1A76" w:rsidRDefault="00FD1A76" w:rsidP="00FD1A76"/>
    <w:p w:rsidR="00FD1A76" w:rsidRDefault="00FD1A76" w:rsidP="00FD1A76"/>
    <w:p w:rsidR="00953292" w:rsidRDefault="00953292"/>
    <w:sectPr w:rsidR="00953292" w:rsidSect="008365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D67" w:rsidRDefault="000B0D67">
      <w:r>
        <w:separator/>
      </w:r>
    </w:p>
  </w:endnote>
  <w:endnote w:type="continuationSeparator" w:id="0">
    <w:p w:rsidR="000B0D67" w:rsidRDefault="000B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153054"/>
      <w:docPartObj>
        <w:docPartGallery w:val="Page Numbers (Bottom of Page)"/>
        <w:docPartUnique/>
      </w:docPartObj>
    </w:sdtPr>
    <w:sdtEndPr>
      <w:rPr>
        <w:noProof/>
      </w:rPr>
    </w:sdtEndPr>
    <w:sdtContent>
      <w:p w:rsidR="00941BEA" w:rsidRDefault="00941BEA">
        <w:pPr>
          <w:pStyle w:val="Footer"/>
          <w:jc w:val="center"/>
        </w:pPr>
        <w:r>
          <w:fldChar w:fldCharType="begin"/>
        </w:r>
        <w:r>
          <w:instrText xml:space="preserve"> PAGE   \* MERGEFORMAT </w:instrText>
        </w:r>
        <w:r>
          <w:fldChar w:fldCharType="separate"/>
        </w:r>
        <w:r w:rsidR="00153176">
          <w:rPr>
            <w:noProof/>
          </w:rPr>
          <w:t>1</w:t>
        </w:r>
        <w:r>
          <w:rPr>
            <w:noProof/>
          </w:rPr>
          <w:fldChar w:fldCharType="end"/>
        </w:r>
      </w:p>
    </w:sdtContent>
  </w:sdt>
  <w:p w:rsidR="00941BEA" w:rsidRDefault="00941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D67" w:rsidRDefault="000B0D67">
      <w:r>
        <w:separator/>
      </w:r>
    </w:p>
  </w:footnote>
  <w:footnote w:type="continuationSeparator" w:id="0">
    <w:p w:rsidR="000B0D67" w:rsidRDefault="000B0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1B75"/>
    <w:multiLevelType w:val="hybridMultilevel"/>
    <w:tmpl w:val="FA902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15:restartNumberingAfterBreak="0">
    <w:nsid w:val="33C55951"/>
    <w:multiLevelType w:val="hybridMultilevel"/>
    <w:tmpl w:val="A392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E07DA"/>
    <w:multiLevelType w:val="hybridMultilevel"/>
    <w:tmpl w:val="D254905E"/>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7C3671E0"/>
    <w:multiLevelType w:val="hybridMultilevel"/>
    <w:tmpl w:val="EF44B7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6"/>
  </w:num>
  <w:num w:numId="3">
    <w:abstractNumId w:val="0"/>
  </w:num>
  <w:num w:numId="4">
    <w:abstractNumId w:val="5"/>
  </w:num>
  <w:num w:numId="5">
    <w:abstractNumId w:val="2"/>
  </w:num>
  <w:num w:numId="6">
    <w:abstractNumId w:val="4"/>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A76"/>
    <w:rsid w:val="000B0D67"/>
    <w:rsid w:val="00153176"/>
    <w:rsid w:val="002419FD"/>
    <w:rsid w:val="002874E2"/>
    <w:rsid w:val="002C34B1"/>
    <w:rsid w:val="003144AA"/>
    <w:rsid w:val="003965F9"/>
    <w:rsid w:val="003C0CD5"/>
    <w:rsid w:val="004125D4"/>
    <w:rsid w:val="00464EF3"/>
    <w:rsid w:val="00470E38"/>
    <w:rsid w:val="00481520"/>
    <w:rsid w:val="00513FE2"/>
    <w:rsid w:val="006122EB"/>
    <w:rsid w:val="00666C11"/>
    <w:rsid w:val="008365AF"/>
    <w:rsid w:val="00941BEA"/>
    <w:rsid w:val="00953292"/>
    <w:rsid w:val="00B30A4D"/>
    <w:rsid w:val="00C0365A"/>
    <w:rsid w:val="00CD6653"/>
    <w:rsid w:val="00CF2751"/>
    <w:rsid w:val="00E44DAD"/>
    <w:rsid w:val="00F36DA0"/>
    <w:rsid w:val="00FA06B1"/>
    <w:rsid w:val="00FB19D6"/>
    <w:rsid w:val="00FD1A76"/>
    <w:rsid w:val="00FF7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B6F0C-EB75-4BDB-AFD3-E3C8F55F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A76"/>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D1A76"/>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D1A7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D1A7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D1A7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D1A7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D1A76"/>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D1A76"/>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A76"/>
    <w:rPr>
      <w:rFonts w:ascii="Times New Roman" w:eastAsia="MS Mincho" w:hAnsi="Times New Roman" w:cs="Times New Roman"/>
      <w:b/>
      <w:bCs/>
      <w:sz w:val="28"/>
      <w:szCs w:val="28"/>
    </w:rPr>
  </w:style>
  <w:style w:type="paragraph" w:styleId="BodyText">
    <w:name w:val="Body Text"/>
    <w:aliases w:val="bt"/>
    <w:basedOn w:val="Normal"/>
    <w:link w:val="BodyTextChar"/>
    <w:rsid w:val="00FD1A76"/>
    <w:pPr>
      <w:spacing w:after="120"/>
      <w:jc w:val="both"/>
    </w:pPr>
    <w:rPr>
      <w:rFonts w:eastAsia="MS Mincho"/>
    </w:rPr>
  </w:style>
  <w:style w:type="character" w:customStyle="1" w:styleId="BodyTextChar">
    <w:name w:val="Body Text Char"/>
    <w:aliases w:val="bt Char"/>
    <w:basedOn w:val="DefaultParagraphFont"/>
    <w:link w:val="BodyText"/>
    <w:rsid w:val="00FD1A76"/>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D1A7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D1A76"/>
    <w:rPr>
      <w:rFonts w:ascii="Arial" w:eastAsia="MS Mincho" w:hAnsi="Arial" w:cs="Times New Roman"/>
      <w:b/>
      <w:sz w:val="20"/>
      <w:szCs w:val="24"/>
    </w:rPr>
  </w:style>
  <w:style w:type="paragraph" w:styleId="Footer">
    <w:name w:val="footer"/>
    <w:basedOn w:val="Normal"/>
    <w:link w:val="FooterChar"/>
    <w:uiPriority w:val="99"/>
    <w:unhideWhenUsed/>
    <w:rsid w:val="00FD1A76"/>
    <w:pPr>
      <w:tabs>
        <w:tab w:val="center" w:pos="4536"/>
        <w:tab w:val="right" w:pos="9072"/>
      </w:tabs>
    </w:pPr>
  </w:style>
  <w:style w:type="character" w:customStyle="1" w:styleId="FooterChar">
    <w:name w:val="Footer Char"/>
    <w:basedOn w:val="DefaultParagraphFont"/>
    <w:link w:val="Footer"/>
    <w:uiPriority w:val="99"/>
    <w:rsid w:val="00FD1A76"/>
    <w:rPr>
      <w:rFonts w:ascii="Times New Roman" w:eastAsia="Times New Roman" w:hAnsi="Times New Roman" w:cs="Times New Roman"/>
      <w:sz w:val="20"/>
      <w:szCs w:val="24"/>
    </w:rPr>
  </w:style>
  <w:style w:type="paragraph" w:styleId="NormalWeb">
    <w:name w:val="Normal (Web)"/>
    <w:basedOn w:val="Normal"/>
    <w:uiPriority w:val="99"/>
    <w:semiHidden/>
    <w:unhideWhenUsed/>
    <w:rsid w:val="00FD1A76"/>
    <w:rPr>
      <w:sz w:val="24"/>
    </w:rPr>
  </w:style>
  <w:style w:type="table" w:styleId="TableGrid">
    <w:name w:val="Table Grid"/>
    <w:basedOn w:val="TableNormal"/>
    <w:rsid w:val="00FD1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874E2"/>
    <w:rPr>
      <w:color w:val="0000FF"/>
      <w:u w:val="single"/>
    </w:rPr>
  </w:style>
  <w:style w:type="character" w:styleId="FollowedHyperlink">
    <w:name w:val="FollowedHyperlink"/>
    <w:basedOn w:val="DefaultParagraphFont"/>
    <w:uiPriority w:val="99"/>
    <w:semiHidden/>
    <w:unhideWhenUsed/>
    <w:rsid w:val="002874E2"/>
    <w:rPr>
      <w:color w:val="954F72" w:themeColor="followedHyperlink"/>
      <w:u w:val="single"/>
    </w:rPr>
  </w:style>
  <w:style w:type="paragraph" w:styleId="ListParagraph">
    <w:name w:val="List Paragraph"/>
    <w:basedOn w:val="Normal"/>
    <w:link w:val="ListParagraphChar"/>
    <w:uiPriority w:val="34"/>
    <w:qFormat/>
    <w:rsid w:val="002874E2"/>
    <w:pPr>
      <w:ind w:left="720"/>
      <w:contextualSpacing/>
    </w:pPr>
  </w:style>
  <w:style w:type="character" w:customStyle="1" w:styleId="ListParagraphChar">
    <w:name w:val="List Paragraph Char"/>
    <w:link w:val="ListParagraph"/>
    <w:uiPriority w:val="34"/>
    <w:locked/>
    <w:rsid w:val="00CF2751"/>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2017-11-28T18:36:00Z</dcterms:created>
  <dcterms:modified xsi:type="dcterms:W3CDTF">2017-11-28T18:36:00Z</dcterms:modified>
</cp:coreProperties>
</file>