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19ECFD0B" w14:textId="49EFFEA7" w:rsidR="00BC0C27" w:rsidRPr="00BC0C27" w:rsidRDefault="00BC0C27" w:rsidP="00BC0C27">
      <w:pPr>
        <w:pStyle w:val="3GPPHeader"/>
        <w:spacing w:after="0"/>
        <w:rPr>
          <w:rFonts w:asciiTheme="minorBidi" w:hAnsiTheme="minorBidi"/>
          <w:b w:val="0"/>
          <w:szCs w:val="24"/>
        </w:rPr>
      </w:pPr>
      <w:r w:rsidRPr="00D87123">
        <w:rPr>
          <w:rFonts w:asciiTheme="minorBidi" w:hAnsiTheme="minorBidi"/>
          <w:b w:val="0"/>
          <w:szCs w:val="24"/>
        </w:rPr>
        <w:t>3GPP TSG RAN1 WG1 Meeting #9</w:t>
      </w:r>
      <w:r w:rsidR="001D582D" w:rsidRPr="00D87123">
        <w:rPr>
          <w:rFonts w:asciiTheme="minorBidi" w:hAnsiTheme="minorBidi"/>
          <w:b w:val="0"/>
          <w:szCs w:val="24"/>
        </w:rPr>
        <w:t>1</w:t>
      </w:r>
      <w:r w:rsidRPr="00D87123">
        <w:rPr>
          <w:rFonts w:asciiTheme="minorBidi" w:hAnsiTheme="minorBidi"/>
          <w:b w:val="0"/>
          <w:szCs w:val="24"/>
        </w:rPr>
        <w:t xml:space="preserve">                                      </w:t>
      </w:r>
      <w:r w:rsidRPr="00D87123">
        <w:rPr>
          <w:rFonts w:asciiTheme="minorBidi" w:hAnsiTheme="minorBidi"/>
          <w:b w:val="0"/>
          <w:szCs w:val="24"/>
        </w:rPr>
        <w:tab/>
      </w:r>
      <w:r w:rsidRPr="003C1F44">
        <w:rPr>
          <w:rFonts w:asciiTheme="minorBidi" w:hAnsiTheme="minorBidi"/>
          <w:b w:val="0"/>
          <w:szCs w:val="24"/>
        </w:rPr>
        <w:t>R1-</w:t>
      </w:r>
      <w:r w:rsidR="00D87123" w:rsidRPr="003C1F44">
        <w:t xml:space="preserve"> </w:t>
      </w:r>
      <w:r w:rsidR="00D87123" w:rsidRPr="003C1F44">
        <w:rPr>
          <w:rFonts w:asciiTheme="minorBidi" w:hAnsiTheme="minorBidi"/>
          <w:b w:val="0"/>
          <w:szCs w:val="24"/>
        </w:rPr>
        <w:t>1721013</w:t>
      </w:r>
    </w:p>
    <w:p w14:paraId="33B44133" w14:textId="5378F9D1" w:rsidR="00BC0C27" w:rsidRPr="00BC0C27" w:rsidRDefault="001D582D" w:rsidP="00BC0C27">
      <w:pPr>
        <w:pStyle w:val="3GPPHeader"/>
        <w:spacing w:after="0"/>
        <w:rPr>
          <w:rFonts w:asciiTheme="minorBidi" w:hAnsiTheme="minorBidi"/>
          <w:b w:val="0"/>
          <w:szCs w:val="24"/>
        </w:rPr>
      </w:pPr>
      <w:r w:rsidRPr="001D582D">
        <w:rPr>
          <w:rFonts w:asciiTheme="minorBidi" w:hAnsiTheme="minorBidi"/>
          <w:b w:val="0"/>
          <w:szCs w:val="24"/>
        </w:rPr>
        <w:t>Reno, USA, November 27th – December 1st, 2017</w:t>
      </w:r>
    </w:p>
    <w:p w14:paraId="25360FD4" w14:textId="77777777" w:rsidR="00BC0C27" w:rsidRPr="00BC0C27" w:rsidRDefault="00BC0C27" w:rsidP="00BC0C27">
      <w:pPr>
        <w:pStyle w:val="3GPPHeader"/>
        <w:spacing w:after="0"/>
        <w:rPr>
          <w:rFonts w:asciiTheme="minorBidi" w:hAnsiTheme="minorBidi"/>
          <w:b w:val="0"/>
          <w:szCs w:val="24"/>
        </w:rPr>
      </w:pPr>
    </w:p>
    <w:p w14:paraId="260A0ABD" w14:textId="77777777" w:rsidR="00BC0C27" w:rsidRPr="00BC0C27" w:rsidRDefault="00BC0C27" w:rsidP="00BC0C27">
      <w:pPr>
        <w:pStyle w:val="3GPPHeader"/>
        <w:rPr>
          <w:rFonts w:asciiTheme="minorBidi" w:hAnsiTheme="minorBidi"/>
          <w:b w:val="0"/>
          <w:szCs w:val="24"/>
        </w:rPr>
      </w:pPr>
    </w:p>
    <w:p w14:paraId="6A4ABC84" w14:textId="6640D40E" w:rsidR="00BC0C27" w:rsidRPr="00BC0C27" w:rsidRDefault="00BC0C27" w:rsidP="00BC0C27">
      <w:pPr>
        <w:pStyle w:val="3GPPHeader"/>
        <w:rPr>
          <w:rFonts w:asciiTheme="minorBidi" w:hAnsiTheme="minorBidi"/>
          <w:b w:val="0"/>
          <w:szCs w:val="24"/>
        </w:rPr>
      </w:pPr>
      <w:r w:rsidRPr="00BC0C27">
        <w:rPr>
          <w:rFonts w:asciiTheme="minorBidi" w:hAnsiTheme="minorBidi"/>
          <w:b w:val="0"/>
          <w:szCs w:val="24"/>
        </w:rPr>
        <w:t>Agenda Item:</w:t>
      </w:r>
      <w:r w:rsidRPr="00BC0C27">
        <w:rPr>
          <w:rFonts w:asciiTheme="minorBidi" w:hAnsiTheme="minorBidi"/>
          <w:b w:val="0"/>
          <w:szCs w:val="24"/>
        </w:rPr>
        <w:tab/>
      </w:r>
      <w:r w:rsidR="0027486C" w:rsidRPr="001D582D">
        <w:rPr>
          <w:rFonts w:asciiTheme="minorBidi" w:hAnsiTheme="minorBidi"/>
          <w:b w:val="0"/>
          <w:szCs w:val="24"/>
        </w:rPr>
        <w:t>7.3.3.2</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472D83C9"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8A3F2A">
        <w:rPr>
          <w:sz w:val="22"/>
        </w:rPr>
        <w:t xml:space="preserve">HARQ </w:t>
      </w:r>
      <w:r w:rsidR="00110E51">
        <w:rPr>
          <w:sz w:val="22"/>
        </w:rPr>
        <w:t>Management</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8DFC3D9" w14:textId="58083904" w:rsidR="00C44578" w:rsidRDefault="00C44578" w:rsidP="005F0D0E">
      <w:r>
        <w:t xml:space="preserve">In this paper we discuss </w:t>
      </w:r>
      <w:r w:rsidR="007471F4">
        <w:t>HARQ codebook design for single carrier and carrier aggregation with/without CBG</w:t>
      </w:r>
      <w:r>
        <w:t>.</w:t>
      </w:r>
      <w:r w:rsidR="006E23B5">
        <w:t xml:space="preserve"> </w:t>
      </w:r>
      <w:r w:rsidR="00671B06">
        <w:t>W</w:t>
      </w:r>
      <w:r w:rsidR="006E23B5">
        <w:t xml:space="preserve">e </w:t>
      </w:r>
      <w:r w:rsidR="00671B06">
        <w:t xml:space="preserve">also </w:t>
      </w:r>
      <w:r w:rsidR="006E23B5">
        <w:t>discuss the number of HARQ processes for different scenarios</w:t>
      </w:r>
      <w:r w:rsidR="00733A19">
        <w:t>, and HARQ process sharing</w:t>
      </w:r>
      <w:r w:rsidR="00D87123">
        <w:t xml:space="preserve"> between DL transmissions irrespective of their scheduling CORESET location and also HARQ sharing between </w:t>
      </w:r>
      <w:r w:rsidR="00733A19">
        <w:t>UL transmission</w:t>
      </w:r>
      <w:r w:rsidR="00D87123">
        <w:t>s</w:t>
      </w:r>
      <w:r w:rsidR="00733A19">
        <w:t xml:space="preserve"> </w:t>
      </w:r>
      <w:r w:rsidR="00D87123">
        <w:t xml:space="preserve">with and </w:t>
      </w:r>
      <w:r w:rsidR="00733A19">
        <w:t>without UL grant.</w:t>
      </w:r>
    </w:p>
    <w:p w14:paraId="56EACA61" w14:textId="3D898C19" w:rsidR="00C44578" w:rsidRDefault="00B74A88" w:rsidP="00C44578">
      <w:pPr>
        <w:pStyle w:val="Heading1"/>
      </w:pPr>
      <w:r>
        <w:t>Relevant a</w:t>
      </w:r>
      <w:r w:rsidR="00C44578">
        <w:t>greements from previous meeting</w:t>
      </w:r>
      <w:r w:rsidR="00EA77E9">
        <w:t xml:space="preserve"> </w:t>
      </w:r>
      <w:r w:rsidR="00EA77E9">
        <w:fldChar w:fldCharType="begin"/>
      </w:r>
      <w:r w:rsidR="00EA77E9">
        <w:instrText xml:space="preserve"> REF _Ref497724196 \r \h </w:instrText>
      </w:r>
      <w:r w:rsidR="00EA77E9">
        <w:fldChar w:fldCharType="separate"/>
      </w:r>
      <w:r w:rsidR="00EA77E9">
        <w:t>[3]</w:t>
      </w:r>
      <w:r w:rsidR="00EA77E9">
        <w:fldChar w:fldCharType="end"/>
      </w:r>
    </w:p>
    <w:p w14:paraId="08477BFB" w14:textId="77777777" w:rsidR="00EA77E9" w:rsidRPr="00EA77E9" w:rsidRDefault="00EA77E9" w:rsidP="003C1F44">
      <w:r w:rsidRPr="00EA77E9">
        <w:rPr>
          <w:rFonts w:eastAsia="+mn-ea" w:cs="+mn-cs"/>
          <w:color w:val="58585A"/>
          <w:highlight w:val="green"/>
        </w:rPr>
        <w:t>Agreements:</w:t>
      </w:r>
    </w:p>
    <w:p w14:paraId="396C1038" w14:textId="77777777" w:rsidR="00EA77E9" w:rsidRPr="00EA77E9" w:rsidRDefault="00EA77E9" w:rsidP="00EA77E9">
      <w:pPr>
        <w:numPr>
          <w:ilvl w:val="0"/>
          <w:numId w:val="24"/>
        </w:numPr>
        <w:tabs>
          <w:tab w:val="left" w:pos="1080"/>
        </w:tabs>
        <w:spacing w:after="0" w:line="240" w:lineRule="auto"/>
        <w:ind w:left="1267"/>
        <w:contextualSpacing/>
        <w:textAlignment w:val="baseline"/>
        <w:rPr>
          <w:color w:val="00A9D4"/>
        </w:rPr>
      </w:pPr>
      <w:r w:rsidRPr="00EA77E9">
        <w:rPr>
          <w:rFonts w:eastAsia="+mn-ea" w:cs="+mn-cs"/>
          <w:color w:val="58585A"/>
          <w:lang w:val="en-GB"/>
        </w:rPr>
        <w:t>For NR non-CA, both semi-static and dynamic HARQ-ACK codebook are supported by configuration</w:t>
      </w:r>
    </w:p>
    <w:p w14:paraId="01B70B7D" w14:textId="77777777" w:rsidR="00EA77E9" w:rsidRPr="00EA77E9" w:rsidRDefault="00EA77E9" w:rsidP="00EA77E9">
      <w:pPr>
        <w:numPr>
          <w:ilvl w:val="1"/>
          <w:numId w:val="24"/>
        </w:numPr>
        <w:tabs>
          <w:tab w:val="left" w:pos="1800"/>
        </w:tabs>
        <w:spacing w:after="0" w:line="240" w:lineRule="auto"/>
        <w:ind w:left="2606"/>
        <w:contextualSpacing/>
        <w:textAlignment w:val="baseline"/>
        <w:rPr>
          <w:color w:val="58585A"/>
        </w:rPr>
      </w:pPr>
      <w:r w:rsidRPr="00EA77E9">
        <w:rPr>
          <w:rFonts w:cs="Arial"/>
          <w:color w:val="58585A"/>
          <w:lang w:val="en-GB"/>
        </w:rPr>
        <w:t xml:space="preserve">Note: the </w:t>
      </w:r>
      <w:r w:rsidRPr="00EA77E9">
        <w:rPr>
          <w:rFonts w:cs="Arial"/>
          <w:color w:val="58585A"/>
          <w:lang w:val="en-GB"/>
        </w:rPr>
        <w:t>“</w:t>
      </w:r>
      <w:r w:rsidRPr="00EA77E9">
        <w:rPr>
          <w:rFonts w:cs="Arial"/>
          <w:color w:val="58585A"/>
          <w:lang w:val="en-GB"/>
        </w:rPr>
        <w:t>by-configuration</w:t>
      </w:r>
      <w:r w:rsidRPr="00EA77E9">
        <w:rPr>
          <w:rFonts w:cs="Arial"/>
          <w:color w:val="58585A"/>
          <w:lang w:val="en-GB"/>
        </w:rPr>
        <w:t>”</w:t>
      </w:r>
      <w:r w:rsidRPr="00EA77E9">
        <w:rPr>
          <w:rFonts w:cs="Arial"/>
          <w:color w:val="58585A"/>
          <w:lang w:val="en-GB"/>
        </w:rPr>
        <w:t xml:space="preserve"> is also applicable to the CA case</w:t>
      </w:r>
    </w:p>
    <w:p w14:paraId="66407766" w14:textId="77777777" w:rsidR="00EA77E9" w:rsidRPr="00EA77E9" w:rsidRDefault="00EA77E9" w:rsidP="00EA77E9">
      <w:pPr>
        <w:spacing w:before="48" w:after="0" w:line="240" w:lineRule="auto"/>
        <w:textAlignment w:val="baseline"/>
      </w:pPr>
      <w:r w:rsidRPr="00EA77E9">
        <w:rPr>
          <w:rFonts w:eastAsia="+mn-ea" w:cs="+mn-cs"/>
          <w:color w:val="58585A"/>
          <w:highlight w:val="green"/>
          <w:lang w:val="en-GB"/>
        </w:rPr>
        <w:t>Agreements:</w:t>
      </w:r>
    </w:p>
    <w:p w14:paraId="52317EB7" w14:textId="77777777" w:rsidR="00EA77E9" w:rsidRPr="00EA77E9" w:rsidRDefault="00EA77E9" w:rsidP="00EA77E9">
      <w:pPr>
        <w:numPr>
          <w:ilvl w:val="0"/>
          <w:numId w:val="25"/>
        </w:numPr>
        <w:tabs>
          <w:tab w:val="left" w:pos="720"/>
        </w:tabs>
        <w:spacing w:line="256" w:lineRule="auto"/>
        <w:ind w:left="1267"/>
        <w:contextualSpacing/>
        <w:textAlignment w:val="baseline"/>
        <w:rPr>
          <w:color w:val="00A9D4"/>
        </w:rPr>
      </w:pPr>
      <w:r w:rsidRPr="00EA77E9">
        <w:rPr>
          <w:rFonts w:eastAsia="+mn-ea" w:cs="+mn-cs"/>
          <w:color w:val="58585A"/>
          <w:lang w:val="en-GB"/>
        </w:rPr>
        <w:t>Dynamic HARQ-ACK codebook (per PUCCH group) for the case without CBG configuration</w:t>
      </w:r>
    </w:p>
    <w:p w14:paraId="4FD70A39" w14:textId="77777777" w:rsidR="00EA77E9" w:rsidRPr="00EA77E9" w:rsidRDefault="00EA77E9" w:rsidP="00EA77E9">
      <w:pPr>
        <w:numPr>
          <w:ilvl w:val="1"/>
          <w:numId w:val="25"/>
        </w:numPr>
        <w:tabs>
          <w:tab w:val="left" w:pos="1440"/>
        </w:tabs>
        <w:spacing w:line="256" w:lineRule="auto"/>
        <w:ind w:left="2606"/>
        <w:contextualSpacing/>
        <w:textAlignment w:val="baseline"/>
        <w:rPr>
          <w:color w:val="58585A"/>
        </w:rPr>
      </w:pPr>
      <w:r w:rsidRPr="00EA77E9">
        <w:rPr>
          <w:rFonts w:cs="Arial"/>
          <w:color w:val="58585A"/>
          <w:lang w:val="en-GB"/>
        </w:rPr>
        <w:t>HARQ-ACK codebook determination based on counter DAI and total DAI</w:t>
      </w:r>
    </w:p>
    <w:p w14:paraId="07AFFB16" w14:textId="77777777" w:rsidR="00EA77E9" w:rsidRPr="00EA77E9" w:rsidRDefault="00EA77E9" w:rsidP="00EA77E9">
      <w:pPr>
        <w:numPr>
          <w:ilvl w:val="2"/>
          <w:numId w:val="25"/>
        </w:numPr>
        <w:tabs>
          <w:tab w:val="left" w:pos="2160"/>
        </w:tabs>
        <w:spacing w:line="256" w:lineRule="auto"/>
        <w:ind w:left="3960"/>
        <w:contextualSpacing/>
        <w:textAlignment w:val="baseline"/>
        <w:rPr>
          <w:color w:val="92CCE5"/>
        </w:rPr>
      </w:pPr>
      <w:r w:rsidRPr="00EA77E9">
        <w:rPr>
          <w:rFonts w:cs="Arial"/>
          <w:color w:val="58585A"/>
          <w:lang w:val="en-GB"/>
        </w:rPr>
        <w:t>Use LTE as starting point</w:t>
      </w:r>
    </w:p>
    <w:p w14:paraId="05402E52" w14:textId="77777777" w:rsidR="00EA77E9" w:rsidRPr="00EA77E9" w:rsidRDefault="00EA77E9" w:rsidP="00EA77E9">
      <w:pPr>
        <w:numPr>
          <w:ilvl w:val="2"/>
          <w:numId w:val="25"/>
        </w:numPr>
        <w:tabs>
          <w:tab w:val="left" w:pos="2160"/>
        </w:tabs>
        <w:spacing w:line="256" w:lineRule="auto"/>
        <w:ind w:left="3960"/>
        <w:contextualSpacing/>
        <w:textAlignment w:val="baseline"/>
        <w:rPr>
          <w:color w:val="92CCE5"/>
        </w:rPr>
      </w:pPr>
      <w:r w:rsidRPr="00EA77E9">
        <w:rPr>
          <w:rFonts w:cs="Arial"/>
          <w:color w:val="58585A"/>
          <w:lang w:val="en-GB"/>
        </w:rPr>
        <w:t>FFS details</w:t>
      </w:r>
    </w:p>
    <w:p w14:paraId="0A3DC387" w14:textId="77777777" w:rsidR="00EA77E9" w:rsidRPr="00EA77E9" w:rsidRDefault="00EA77E9" w:rsidP="00EA77E9">
      <w:pPr>
        <w:spacing w:before="48" w:after="0" w:line="240" w:lineRule="auto"/>
        <w:textAlignment w:val="baseline"/>
      </w:pPr>
      <w:r w:rsidRPr="00EA77E9">
        <w:rPr>
          <w:rFonts w:eastAsia="+mn-ea" w:cs="+mn-cs"/>
          <w:color w:val="58585A"/>
          <w:highlight w:val="green"/>
          <w:lang w:val="en-GB"/>
        </w:rPr>
        <w:t>Agreements:</w:t>
      </w:r>
    </w:p>
    <w:p w14:paraId="7E82CD4F" w14:textId="77777777" w:rsidR="00EA77E9" w:rsidRPr="00EA77E9" w:rsidRDefault="00EA77E9" w:rsidP="00EA77E9">
      <w:pPr>
        <w:numPr>
          <w:ilvl w:val="0"/>
          <w:numId w:val="26"/>
        </w:numPr>
        <w:spacing w:after="0" w:line="240" w:lineRule="auto"/>
        <w:ind w:left="1267"/>
        <w:contextualSpacing/>
        <w:textAlignment w:val="baseline"/>
        <w:rPr>
          <w:color w:val="00A9D4"/>
        </w:rPr>
      </w:pPr>
      <w:r w:rsidRPr="00EA77E9">
        <w:rPr>
          <w:rFonts w:eastAsia="+mn-ea" w:cs="+mn-cs"/>
          <w:color w:val="58585A"/>
        </w:rPr>
        <w:t>For the case when the semi-static HARQ-ACK codebook with HARQ-ACK multiplexing which includes HARQ-ACK corresponding to all the CBGs (including the non-scheduled CBG(s)) is used,</w:t>
      </w:r>
    </w:p>
    <w:p w14:paraId="7B0B4389" w14:textId="77777777" w:rsidR="00EA77E9" w:rsidRPr="00EA77E9" w:rsidRDefault="00EA77E9" w:rsidP="00EA77E9">
      <w:pPr>
        <w:numPr>
          <w:ilvl w:val="1"/>
          <w:numId w:val="26"/>
        </w:numPr>
        <w:spacing w:after="0" w:line="240" w:lineRule="auto"/>
        <w:ind w:left="2606"/>
        <w:contextualSpacing/>
        <w:textAlignment w:val="baseline"/>
        <w:rPr>
          <w:color w:val="58585A"/>
        </w:rPr>
      </w:pPr>
      <w:r w:rsidRPr="00EA77E9">
        <w:rPr>
          <w:rFonts w:cs="Arial"/>
          <w:color w:val="58585A"/>
        </w:rPr>
        <w:t>NACK is reported for all the CBGs if TB CRC check is not passed while CB CRC check is passed for all the CBs</w:t>
      </w:r>
    </w:p>
    <w:p w14:paraId="7A2AD813" w14:textId="77777777" w:rsidR="00EA77E9" w:rsidRPr="00EA77E9" w:rsidRDefault="00EA77E9" w:rsidP="00EA77E9">
      <w:pPr>
        <w:numPr>
          <w:ilvl w:val="0"/>
          <w:numId w:val="27"/>
        </w:numPr>
        <w:spacing w:after="0" w:line="240" w:lineRule="auto"/>
        <w:ind w:left="994"/>
        <w:contextualSpacing/>
        <w:textAlignment w:val="baseline"/>
        <w:rPr>
          <w:color w:val="00A9D4"/>
        </w:rPr>
      </w:pPr>
      <w:r w:rsidRPr="00EA77E9">
        <w:rPr>
          <w:rFonts w:eastAsia="+mn-ea" w:cs="+mn-cs"/>
          <w:color w:val="58585A"/>
        </w:rPr>
        <w:t>NACK is mapped for the empty CBG index if the number of CBs for a TB is smaller than the configured maximum number of CBGs</w:t>
      </w:r>
    </w:p>
    <w:p w14:paraId="58B0541A" w14:textId="77777777" w:rsidR="00EA77E9" w:rsidRPr="00EA77E9" w:rsidRDefault="00EA77E9" w:rsidP="00EA77E9">
      <w:pPr>
        <w:spacing w:before="48" w:after="0" w:line="240" w:lineRule="auto"/>
        <w:textAlignment w:val="baseline"/>
      </w:pPr>
      <w:r w:rsidRPr="00EA77E9">
        <w:rPr>
          <w:rFonts w:eastAsia="+mn-ea" w:cs="+mn-cs"/>
          <w:color w:val="58585A"/>
          <w:highlight w:val="green"/>
          <w:lang w:val="en-GB"/>
        </w:rPr>
        <w:t>Agreements:</w:t>
      </w:r>
    </w:p>
    <w:p w14:paraId="7F974561" w14:textId="77777777" w:rsidR="00EA77E9" w:rsidRPr="00EA77E9" w:rsidRDefault="00EA77E9" w:rsidP="00EA77E9">
      <w:pPr>
        <w:numPr>
          <w:ilvl w:val="0"/>
          <w:numId w:val="28"/>
        </w:numPr>
        <w:tabs>
          <w:tab w:val="left" w:pos="720"/>
        </w:tabs>
        <w:spacing w:line="256" w:lineRule="auto"/>
        <w:ind w:left="1267"/>
        <w:contextualSpacing/>
        <w:textAlignment w:val="baseline"/>
        <w:rPr>
          <w:color w:val="00A9D4"/>
        </w:rPr>
      </w:pPr>
      <w:r w:rsidRPr="00EA77E9">
        <w:rPr>
          <w:rFonts w:eastAsia="+mn-ea" w:cs="+mn-cs"/>
          <w:color w:val="58585A"/>
          <w:lang w:val="en-GB"/>
        </w:rPr>
        <w:t xml:space="preserve"> </w:t>
      </w:r>
      <w:r w:rsidRPr="00EA77E9">
        <w:rPr>
          <w:rFonts w:eastAsia="+mn-ea" w:cs="+mn-cs"/>
          <w:color w:val="58585A"/>
          <w:lang w:val="en-GB"/>
        </w:rPr>
        <w:t>‘</w:t>
      </w:r>
      <w:r w:rsidRPr="00EA77E9">
        <w:rPr>
          <w:rFonts w:eastAsia="+mn-ea" w:cs="+mn-cs"/>
          <w:color w:val="58585A"/>
          <w:lang w:val="en-GB"/>
        </w:rPr>
        <w:t>Semi-static</w:t>
      </w:r>
      <w:r w:rsidRPr="00EA77E9">
        <w:rPr>
          <w:rFonts w:eastAsia="+mn-ea" w:cs="+mn-cs"/>
          <w:color w:val="58585A"/>
          <w:lang w:val="en-GB"/>
        </w:rPr>
        <w:t>’</w:t>
      </w:r>
      <w:r w:rsidRPr="00EA77E9">
        <w:rPr>
          <w:rFonts w:eastAsia="+mn-ea" w:cs="+mn-cs"/>
          <w:color w:val="58585A"/>
          <w:lang w:val="en-GB"/>
        </w:rPr>
        <w:t xml:space="preserve"> HARQ-ACK codebook (per PUCCH group) is at least determined by </w:t>
      </w:r>
    </w:p>
    <w:p w14:paraId="694D9591" w14:textId="77777777" w:rsidR="00EA77E9" w:rsidRPr="00EA77E9" w:rsidRDefault="00EA77E9" w:rsidP="00EA77E9">
      <w:pPr>
        <w:numPr>
          <w:ilvl w:val="1"/>
          <w:numId w:val="28"/>
        </w:numPr>
        <w:tabs>
          <w:tab w:val="left" w:pos="1440"/>
        </w:tabs>
        <w:spacing w:line="256" w:lineRule="auto"/>
        <w:ind w:left="2606"/>
        <w:contextualSpacing/>
        <w:textAlignment w:val="baseline"/>
        <w:rPr>
          <w:color w:val="58585A"/>
        </w:rPr>
      </w:pPr>
      <w:r w:rsidRPr="00EA77E9">
        <w:rPr>
          <w:rFonts w:cs="Arial"/>
          <w:color w:val="58585A"/>
          <w:lang w:val="en-GB"/>
        </w:rPr>
        <w:t>Configured number of DL Cells</w:t>
      </w:r>
    </w:p>
    <w:p w14:paraId="606FDB47" w14:textId="77777777" w:rsidR="00EA77E9" w:rsidRPr="00EA77E9" w:rsidRDefault="00EA77E9" w:rsidP="00EA77E9">
      <w:pPr>
        <w:numPr>
          <w:ilvl w:val="1"/>
          <w:numId w:val="28"/>
        </w:numPr>
        <w:tabs>
          <w:tab w:val="left" w:pos="1440"/>
        </w:tabs>
        <w:spacing w:line="256" w:lineRule="auto"/>
        <w:ind w:left="2606"/>
        <w:contextualSpacing/>
        <w:textAlignment w:val="baseline"/>
        <w:rPr>
          <w:color w:val="58585A"/>
        </w:rPr>
      </w:pPr>
      <w:r w:rsidRPr="00EA77E9">
        <w:rPr>
          <w:rFonts w:cs="Arial"/>
          <w:color w:val="58585A"/>
          <w:lang w:val="en-GB"/>
        </w:rPr>
        <w:lastRenderedPageBreak/>
        <w:t>The max number of TBs based on configuration for each DL cell</w:t>
      </w:r>
    </w:p>
    <w:p w14:paraId="3E3C1972" w14:textId="77777777" w:rsidR="00EA77E9" w:rsidRPr="00EA77E9" w:rsidRDefault="00EA77E9" w:rsidP="00EA77E9">
      <w:pPr>
        <w:numPr>
          <w:ilvl w:val="1"/>
          <w:numId w:val="28"/>
        </w:numPr>
        <w:tabs>
          <w:tab w:val="left" w:pos="1440"/>
        </w:tabs>
        <w:spacing w:line="256" w:lineRule="auto"/>
        <w:ind w:left="2606"/>
        <w:contextualSpacing/>
        <w:textAlignment w:val="baseline"/>
        <w:rPr>
          <w:color w:val="58585A"/>
        </w:rPr>
      </w:pPr>
      <w:r w:rsidRPr="00EA77E9">
        <w:rPr>
          <w:rFonts w:cs="Arial"/>
          <w:color w:val="58585A"/>
          <w:lang w:val="en-GB"/>
        </w:rPr>
        <w:t>Configured number of CBGs per TB per configured DL cell</w:t>
      </w:r>
    </w:p>
    <w:p w14:paraId="22A8FE69" w14:textId="77777777" w:rsidR="00EA77E9" w:rsidRPr="00EA77E9" w:rsidRDefault="00EA77E9" w:rsidP="00EA77E9">
      <w:pPr>
        <w:numPr>
          <w:ilvl w:val="1"/>
          <w:numId w:val="28"/>
        </w:numPr>
        <w:tabs>
          <w:tab w:val="left" w:pos="1440"/>
        </w:tabs>
        <w:spacing w:line="256" w:lineRule="auto"/>
        <w:ind w:left="2606"/>
        <w:contextualSpacing/>
        <w:textAlignment w:val="baseline"/>
        <w:rPr>
          <w:color w:val="58585A"/>
        </w:rPr>
      </w:pPr>
      <w:r w:rsidRPr="00EA77E9">
        <w:rPr>
          <w:rFonts w:cs="Arial"/>
          <w:color w:val="58585A"/>
          <w:lang w:val="en-GB"/>
        </w:rPr>
        <w:t>FFS: Handling of different numerology between UL and DL</w:t>
      </w:r>
    </w:p>
    <w:p w14:paraId="4834CD5F" w14:textId="77777777" w:rsidR="00EA77E9" w:rsidRPr="00EA77E9" w:rsidRDefault="00EA77E9" w:rsidP="00EA77E9">
      <w:pPr>
        <w:numPr>
          <w:ilvl w:val="1"/>
          <w:numId w:val="28"/>
        </w:numPr>
        <w:tabs>
          <w:tab w:val="left" w:pos="1440"/>
        </w:tabs>
        <w:spacing w:line="256" w:lineRule="auto"/>
        <w:ind w:left="2606"/>
        <w:contextualSpacing/>
        <w:textAlignment w:val="baseline"/>
        <w:rPr>
          <w:color w:val="58585A"/>
        </w:rPr>
      </w:pPr>
      <w:r w:rsidRPr="00EA77E9">
        <w:rPr>
          <w:rFonts w:cs="Arial"/>
          <w:color w:val="58585A"/>
          <w:lang w:val="en-GB"/>
        </w:rPr>
        <w:t>Details FFS</w:t>
      </w:r>
    </w:p>
    <w:p w14:paraId="2CB79D70" w14:textId="77777777" w:rsidR="00EA77E9" w:rsidRPr="00EA77E9" w:rsidRDefault="00EA77E9" w:rsidP="00EA77E9">
      <w:pPr>
        <w:numPr>
          <w:ilvl w:val="0"/>
          <w:numId w:val="28"/>
        </w:numPr>
        <w:tabs>
          <w:tab w:val="left" w:pos="720"/>
        </w:tabs>
        <w:overflowPunct w:val="0"/>
        <w:spacing w:after="120" w:line="240" w:lineRule="auto"/>
        <w:ind w:left="1267"/>
        <w:contextualSpacing/>
        <w:jc w:val="both"/>
        <w:textAlignment w:val="baseline"/>
        <w:rPr>
          <w:color w:val="00A9D4"/>
        </w:rPr>
      </w:pPr>
      <w:r w:rsidRPr="00EA77E9">
        <w:rPr>
          <w:rFonts w:eastAsia="+mn-ea" w:cs="+mn-cs"/>
          <w:color w:val="58585A"/>
          <w:lang w:val="en-GB"/>
        </w:rPr>
        <w:t>Dynamic HARQ-ACK codebook (per PUCCH group) with CBG configuration at least for one serving cell</w:t>
      </w:r>
    </w:p>
    <w:p w14:paraId="1B1FA90E" w14:textId="77777777" w:rsidR="00EA77E9" w:rsidRPr="00EA77E9" w:rsidRDefault="00EA77E9" w:rsidP="00EA77E9">
      <w:pPr>
        <w:numPr>
          <w:ilvl w:val="1"/>
          <w:numId w:val="28"/>
        </w:numPr>
        <w:tabs>
          <w:tab w:val="left" w:pos="1440"/>
        </w:tabs>
        <w:overflowPunct w:val="0"/>
        <w:spacing w:after="120" w:line="240" w:lineRule="auto"/>
        <w:ind w:left="2606"/>
        <w:contextualSpacing/>
        <w:jc w:val="both"/>
        <w:textAlignment w:val="baseline"/>
        <w:rPr>
          <w:color w:val="58585A"/>
        </w:rPr>
      </w:pPr>
      <w:r w:rsidRPr="00EA77E9">
        <w:rPr>
          <w:rFonts w:cs="Arial"/>
          <w:color w:val="58585A"/>
          <w:lang w:val="en-GB"/>
        </w:rPr>
        <w:t>Details FFS</w:t>
      </w:r>
    </w:p>
    <w:p w14:paraId="40AFE1B4" w14:textId="77777777" w:rsidR="00EA77E9" w:rsidRDefault="00EA77E9" w:rsidP="00EA77E9">
      <w:pPr>
        <w:rPr>
          <w:lang w:val="en-GB" w:eastAsia="zh-CN"/>
        </w:rPr>
      </w:pPr>
    </w:p>
    <w:p w14:paraId="36595F20" w14:textId="32DF8742" w:rsidR="00C44578" w:rsidRDefault="00763DD2" w:rsidP="00EC24C5">
      <w:pPr>
        <w:pStyle w:val="Heading1"/>
      </w:pPr>
      <w:bookmarkStart w:id="0" w:name="_Ref178064866"/>
      <w:r>
        <w:t>Discussion</w:t>
      </w:r>
    </w:p>
    <w:p w14:paraId="380CB625" w14:textId="6F4F162A" w:rsidR="001668A6" w:rsidRDefault="001668A6" w:rsidP="00513DE3">
      <w:pPr>
        <w:pStyle w:val="Heading2"/>
      </w:pPr>
      <w:r>
        <w:t>HARQ code</w:t>
      </w:r>
      <w:r w:rsidR="007F09F7">
        <w:t>book</w:t>
      </w:r>
      <w:r>
        <w:t xml:space="preserve"> design</w:t>
      </w:r>
    </w:p>
    <w:p w14:paraId="05D7ABE6" w14:textId="6F0BF040" w:rsidR="00513DE3" w:rsidRDefault="00513DE3" w:rsidP="00594551">
      <w:pPr>
        <w:pStyle w:val="Heading3"/>
      </w:pPr>
      <w:r>
        <w:t>No carrier aggregation</w:t>
      </w:r>
      <w:r w:rsidR="00594166">
        <w:t>, no CBG</w:t>
      </w:r>
    </w:p>
    <w:p w14:paraId="694975CC" w14:textId="19C995C4" w:rsidR="008C26B4" w:rsidRPr="008C26B4" w:rsidRDefault="008C26B4" w:rsidP="00594551">
      <w:pPr>
        <w:pStyle w:val="Heading4"/>
      </w:pPr>
      <w:bookmarkStart w:id="1" w:name="_Ref492307104"/>
      <w:r>
        <w:t>Dynamic HARQ codebook</w:t>
      </w:r>
      <w:bookmarkEnd w:id="1"/>
    </w:p>
    <w:p w14:paraId="7EBD48E9" w14:textId="65B3E4F1" w:rsidR="002978B2" w:rsidRPr="002978B2" w:rsidRDefault="002978B2" w:rsidP="00C44578">
      <w:pPr>
        <w:rPr>
          <w:u w:val="single"/>
        </w:rPr>
      </w:pPr>
      <w:r w:rsidRPr="002978B2">
        <w:rPr>
          <w:u w:val="single"/>
        </w:rPr>
        <w:t>Option 1</w:t>
      </w:r>
    </w:p>
    <w:p w14:paraId="700F1BE9" w14:textId="4BB7ED11" w:rsidR="0061380C" w:rsidRDefault="0061380C" w:rsidP="00C44578">
      <w:r>
        <w:t xml:space="preserve">NR supports dynamic indication of PUCCH resource and time </w:t>
      </w:r>
      <w:r w:rsidR="00876002">
        <w:fldChar w:fldCharType="begin"/>
      </w:r>
      <w:r w:rsidR="00876002">
        <w:instrText xml:space="preserve"> REF _Ref492309338 \r \h </w:instrText>
      </w:r>
      <w:r w:rsidR="00876002">
        <w:fldChar w:fldCharType="separate"/>
      </w:r>
      <w:r w:rsidR="00876002">
        <w:t>[1]</w:t>
      </w:r>
      <w:r w:rsidR="00876002">
        <w:fldChar w:fldCharType="end"/>
      </w:r>
      <w:r w:rsidR="00876002">
        <w:t xml:space="preserve"> </w:t>
      </w:r>
      <w:r>
        <w:t xml:space="preserve">and HARQ feedback for multiple PDSCH can be sent using a single </w:t>
      </w:r>
      <w:r w:rsidR="00216D9B">
        <w:t>HARQ codebook</w:t>
      </w:r>
      <w:r>
        <w:t xml:space="preserve">. PUCCH resource and </w:t>
      </w:r>
      <w:r w:rsidR="00216D9B">
        <w:t>time</w:t>
      </w:r>
      <w:r>
        <w:t xml:space="preserve"> will be indicated in the scheduling </w:t>
      </w:r>
      <w:r w:rsidR="00216D9B">
        <w:t>DCI</w:t>
      </w:r>
      <w:r>
        <w:t xml:space="preserve"> in case of a dynamic scheduled transmission. The association between PDSCH and PUCCH can be based on the </w:t>
      </w:r>
      <w:r w:rsidR="0077643B">
        <w:t xml:space="preserve">PUCCH resource </w:t>
      </w:r>
      <w:r w:rsidR="00575E73">
        <w:t xml:space="preserve">(PR) </w:t>
      </w:r>
      <w:r w:rsidR="0077643B">
        <w:t xml:space="preserve">and </w:t>
      </w:r>
      <w:r w:rsidR="00216D9B">
        <w:t>time</w:t>
      </w:r>
      <w:r w:rsidR="0077643B">
        <w:t xml:space="preserve"> indicated in the scheduling DCI</w:t>
      </w:r>
      <w:r w:rsidR="00575E73">
        <w:t xml:space="preserve"> (</w:t>
      </w:r>
      <w:r w:rsidR="00575E73">
        <w:sym w:font="Symbol" w:char="F044"/>
      </w:r>
      <w:r w:rsidR="00575E73">
        <w:t>T);</w:t>
      </w:r>
      <w:r w:rsidR="0077643B">
        <w:t xml:space="preserve"> HARQ feedback of all PDSCHs which scheduling </w:t>
      </w:r>
      <w:r w:rsidR="00216D9B">
        <w:t>DCIs</w:t>
      </w:r>
      <w:r w:rsidR="0077643B">
        <w:t xml:space="preserve"> indicate same PUCCH resource </w:t>
      </w:r>
      <w:r w:rsidR="00BC7064">
        <w:t xml:space="preserve">and </w:t>
      </w:r>
      <w:r w:rsidR="00216D9B">
        <w:t>time</w:t>
      </w:r>
      <w:r w:rsidR="00BC7064">
        <w:t xml:space="preserve"> </w:t>
      </w:r>
      <w:r w:rsidR="0077643B">
        <w:t xml:space="preserve">are reported together. </w:t>
      </w:r>
      <w:r w:rsidR="00BC7064">
        <w:t xml:space="preserve">The latest PDSCH </w:t>
      </w:r>
      <w:r w:rsidR="00DA1B80">
        <w:t xml:space="preserve">feedback </w:t>
      </w:r>
      <w:r w:rsidR="00575E73">
        <w:t>that can be</w:t>
      </w:r>
      <w:r w:rsidR="00BC7064">
        <w:t xml:space="preserve"> include</w:t>
      </w:r>
      <w:r w:rsidR="00575E73">
        <w:t>d</w:t>
      </w:r>
      <w:r w:rsidR="00BC7064">
        <w:t xml:space="preserve"> is limited by the processing time the UE need</w:t>
      </w:r>
      <w:r w:rsidR="00110E51">
        <w:t>s</w:t>
      </w:r>
      <w:r w:rsidR="00BC7064">
        <w:t xml:space="preserve"> to prepare HARQ feedback, in the example in </w:t>
      </w:r>
      <w:r w:rsidR="008C26B4">
        <w:fldChar w:fldCharType="begin"/>
      </w:r>
      <w:r w:rsidR="008C26B4">
        <w:instrText xml:space="preserve"> REF _Ref492043228 \h </w:instrText>
      </w:r>
      <w:r w:rsidR="008C26B4">
        <w:fldChar w:fldCharType="separate"/>
      </w:r>
      <w:r w:rsidR="008C26B4">
        <w:t xml:space="preserve">Figure </w:t>
      </w:r>
      <w:r w:rsidR="008C26B4">
        <w:rPr>
          <w:noProof/>
        </w:rPr>
        <w:t>1</w:t>
      </w:r>
      <w:r w:rsidR="008C26B4">
        <w:fldChar w:fldCharType="end"/>
      </w:r>
      <w:r w:rsidR="008C26B4">
        <w:t xml:space="preserve"> </w:t>
      </w:r>
      <w:r w:rsidR="00BC7064">
        <w:t xml:space="preserve">the UE can report HARQ feedback on a short </w:t>
      </w:r>
      <w:r w:rsidR="00BC7064" w:rsidRPr="00114AEE">
        <w:t xml:space="preserve">PUCCH in the </w:t>
      </w:r>
      <w:r w:rsidR="00114AEE" w:rsidRPr="00114AEE">
        <w:t>next</w:t>
      </w:r>
      <w:r w:rsidR="00BC7064" w:rsidRPr="00114AEE">
        <w:t xml:space="preserve"> slot. </w:t>
      </w:r>
    </w:p>
    <w:p w14:paraId="60D1A381" w14:textId="7F818FBE" w:rsidR="0061380C" w:rsidRDefault="002218C5" w:rsidP="00575E73">
      <w:pPr>
        <w:ind w:hanging="1134"/>
        <w:jc w:val="center"/>
      </w:pPr>
      <w:r>
        <w:rPr>
          <w:noProof/>
        </w:rPr>
        <w:drawing>
          <wp:inline distT="0" distB="0" distL="0" distR="0" wp14:anchorId="66FDEEA3" wp14:editId="5D10F97E">
            <wp:extent cx="6974205" cy="200596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74205" cy="2005965"/>
                    </a:xfrm>
                    <a:prstGeom prst="rect">
                      <a:avLst/>
                    </a:prstGeom>
                    <a:noFill/>
                  </pic:spPr>
                </pic:pic>
              </a:graphicData>
            </a:graphic>
          </wp:inline>
        </w:drawing>
      </w:r>
    </w:p>
    <w:p w14:paraId="3F9EC6ED" w14:textId="0C58CA56" w:rsidR="008D1E5D" w:rsidRDefault="008D1E5D" w:rsidP="008C26B4">
      <w:pPr>
        <w:pStyle w:val="Caption"/>
      </w:pPr>
      <w:bookmarkStart w:id="2" w:name="_Ref492043228"/>
      <w:r>
        <w:t xml:space="preserve">Figure </w:t>
      </w:r>
      <w:r w:rsidR="00AA46D1">
        <w:fldChar w:fldCharType="begin"/>
      </w:r>
      <w:r w:rsidR="00AA46D1">
        <w:instrText xml:space="preserve"> SEQ Figure \* ARABIC </w:instrText>
      </w:r>
      <w:r w:rsidR="00AA46D1">
        <w:fldChar w:fldCharType="separate"/>
      </w:r>
      <w:r w:rsidR="002978B2">
        <w:rPr>
          <w:noProof/>
        </w:rPr>
        <w:t>1</w:t>
      </w:r>
      <w:r w:rsidR="00AA46D1">
        <w:rPr>
          <w:noProof/>
        </w:rPr>
        <w:fldChar w:fldCharType="end"/>
      </w:r>
      <w:bookmarkEnd w:id="2"/>
      <w:r>
        <w:t xml:space="preserve">: </w:t>
      </w:r>
      <w:r w:rsidR="008C26B4">
        <w:t>HARQ feedback association</w:t>
      </w:r>
      <w:r>
        <w:tab/>
      </w:r>
      <w:r w:rsidR="00A34A8B">
        <w:t>(the black dot at the lower right corner of a text indicates to which arrow the text belongs)</w:t>
      </w:r>
    </w:p>
    <w:p w14:paraId="249C9F74" w14:textId="0ECE2CCD" w:rsidR="00EA1D4D" w:rsidRDefault="00EA1D4D" w:rsidP="00C44578">
      <w:r>
        <w:t xml:space="preserve">To index the HARQ codebook the DCI of each scheduling assignment contains a DAI that counts all previous DL assignments (including the current one) that should be included in the HARQ codebook. The DAI contained in the DCI of the latest DL assignment determines the HARQ codebook size. Even if UE misses some DL assignments it can still address the HARQ codebook correctly, as long as the DAI does not wrap around. One error case that remains despite DAI is if the UE misses the last DL assignment which determines the HARQ codebook size. One possibility to mitigate this error case is to use an extra robust PDCCH transmission of the DCI </w:t>
      </w:r>
      <w:r w:rsidR="00DA1B80">
        <w:t>that schedules</w:t>
      </w:r>
      <w:r>
        <w:t xml:space="preserve"> the last DL assignment. Normally DAI is taken e.g. mod-2 to </w:t>
      </w:r>
      <w:r>
        <w:lastRenderedPageBreak/>
        <w:t xml:space="preserve">limit feedback size, in the examples shown in </w:t>
      </w:r>
      <w:r>
        <w:fldChar w:fldCharType="begin"/>
      </w:r>
      <w:r>
        <w:instrText xml:space="preserve"> REF _Ref492043228 \h </w:instrText>
      </w:r>
      <w:r>
        <w:fldChar w:fldCharType="separate"/>
      </w:r>
      <w:r>
        <w:t xml:space="preserve">Figure </w:t>
      </w:r>
      <w:r>
        <w:rPr>
          <w:noProof/>
        </w:rPr>
        <w:t>1</w:t>
      </w:r>
      <w:r>
        <w:fldChar w:fldCharType="end"/>
      </w:r>
      <w:r>
        <w:t xml:space="preserve"> to </w:t>
      </w:r>
      <w:r>
        <w:fldChar w:fldCharType="begin"/>
      </w:r>
      <w:r>
        <w:instrText xml:space="preserve"> REF _Ref492292991 \h </w:instrText>
      </w:r>
      <w:r>
        <w:fldChar w:fldCharType="separate"/>
      </w:r>
      <w:r>
        <w:t xml:space="preserve">Figure </w:t>
      </w:r>
      <w:r>
        <w:rPr>
          <w:noProof/>
        </w:rPr>
        <w:t>3</w:t>
      </w:r>
      <w:r>
        <w:fldChar w:fldCharType="end"/>
      </w:r>
      <w:r>
        <w:t xml:space="preserve"> no modulo operation has yet been applied.</w:t>
      </w:r>
    </w:p>
    <w:p w14:paraId="6451925C" w14:textId="72A87505" w:rsidR="008C26B4" w:rsidRDefault="00C42BB6" w:rsidP="00C42BB6">
      <w:r>
        <w:t>The D</w:t>
      </w:r>
      <w:r w:rsidR="00486B52">
        <w:t xml:space="preserve">AI mechanism also supports </w:t>
      </w:r>
      <w:r>
        <w:t xml:space="preserve">that a user receives multiple PDCCH </w:t>
      </w:r>
      <w:r w:rsidR="00D02122">
        <w:t xml:space="preserve">for </w:t>
      </w:r>
      <w:r>
        <w:t>DL assignments within a slot</w:t>
      </w:r>
      <w:r w:rsidR="00D87123">
        <w:t xml:space="preserve"> interval</w:t>
      </w:r>
      <w:r>
        <w:t xml:space="preserve"> (e.g. for non-slot-based transmission</w:t>
      </w:r>
      <w:r w:rsidR="00D87123">
        <w:t>s</w:t>
      </w:r>
      <w:r>
        <w:t xml:space="preserve">) and the associated HARQ feedback is multiplexed into the same HARQ codebook </w:t>
      </w:r>
      <w:r w:rsidR="00216D9B">
        <w:t>(and thus transmit</w:t>
      </w:r>
      <w:r w:rsidR="00D87123">
        <w:t>ted</w:t>
      </w:r>
      <w:r w:rsidR="00216D9B">
        <w:t xml:space="preserve"> on the same PUCCH).</w:t>
      </w:r>
      <w:r w:rsidR="008C26B4">
        <w:t xml:space="preserve"> </w:t>
      </w:r>
      <w:r w:rsidR="008C26B4">
        <w:fldChar w:fldCharType="begin"/>
      </w:r>
      <w:r w:rsidR="008C26B4">
        <w:instrText xml:space="preserve"> REF _Ref492043925 \h </w:instrText>
      </w:r>
      <w:r w:rsidR="008C26B4">
        <w:fldChar w:fldCharType="separate"/>
      </w:r>
      <w:r w:rsidR="008C26B4">
        <w:t xml:space="preserve">Figure </w:t>
      </w:r>
      <w:r w:rsidR="008C26B4">
        <w:rPr>
          <w:noProof/>
        </w:rPr>
        <w:t>2</w:t>
      </w:r>
      <w:r w:rsidR="008C26B4">
        <w:fldChar w:fldCharType="end"/>
      </w:r>
      <w:r w:rsidR="00216D9B">
        <w:t xml:space="preserve"> </w:t>
      </w:r>
      <w:r w:rsidR="008C26B4">
        <w:t xml:space="preserve">shows the case where HARQ feedback from </w:t>
      </w:r>
      <w:r>
        <w:t>two transmissions within slot</w:t>
      </w:r>
      <w:r w:rsidR="00D87123">
        <w:t xml:space="preserve"> interval</w:t>
      </w:r>
      <w:r>
        <w:t xml:space="preserve"> n+3 </w:t>
      </w:r>
      <w:r w:rsidR="00D87123">
        <w:t>is</w:t>
      </w:r>
      <w:r w:rsidR="008C26B4">
        <w:t xml:space="preserve"> included in the same HARQ codebook. The DCI for all transmissions </w:t>
      </w:r>
      <w:r w:rsidR="00110E51">
        <w:t xml:space="preserve">in slot n and later </w:t>
      </w:r>
      <w:r w:rsidR="008C26B4">
        <w:t xml:space="preserve">indicate the same PUCCH resource </w:t>
      </w:r>
      <w:r w:rsidR="00BF5237">
        <w:t>(PR</w:t>
      </w:r>
      <w:r w:rsidR="00575E73">
        <w:t xml:space="preserve">=m) </w:t>
      </w:r>
      <w:r w:rsidR="008C26B4" w:rsidRPr="00114AEE">
        <w:t xml:space="preserve">and </w:t>
      </w:r>
      <w:r w:rsidR="00216D9B" w:rsidRPr="00114AEE">
        <w:t>time</w:t>
      </w:r>
      <w:r w:rsidR="008C26B4" w:rsidRPr="00114AEE">
        <w:t xml:space="preserve"> </w:t>
      </w:r>
      <w:r w:rsidR="00114AEE" w:rsidRPr="00114AEE">
        <w:t>(slot n+5</w:t>
      </w:r>
      <w:r w:rsidR="00575E73" w:rsidRPr="00114AEE">
        <w:t xml:space="preserve">) </w:t>
      </w:r>
      <w:r w:rsidR="008C26B4" w:rsidRPr="00114AEE">
        <w:t>but the</w:t>
      </w:r>
      <w:r w:rsidR="008C26B4">
        <w:t xml:space="preserve"> DAI is different for the two transmissions in slot interval n</w:t>
      </w:r>
      <w:r w:rsidR="00575E73">
        <w:t>+3</w:t>
      </w:r>
      <w:r w:rsidR="008C26B4">
        <w:t>.</w:t>
      </w:r>
    </w:p>
    <w:p w14:paraId="7E4604B1" w14:textId="33D89FBC" w:rsidR="008C26B4" w:rsidRDefault="00535A21" w:rsidP="00575E73">
      <w:pPr>
        <w:ind w:hanging="1134"/>
        <w:jc w:val="center"/>
      </w:pPr>
      <w:r>
        <w:rPr>
          <w:noProof/>
        </w:rPr>
        <w:drawing>
          <wp:inline distT="0" distB="0" distL="0" distR="0" wp14:anchorId="7437B8E6" wp14:editId="0891AB31">
            <wp:extent cx="6974205" cy="200596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74205" cy="2005965"/>
                    </a:xfrm>
                    <a:prstGeom prst="rect">
                      <a:avLst/>
                    </a:prstGeom>
                    <a:noFill/>
                  </pic:spPr>
                </pic:pic>
              </a:graphicData>
            </a:graphic>
          </wp:inline>
        </w:drawing>
      </w:r>
    </w:p>
    <w:p w14:paraId="260B32AE" w14:textId="6E1FE446" w:rsidR="008C26B4" w:rsidRDefault="008C26B4" w:rsidP="008C26B4">
      <w:pPr>
        <w:pStyle w:val="Caption"/>
      </w:pPr>
      <w:bookmarkStart w:id="3" w:name="_Ref492043925"/>
      <w:r>
        <w:t xml:space="preserve">Figure </w:t>
      </w:r>
      <w:r w:rsidR="00AA46D1">
        <w:fldChar w:fldCharType="begin"/>
      </w:r>
      <w:r w:rsidR="00AA46D1">
        <w:instrText xml:space="preserve"> SEQ Figure \* ARABIC </w:instrText>
      </w:r>
      <w:r w:rsidR="00AA46D1">
        <w:fldChar w:fldCharType="separate"/>
      </w:r>
      <w:r w:rsidR="002978B2">
        <w:rPr>
          <w:noProof/>
        </w:rPr>
        <w:t>2</w:t>
      </w:r>
      <w:r w:rsidR="00AA46D1">
        <w:rPr>
          <w:noProof/>
        </w:rPr>
        <w:fldChar w:fldCharType="end"/>
      </w:r>
      <w:bookmarkEnd w:id="3"/>
      <w:r>
        <w:t xml:space="preserve">: Feedback for </w:t>
      </w:r>
      <w:r w:rsidR="00C42BB6">
        <w:t>multiple</w:t>
      </w:r>
      <w:r>
        <w:t xml:space="preserve"> transmissions </w:t>
      </w:r>
      <w:r w:rsidR="00C42BB6">
        <w:t xml:space="preserve">in slot n+3 </w:t>
      </w:r>
      <w:r>
        <w:t>are multiplexed into the same HARQ codebook</w:t>
      </w:r>
      <w:r w:rsidR="000F31A7">
        <w:t xml:space="preserve"> (the black dot at the lower right corner of a text indicates to which arrow the text belongs)</w:t>
      </w:r>
      <w:r>
        <w:t xml:space="preserve">. </w:t>
      </w:r>
      <w:r>
        <w:tab/>
      </w:r>
    </w:p>
    <w:p w14:paraId="2A9B3A1B" w14:textId="49F646B5" w:rsidR="00B13F98" w:rsidRDefault="00B13F98" w:rsidP="00B13F98">
      <w:pPr>
        <w:pStyle w:val="BodyText"/>
      </w:pPr>
      <w:r>
        <w:t xml:space="preserve">If the gNB wants the UE to use a different (earlier) PUCCH resource for non-slot-based scheduling (e.g. the non-slot-based DL transmission relates to low latency and requires early HARQ feedback) the gNB can indicate different PUCCH resource and time </w:t>
      </w:r>
      <w:r w:rsidR="00533575">
        <w:t xml:space="preserve">(and as consequence also different </w:t>
      </w:r>
      <w:r>
        <w:t xml:space="preserve"> DAI value</w:t>
      </w:r>
      <w:r w:rsidR="00533575">
        <w:t>s)</w:t>
      </w:r>
      <w:r>
        <w:t xml:space="preserve"> in the scheduling DCI</w:t>
      </w:r>
      <w:r w:rsidR="00575E73">
        <w:t xml:space="preserve">, see </w:t>
      </w:r>
      <w:r w:rsidR="00575E73">
        <w:fldChar w:fldCharType="begin"/>
      </w:r>
      <w:r w:rsidR="00575E73">
        <w:instrText xml:space="preserve"> REF _Ref492292991 \h </w:instrText>
      </w:r>
      <w:r w:rsidR="00575E73">
        <w:fldChar w:fldCharType="separate"/>
      </w:r>
      <w:r w:rsidR="00575E73">
        <w:t xml:space="preserve">Figure </w:t>
      </w:r>
      <w:r w:rsidR="00575E73">
        <w:rPr>
          <w:noProof/>
        </w:rPr>
        <w:t>3</w:t>
      </w:r>
      <w:r w:rsidR="00575E73">
        <w:fldChar w:fldCharType="end"/>
      </w:r>
      <w:r w:rsidR="00575E73">
        <w:t xml:space="preserve"> (PR=m, </w:t>
      </w:r>
      <w:r w:rsidR="00575E73" w:rsidRPr="00114AEE">
        <w:t xml:space="preserve">slot </w:t>
      </w:r>
      <w:r w:rsidR="00114AEE" w:rsidRPr="00114AEE">
        <w:t>n+5</w:t>
      </w:r>
      <w:r w:rsidR="00575E73" w:rsidRPr="00114AEE">
        <w:t xml:space="preserve"> for slot</w:t>
      </w:r>
      <w:r w:rsidR="00575E73">
        <w:t>-based transmissions; PR=k, slot n+3  for non-slot-based transmission)</w:t>
      </w:r>
      <w:r>
        <w:t xml:space="preserve">. </w:t>
      </w:r>
    </w:p>
    <w:p w14:paraId="09886FE5" w14:textId="58F608C8" w:rsidR="00575E73" w:rsidRDefault="00535A21" w:rsidP="00575E73">
      <w:pPr>
        <w:pStyle w:val="BodyText"/>
        <w:ind w:left="-1134"/>
        <w:jc w:val="center"/>
      </w:pPr>
      <w:r>
        <w:rPr>
          <w:noProof/>
        </w:rPr>
        <w:drawing>
          <wp:inline distT="0" distB="0" distL="0" distR="0" wp14:anchorId="1D542ACB" wp14:editId="118029D8">
            <wp:extent cx="6974205" cy="200596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74205" cy="2005965"/>
                    </a:xfrm>
                    <a:prstGeom prst="rect">
                      <a:avLst/>
                    </a:prstGeom>
                    <a:noFill/>
                  </pic:spPr>
                </pic:pic>
              </a:graphicData>
            </a:graphic>
          </wp:inline>
        </w:drawing>
      </w:r>
    </w:p>
    <w:p w14:paraId="5B0492DF" w14:textId="7CEA1AE0" w:rsidR="00575E73" w:rsidRDefault="00575E73" w:rsidP="00575E73">
      <w:pPr>
        <w:pStyle w:val="Caption"/>
      </w:pPr>
      <w:bookmarkStart w:id="4" w:name="_Ref492292991"/>
      <w:r>
        <w:t xml:space="preserve">Figure </w:t>
      </w:r>
      <w:r w:rsidR="00AA46D1">
        <w:fldChar w:fldCharType="begin"/>
      </w:r>
      <w:r w:rsidR="00AA46D1">
        <w:instrText xml:space="preserve"> SEQ Figure \* ARABIC </w:instrText>
      </w:r>
      <w:r w:rsidR="00AA46D1">
        <w:fldChar w:fldCharType="separate"/>
      </w:r>
      <w:r w:rsidR="002978B2">
        <w:rPr>
          <w:noProof/>
        </w:rPr>
        <w:t>3</w:t>
      </w:r>
      <w:r w:rsidR="00AA46D1">
        <w:rPr>
          <w:noProof/>
        </w:rPr>
        <w:fldChar w:fldCharType="end"/>
      </w:r>
      <w:bookmarkEnd w:id="4"/>
      <w:r>
        <w:t xml:space="preserve">: Feedback for the non-slot-based </w:t>
      </w:r>
      <w:r w:rsidR="008B65BC">
        <w:t>transmission</w:t>
      </w:r>
      <w:r>
        <w:t xml:space="preserve"> is transmitted separately in a PUCCH resource in the same slot</w:t>
      </w:r>
      <w:r w:rsidR="008B65BC">
        <w:t xml:space="preserve"> interval</w:t>
      </w:r>
      <w:r w:rsidR="000F31A7">
        <w:t xml:space="preserve"> (the black dot at the lower right corner of a text indicates to which arrow the text belongs)</w:t>
      </w:r>
      <w:r>
        <w:t>.</w:t>
      </w:r>
      <w:r>
        <w:tab/>
      </w:r>
    </w:p>
    <w:p w14:paraId="484455CF" w14:textId="3406C50A" w:rsidR="00EA1D4D" w:rsidRDefault="00EA1D4D" w:rsidP="00EA1D4D">
      <w:pPr>
        <w:rPr>
          <w:u w:val="single"/>
        </w:rPr>
      </w:pPr>
      <w:r>
        <w:rPr>
          <w:u w:val="single"/>
        </w:rPr>
        <w:t>Option 2</w:t>
      </w:r>
    </w:p>
    <w:p w14:paraId="653A08A5" w14:textId="534D25A0" w:rsidR="00EA1D4D" w:rsidRDefault="00EA1D4D" w:rsidP="00EA1D4D">
      <w:r>
        <w:t>Also here, PUCCH resource and time will be indicated in the scheduling DCI in case of a dynamic</w:t>
      </w:r>
      <w:r w:rsidR="00DA1B80">
        <w:t>ally</w:t>
      </w:r>
      <w:r>
        <w:t xml:space="preserve"> scheduled transmission</w:t>
      </w:r>
      <w:r w:rsidR="008806D5">
        <w:t>s</w:t>
      </w:r>
      <w:r>
        <w:t xml:space="preserve">. The association between PDSCH and PUCCH can be based on the PUCCH resource </w:t>
      </w:r>
      <w:r>
        <w:lastRenderedPageBreak/>
        <w:t>(PR) and time indicated in the scheduling DCI (</w:t>
      </w:r>
      <w:r>
        <w:sym w:font="Symbol" w:char="F044"/>
      </w:r>
      <w:r>
        <w:t xml:space="preserve">T); HARQ feedback of all PDSCHs which scheduling DCIs indicate same PUCCH resource and time are reported together in the same HARQ codebook. </w:t>
      </w:r>
    </w:p>
    <w:p w14:paraId="6447CC5B" w14:textId="0630F445" w:rsidR="00C750B3" w:rsidRDefault="00EA1D4D" w:rsidP="00EA1D4D">
      <w:r>
        <w:t xml:space="preserve">Differently from Option 1, the HARQ codebook size is based on time, its size is equal to the number of slots between the first DL assignment associated </w:t>
      </w:r>
      <w:r w:rsidR="007018A2">
        <w:t>with</w:t>
      </w:r>
      <w:r>
        <w:t xml:space="preserve"> the HARQ codebook and the last </w:t>
      </w:r>
      <w:r w:rsidRPr="00EA1D4D">
        <w:rPr>
          <w:i/>
        </w:rPr>
        <w:t>possible</w:t>
      </w:r>
      <w:r>
        <w:t xml:space="preserve"> </w:t>
      </w:r>
      <w:r w:rsidR="007018A2">
        <w:t>DL assignment</w:t>
      </w:r>
      <w:r>
        <w:t xml:space="preserve"> associated with the HARQ codebook (based on the processing time the UE needs to prepare HARQ feedback for the indicated PUCCH resource). In </w:t>
      </w:r>
      <w:r>
        <w:fldChar w:fldCharType="begin"/>
      </w:r>
      <w:r>
        <w:instrText xml:space="preserve"> REF _Ref492043228 \h </w:instrText>
      </w:r>
      <w:r>
        <w:fldChar w:fldCharType="separate"/>
      </w:r>
      <w:r>
        <w:t xml:space="preserve">Figure </w:t>
      </w:r>
      <w:r>
        <w:rPr>
          <w:noProof/>
        </w:rPr>
        <w:t>1</w:t>
      </w:r>
      <w:r>
        <w:fldChar w:fldCharType="end"/>
      </w:r>
      <w:r>
        <w:t xml:space="preserve">, the HARQ codebook size would be 3 (slot n-3 to slot n-1) for </w:t>
      </w:r>
      <w:r w:rsidRPr="00114AEE">
        <w:t xml:space="preserve">PUCCH in </w:t>
      </w:r>
      <w:r w:rsidR="00114AEE" w:rsidRPr="00114AEE">
        <w:t>slot n</w:t>
      </w:r>
      <w:r w:rsidRPr="00114AEE">
        <w:t xml:space="preserve"> and 5 (slot n to n+4) for PUCCH in slot </w:t>
      </w:r>
      <w:r w:rsidR="00114AEE" w:rsidRPr="00114AEE">
        <w:t>n+5</w:t>
      </w:r>
      <w:r w:rsidRPr="00114AEE">
        <w:t xml:space="preserve"> (in this example has been assumed HARQ feedback in the </w:t>
      </w:r>
      <w:r w:rsidR="00114AEE" w:rsidRPr="00114AEE">
        <w:t>next</w:t>
      </w:r>
      <w:r w:rsidRPr="00114AEE">
        <w:t xml:space="preserve"> slot is feasible</w:t>
      </w:r>
      <w:r>
        <w:t xml:space="preserve">). </w:t>
      </w:r>
      <w:r w:rsidR="007018A2">
        <w:t>When the UE misses the first DL assignments it determines a wrong HARQ codebook size and an error occurs</w:t>
      </w:r>
      <w:r>
        <w:t>. This error case can be handled by including a counter similar to DAI in the scheduling DCI which however does not count DL assignment</w:t>
      </w:r>
      <w:r w:rsidR="00C21693">
        <w:t>s</w:t>
      </w:r>
      <w:r>
        <w:t xml:space="preserve"> but slots, starting with 0 for the first DL assignment </w:t>
      </w:r>
      <w:r w:rsidR="00C21693">
        <w:t>associated</w:t>
      </w:r>
      <w:r>
        <w:t xml:space="preserve"> </w:t>
      </w:r>
      <w:r w:rsidR="00C21693">
        <w:t>with</w:t>
      </w:r>
      <w:r>
        <w:t xml:space="preserve"> the current HARQ codebook (Elapsed Slot Counter, ESC). In DCIs for subsequent DL assignments, the ESC is set to the number of slots </w:t>
      </w:r>
      <w:r w:rsidR="00D02122">
        <w:t xml:space="preserve">that has </w:t>
      </w:r>
      <w:r>
        <w:t xml:space="preserve">elapsed since the first DL assignment has been scheduled, see </w:t>
      </w:r>
      <w:r>
        <w:fldChar w:fldCharType="begin"/>
      </w:r>
      <w:r>
        <w:instrText xml:space="preserve"> REF _Ref497729461 \h </w:instrText>
      </w:r>
      <w:r>
        <w:fldChar w:fldCharType="separate"/>
      </w:r>
      <w:r>
        <w:t xml:space="preserve">Figure </w:t>
      </w:r>
      <w:r>
        <w:rPr>
          <w:noProof/>
        </w:rPr>
        <w:t>4</w:t>
      </w:r>
      <w:r>
        <w:fldChar w:fldCharType="end"/>
      </w:r>
      <w:r>
        <w:t xml:space="preserve">. Even if the UE misses the first (few) DL assignments, it can still </w:t>
      </w:r>
      <w:r w:rsidR="00C21693">
        <w:t>determine</w:t>
      </w:r>
      <w:r>
        <w:t xml:space="preserve"> the </w:t>
      </w:r>
      <w:r w:rsidR="00C21693">
        <w:t xml:space="preserve">first slot associated with the </w:t>
      </w:r>
      <w:r>
        <w:t xml:space="preserve">HARQ codebook </w:t>
      </w:r>
      <w:r w:rsidR="00C21693">
        <w:t xml:space="preserve">(and thus its </w:t>
      </w:r>
      <w:r>
        <w:t>size</w:t>
      </w:r>
      <w:r w:rsidR="00C21693">
        <w:t>)</w:t>
      </w:r>
      <w:r>
        <w:t xml:space="preserve"> based on the DCI of first detected DL assignment and the contained ESC, as long as the ESC has not wrapped around. A 2 bit field ESC protects against missed DL assignments in the first three slots. The indexing into the HARQ codebook is based on the ESC or on the PUCCH slot timing indicator (</w:t>
      </w:r>
      <w:r>
        <w:sym w:font="Symbol" w:char="F044"/>
      </w:r>
      <w:r>
        <w:t xml:space="preserve">T). </w:t>
      </w:r>
      <w:r w:rsidRPr="00EA1D4D">
        <w:t xml:space="preserve"> </w:t>
      </w:r>
      <w:r>
        <w:t xml:space="preserve">One drawback of this scheme is that it is not straight forward how to </w:t>
      </w:r>
      <w:r w:rsidR="008806D5">
        <w:t>multiplex</w:t>
      </w:r>
      <w:r w:rsidR="00EE1033">
        <w:t xml:space="preserve"> </w:t>
      </w:r>
      <w:r>
        <w:t xml:space="preserve">HARQ feedback from </w:t>
      </w:r>
      <w:r w:rsidR="008806D5">
        <w:t>multiple</w:t>
      </w:r>
      <w:r>
        <w:t xml:space="preserve"> </w:t>
      </w:r>
      <w:r w:rsidR="00EE1033">
        <w:t xml:space="preserve">DL </w:t>
      </w:r>
      <w:r w:rsidR="008806D5">
        <w:t>assignments</w:t>
      </w:r>
      <w:r w:rsidR="00EE1033">
        <w:t xml:space="preserve"> </w:t>
      </w:r>
      <w:r w:rsidR="00C750B3">
        <w:t>within a slot</w:t>
      </w:r>
      <w:r w:rsidR="008806D5">
        <w:t xml:space="preserve"> interval</w:t>
      </w:r>
      <w:r w:rsidR="00C750B3">
        <w:t xml:space="preserve"> (e.g. non-slot-based transmission) </w:t>
      </w:r>
      <w:r>
        <w:t xml:space="preserve">into the same HARQ codebook: All </w:t>
      </w:r>
      <w:r w:rsidR="007018A2">
        <w:t>DL assignments</w:t>
      </w:r>
      <w:r>
        <w:t xml:space="preserve"> in the same slot </w:t>
      </w:r>
      <w:r w:rsidR="008806D5">
        <w:t xml:space="preserve">interval </w:t>
      </w:r>
      <w:r>
        <w:t xml:space="preserve">would have </w:t>
      </w:r>
      <w:r w:rsidR="00C21693">
        <w:t xml:space="preserve">the same slot timing indicator </w:t>
      </w:r>
      <w:r>
        <w:sym w:font="Symbol" w:char="F044"/>
      </w:r>
      <w:r w:rsidR="00C21693">
        <w:t>T</w:t>
      </w:r>
      <w:r>
        <w:t xml:space="preserve"> </w:t>
      </w:r>
      <w:r w:rsidR="00C21693">
        <w:t xml:space="preserve">(or ESC) </w:t>
      </w:r>
      <w:r>
        <w:t xml:space="preserve">for PUCCH in their scheduling DCI leading to multi-to-one mapping between PDSCH and PUCCH. </w:t>
      </w:r>
      <w:r w:rsidR="00C750B3">
        <w:t xml:space="preserve">This could be fixed by having e.g. two bits per slot in the HARQ codebook and associating half of the PDCCH opportunities with the first bit and the other half of PDCCH opportunities with the second bit. Within each PDCCH group, the UE can only be scheduled once.  </w:t>
      </w:r>
    </w:p>
    <w:p w14:paraId="029565BC" w14:textId="61B0F750" w:rsidR="00EA1D4D" w:rsidRDefault="00EA1D4D" w:rsidP="00EA1D4D">
      <w:r>
        <w:t xml:space="preserve"> </w:t>
      </w:r>
    </w:p>
    <w:p w14:paraId="19E1A166" w14:textId="0C2A8415" w:rsidR="00EA1D4D" w:rsidRDefault="00535A21" w:rsidP="00535A21">
      <w:pPr>
        <w:ind w:hanging="1134"/>
        <w:jc w:val="center"/>
      </w:pPr>
      <w:r>
        <w:rPr>
          <w:noProof/>
        </w:rPr>
        <w:drawing>
          <wp:inline distT="0" distB="0" distL="0" distR="0" wp14:anchorId="20B0346C" wp14:editId="1282508C">
            <wp:extent cx="7023100" cy="200596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3100" cy="2005965"/>
                    </a:xfrm>
                    <a:prstGeom prst="rect">
                      <a:avLst/>
                    </a:prstGeom>
                    <a:noFill/>
                  </pic:spPr>
                </pic:pic>
              </a:graphicData>
            </a:graphic>
          </wp:inline>
        </w:drawing>
      </w:r>
    </w:p>
    <w:p w14:paraId="7FF99746" w14:textId="63B1D83E" w:rsidR="00EA1D4D" w:rsidRPr="002978B2" w:rsidRDefault="00EA1D4D" w:rsidP="00EA1D4D">
      <w:pPr>
        <w:pStyle w:val="Caption"/>
      </w:pPr>
      <w:bookmarkStart w:id="5" w:name="_Ref497729461"/>
      <w:r>
        <w:t xml:space="preserve">Figure </w:t>
      </w:r>
      <w:r w:rsidR="00AA46D1">
        <w:fldChar w:fldCharType="begin"/>
      </w:r>
      <w:r w:rsidR="00AA46D1">
        <w:instrText xml:space="preserve"> SEQ Figure \* ARABIC </w:instrText>
      </w:r>
      <w:r w:rsidR="00AA46D1">
        <w:fldChar w:fldCharType="separate"/>
      </w:r>
      <w:r>
        <w:rPr>
          <w:noProof/>
        </w:rPr>
        <w:t>4</w:t>
      </w:r>
      <w:r w:rsidR="00AA46D1">
        <w:rPr>
          <w:noProof/>
        </w:rPr>
        <w:fldChar w:fldCharType="end"/>
      </w:r>
      <w:bookmarkEnd w:id="5"/>
      <w:r>
        <w:t>: The Elapsed Slot Counter (ESC) is set to zero in the DCI of the first scheduled DL assignment. In DCIs of later DL assignments, it is set to the number of slots that has elapsed since the first DL assignment has been scheduled.</w:t>
      </w:r>
    </w:p>
    <w:p w14:paraId="3889CDBB" w14:textId="464BDC55" w:rsidR="00EA1D4D" w:rsidRPr="0036204B" w:rsidRDefault="00EA1D4D" w:rsidP="00EA1D4D">
      <w:r w:rsidRPr="0036204B">
        <w:t xml:space="preserve">Based </w:t>
      </w:r>
      <w:r>
        <w:t xml:space="preserve">on above discussion how to construct the </w:t>
      </w:r>
      <w:r w:rsidR="006F35A1">
        <w:t xml:space="preserve">dynamic </w:t>
      </w:r>
      <w:r>
        <w:t xml:space="preserve">HARQ codebooks we feel that Option 1 is preferable. </w:t>
      </w:r>
      <w:r w:rsidR="006F35A1">
        <w:t xml:space="preserve">While </w:t>
      </w:r>
      <w:r w:rsidR="00C21693">
        <w:t>Option 2 is more robust to missed assignments than Option</w:t>
      </w:r>
      <w:r w:rsidR="006F35A1">
        <w:t xml:space="preserve"> 1</w:t>
      </w:r>
      <w:r w:rsidR="00C21693">
        <w:t xml:space="preserve"> (even if more than on</w:t>
      </w:r>
      <w:r w:rsidR="006F35A1">
        <w:t>e</w:t>
      </w:r>
      <w:r w:rsidR="00C21693">
        <w:t xml:space="preserve"> DL assignment is missed</w:t>
      </w:r>
      <w:r w:rsidR="006F35A1">
        <w:t xml:space="preserve"> in Option 2</w:t>
      </w:r>
      <w:r w:rsidR="00C21693">
        <w:t>, the HARQ codebook size can be reconstructed)</w:t>
      </w:r>
      <w:r w:rsidR="006F35A1">
        <w:t xml:space="preserve">, Option 1 enables </w:t>
      </w:r>
      <w:r w:rsidR="00EE1033">
        <w:t xml:space="preserve">simpler </w:t>
      </w:r>
      <w:r w:rsidR="006F35A1">
        <w:t xml:space="preserve">multiplexing of HARQ feedback from </w:t>
      </w:r>
      <w:r w:rsidR="00EE1033">
        <w:t>multiple DL assignments in a slot</w:t>
      </w:r>
      <w:r w:rsidR="008806D5">
        <w:t xml:space="preserve"> interval</w:t>
      </w:r>
      <w:r w:rsidR="006F35A1">
        <w:t xml:space="preserve">.  The </w:t>
      </w:r>
      <w:r>
        <w:t>error case</w:t>
      </w:r>
      <w:r w:rsidR="006F35A1">
        <w:t xml:space="preserve"> in Option 1</w:t>
      </w:r>
      <w:r>
        <w:t xml:space="preserve"> due to a missed last DL assignment can be mitigated with an extra robust PDCCH tra</w:t>
      </w:r>
      <w:r w:rsidR="0066554A">
        <w:t>nsmission of the last scheduled</w:t>
      </w:r>
      <w:r>
        <w:t xml:space="preserve"> DCI.</w:t>
      </w:r>
      <w:r w:rsidR="0043506A">
        <w:t xml:space="preserve"> Option 2 also lead</w:t>
      </w:r>
      <w:r w:rsidR="0061271C">
        <w:t>s</w:t>
      </w:r>
      <w:r w:rsidR="0043506A">
        <w:t xml:space="preserve"> to larger HARQ codebooks than Option 1 if not all slots </w:t>
      </w:r>
      <w:r w:rsidR="0066554A">
        <w:t xml:space="preserve">(PDSCH) </w:t>
      </w:r>
      <w:r w:rsidR="0043506A">
        <w:t>associated with the HARQ codebook are scheduled.</w:t>
      </w:r>
    </w:p>
    <w:p w14:paraId="19A6606B" w14:textId="439E358E" w:rsidR="00EA1D4D" w:rsidRDefault="00EA1D4D" w:rsidP="00EA1D4D">
      <w:pPr>
        <w:rPr>
          <w:b/>
          <w:i/>
        </w:rPr>
      </w:pPr>
      <w:r w:rsidRPr="00796C9E">
        <w:rPr>
          <w:b/>
          <w:i/>
        </w:rPr>
        <w:lastRenderedPageBreak/>
        <w:t>Proposal</w:t>
      </w:r>
      <w:r w:rsidR="00D02122">
        <w:rPr>
          <w:b/>
          <w:i/>
        </w:rPr>
        <w:t xml:space="preserve"> 1</w:t>
      </w:r>
      <w:r w:rsidRPr="00796C9E">
        <w:rPr>
          <w:b/>
          <w:i/>
        </w:rPr>
        <w:t xml:space="preserve">: </w:t>
      </w:r>
      <w:r w:rsidR="006F35A1">
        <w:rPr>
          <w:b/>
          <w:i/>
        </w:rPr>
        <w:t xml:space="preserve">The </w:t>
      </w:r>
      <w:bookmarkStart w:id="6" w:name="_Hlk498701597"/>
      <w:r w:rsidR="006F35A1">
        <w:rPr>
          <w:b/>
          <w:i/>
        </w:rPr>
        <w:t xml:space="preserve">dynamic </w:t>
      </w:r>
      <w:r w:rsidR="006F35A1" w:rsidRPr="00796C9E">
        <w:rPr>
          <w:b/>
          <w:i/>
        </w:rPr>
        <w:t>(in time dimension)</w:t>
      </w:r>
      <w:r w:rsidR="006F35A1">
        <w:rPr>
          <w:b/>
          <w:i/>
        </w:rPr>
        <w:t xml:space="preserve"> </w:t>
      </w:r>
      <w:r w:rsidRPr="00796C9E">
        <w:rPr>
          <w:b/>
          <w:i/>
        </w:rPr>
        <w:t>HARQ codebook</w:t>
      </w:r>
      <w:r w:rsidR="00347D13">
        <w:rPr>
          <w:b/>
          <w:i/>
        </w:rPr>
        <w:t xml:space="preserve"> for non-</w:t>
      </w:r>
      <w:bookmarkEnd w:id="6"/>
      <w:r w:rsidR="00D776BA">
        <w:rPr>
          <w:b/>
          <w:i/>
        </w:rPr>
        <w:t>carrier-aggregation</w:t>
      </w:r>
      <w:r w:rsidR="00D776BA">
        <w:rPr>
          <w:b/>
          <w:i/>
        </w:rPr>
        <w:t xml:space="preserve"> </w:t>
      </w:r>
      <w:r w:rsidR="006F35A1">
        <w:rPr>
          <w:b/>
          <w:i/>
        </w:rPr>
        <w:t>is based on a counter DAI that counts DL assignments</w:t>
      </w:r>
      <w:r w:rsidRPr="00796C9E">
        <w:rPr>
          <w:b/>
          <w:i/>
        </w:rPr>
        <w:t>.</w:t>
      </w:r>
    </w:p>
    <w:p w14:paraId="70B50CAD" w14:textId="6D2A648F" w:rsidR="00EE1033" w:rsidRPr="00796C9E" w:rsidRDefault="00EE1033" w:rsidP="00EA1D4D">
      <w:pPr>
        <w:rPr>
          <w:b/>
          <w:i/>
        </w:rPr>
      </w:pPr>
      <w:r>
        <w:rPr>
          <w:b/>
          <w:i/>
        </w:rPr>
        <w:t>Proposal</w:t>
      </w:r>
      <w:r w:rsidR="00132A5E">
        <w:rPr>
          <w:b/>
          <w:i/>
        </w:rPr>
        <w:t xml:space="preserve"> 2</w:t>
      </w:r>
      <w:r>
        <w:rPr>
          <w:b/>
          <w:i/>
        </w:rPr>
        <w:t>: HARQ feedback from multiple DL assignments in a slot</w:t>
      </w:r>
      <w:r w:rsidR="008806D5">
        <w:rPr>
          <w:b/>
          <w:i/>
        </w:rPr>
        <w:t xml:space="preserve"> interval</w:t>
      </w:r>
      <w:r>
        <w:rPr>
          <w:b/>
          <w:i/>
        </w:rPr>
        <w:t xml:space="preserve"> can be multiplexed in the dynamic </w:t>
      </w:r>
      <w:r w:rsidRPr="00796C9E">
        <w:rPr>
          <w:b/>
          <w:i/>
        </w:rPr>
        <w:t>(in time dimension)</w:t>
      </w:r>
      <w:r>
        <w:rPr>
          <w:b/>
          <w:i/>
        </w:rPr>
        <w:t xml:space="preserve"> </w:t>
      </w:r>
      <w:r w:rsidRPr="00796C9E">
        <w:rPr>
          <w:b/>
          <w:i/>
        </w:rPr>
        <w:t>HARQ codebook</w:t>
      </w:r>
      <w:r>
        <w:rPr>
          <w:b/>
          <w:i/>
        </w:rPr>
        <w:t xml:space="preserve"> for non-</w:t>
      </w:r>
      <w:r w:rsidR="00D776BA">
        <w:rPr>
          <w:b/>
          <w:i/>
        </w:rPr>
        <w:t>carrier-aggregation</w:t>
      </w:r>
      <w:r>
        <w:rPr>
          <w:b/>
          <w:i/>
        </w:rPr>
        <w:t>.</w:t>
      </w:r>
    </w:p>
    <w:p w14:paraId="25EB68D3" w14:textId="2CD2F40B" w:rsidR="00EA1D4D" w:rsidRDefault="006F35A1" w:rsidP="00EA1D4D">
      <w:pPr>
        <w:pStyle w:val="Heading4"/>
        <w:rPr>
          <w:u w:val="single"/>
        </w:rPr>
      </w:pPr>
      <w:bookmarkStart w:id="7" w:name="_Ref497737418"/>
      <w:r>
        <w:t>Fixed</w:t>
      </w:r>
      <w:r w:rsidR="00EA1D4D">
        <w:t xml:space="preserve"> HARQ codebook</w:t>
      </w:r>
      <w:bookmarkEnd w:id="7"/>
    </w:p>
    <w:p w14:paraId="08DEED73" w14:textId="4B3975CE" w:rsidR="002978B2" w:rsidRPr="002978B2" w:rsidRDefault="00EA1D4D" w:rsidP="00FB77FB">
      <w:pPr>
        <w:rPr>
          <w:u w:val="single"/>
        </w:rPr>
      </w:pPr>
      <w:r>
        <w:rPr>
          <w:u w:val="single"/>
        </w:rPr>
        <w:t>Option 1</w:t>
      </w:r>
    </w:p>
    <w:p w14:paraId="7EE033AE" w14:textId="3882DA08" w:rsidR="0061271C" w:rsidRDefault="00FB77FB" w:rsidP="00FB77FB">
      <w:r>
        <w:t>To avoid error case</w:t>
      </w:r>
      <w:r w:rsidR="0066554A">
        <w:t xml:space="preserve">s of </w:t>
      </w:r>
      <w:r>
        <w:t xml:space="preserve">missed </w:t>
      </w:r>
      <w:r w:rsidR="0066554A">
        <w:t xml:space="preserve">DL </w:t>
      </w:r>
      <w:r>
        <w:t>assignment</w:t>
      </w:r>
      <w:r w:rsidR="00EA1D4D">
        <w:t>s</w:t>
      </w:r>
      <w:r>
        <w:t xml:space="preserve"> the HARQ codebook size would have to be fixed. One option to achieve this is by semi-statically configuring the HARQ codebook size</w:t>
      </w:r>
      <w:r w:rsidR="00B16AFB">
        <w:t xml:space="preserve"> (HARQ codebook association window size)</w:t>
      </w:r>
      <w:r>
        <w:t xml:space="preserve">.  Alternatively, as set of HARQ codebook sizes can be semi-statically configured and an indicator in the DCI selects one of the preconfigured HARQ codebook sizes. The PUCCH resource would still be given </w:t>
      </w:r>
      <w:r w:rsidR="00616DF9">
        <w:t>by the PUCCH resource indicator (PR) and the slot timing indicator (</w:t>
      </w:r>
      <w:r w:rsidR="00616DF9">
        <w:sym w:font="Symbol" w:char="F044"/>
      </w:r>
      <w:r w:rsidR="00616DF9">
        <w:t xml:space="preserve">T) in the DCI. </w:t>
      </w:r>
    </w:p>
    <w:p w14:paraId="5024300E" w14:textId="26271CAD" w:rsidR="002978B2" w:rsidRPr="002978B2" w:rsidRDefault="00EA1D4D" w:rsidP="00FB77FB">
      <w:pPr>
        <w:rPr>
          <w:u w:val="single"/>
        </w:rPr>
      </w:pPr>
      <w:r>
        <w:rPr>
          <w:u w:val="single"/>
        </w:rPr>
        <w:t>Option 2</w:t>
      </w:r>
    </w:p>
    <w:p w14:paraId="3992CA9F" w14:textId="30ABA461" w:rsidR="001F11F6" w:rsidRDefault="001F11F6" w:rsidP="00FB77FB">
      <w:r>
        <w:t xml:space="preserve">Another option for a fixed HARQ codebook is to base its size on the configured number of HARQ processes and index the HARQ codebook using the HARQ process ID. </w:t>
      </w:r>
      <w:r w:rsidR="00EE1033">
        <w:t>T</w:t>
      </w:r>
      <w:r>
        <w:t xml:space="preserve">his option enables easy multiplexing of HARQ feedback </w:t>
      </w:r>
      <w:r w:rsidR="00EE1033">
        <w:t xml:space="preserve">from multiple DL assignments within a slot </w:t>
      </w:r>
      <w:r w:rsidR="008806D5">
        <w:t xml:space="preserve">interval </w:t>
      </w:r>
      <w:r w:rsidR="00EE1033">
        <w:t xml:space="preserve">since all </w:t>
      </w:r>
      <w:r w:rsidR="008806D5">
        <w:t>transmissions</w:t>
      </w:r>
      <w:r w:rsidR="00EE1033">
        <w:t xml:space="preserve"> would use different HARQ processes. </w:t>
      </w:r>
      <w:r>
        <w:t>Drawback of this option is that the HARQ codebook size will be typically quite large</w:t>
      </w:r>
      <w:r w:rsidR="00EE1033">
        <w:t>, gi</w:t>
      </w:r>
      <w:r w:rsidR="00E909FD">
        <w:t>v</w:t>
      </w:r>
      <w:r w:rsidR="00EE1033">
        <w:t>en by the number of configured HARQ processes</w:t>
      </w:r>
      <w:r>
        <w:t xml:space="preserve">. It could be considered to semi-statically configure a set of HARQ codebooks, each </w:t>
      </w:r>
      <w:r w:rsidR="007E3CBA">
        <w:t>HARQ codebook</w:t>
      </w:r>
      <w:r>
        <w:t xml:space="preserve"> containing </w:t>
      </w:r>
      <w:r w:rsidR="009C7679">
        <w:t>fields</w:t>
      </w:r>
      <w:r>
        <w:t xml:space="preserve"> for different (potentially </w:t>
      </w:r>
      <w:r w:rsidR="009C7679">
        <w:t>differently many</w:t>
      </w:r>
      <w:r>
        <w:t>) HARQ process ID</w:t>
      </w:r>
      <w:r w:rsidR="007E3CBA">
        <w:t>s</w:t>
      </w:r>
      <w:r>
        <w:t xml:space="preserve">. </w:t>
      </w:r>
      <w:r w:rsidR="007E3CBA">
        <w:t xml:space="preserve">An indictor in the </w:t>
      </w:r>
      <w:r w:rsidR="009C7679">
        <w:t xml:space="preserve">scheduling </w:t>
      </w:r>
      <w:r w:rsidR="007E3CBA">
        <w:t>DCI would select one of the HARQ codebooks.</w:t>
      </w:r>
    </w:p>
    <w:p w14:paraId="2906D139" w14:textId="0E60A0D0" w:rsidR="00533575" w:rsidRPr="0061271C" w:rsidRDefault="0061271C" w:rsidP="00216D9B">
      <w:pPr>
        <w:rPr>
          <w:b/>
          <w:i/>
        </w:rPr>
      </w:pPr>
      <w:r w:rsidRPr="0061271C">
        <w:rPr>
          <w:b/>
          <w:i/>
        </w:rPr>
        <w:t>Proposal</w:t>
      </w:r>
      <w:r w:rsidR="00132A5E">
        <w:rPr>
          <w:b/>
          <w:i/>
        </w:rPr>
        <w:t xml:space="preserve"> 3</w:t>
      </w:r>
      <w:r w:rsidRPr="0061271C">
        <w:rPr>
          <w:b/>
          <w:i/>
        </w:rPr>
        <w:t xml:space="preserve">: The fixed HARQ codebook </w:t>
      </w:r>
      <w:r w:rsidR="00347D13">
        <w:rPr>
          <w:b/>
          <w:i/>
        </w:rPr>
        <w:t>for non-</w:t>
      </w:r>
      <w:r w:rsidR="00D776BA">
        <w:rPr>
          <w:b/>
          <w:i/>
        </w:rPr>
        <w:t>carrier-aggregation</w:t>
      </w:r>
      <w:r w:rsidR="00D776BA">
        <w:rPr>
          <w:b/>
          <w:i/>
        </w:rPr>
        <w:t xml:space="preserve"> </w:t>
      </w:r>
      <w:r w:rsidRPr="0061271C">
        <w:rPr>
          <w:b/>
          <w:i/>
        </w:rPr>
        <w:t>is based on number of configured HARQ processes. Indexing into the HARQ codebook is based on the HARQ process ID.</w:t>
      </w:r>
    </w:p>
    <w:p w14:paraId="14A4DD7B" w14:textId="6CB97CE3" w:rsidR="00216D9B" w:rsidRDefault="00276040" w:rsidP="00594551">
      <w:pPr>
        <w:pStyle w:val="Heading3"/>
      </w:pPr>
      <w:r>
        <w:t>With carrier aggregation</w:t>
      </w:r>
      <w:r w:rsidR="00594166">
        <w:t>, no CBG</w:t>
      </w:r>
    </w:p>
    <w:p w14:paraId="7E613F24" w14:textId="0AA81514" w:rsidR="00276040" w:rsidRPr="00276040" w:rsidRDefault="006A126F" w:rsidP="00594551">
      <w:pPr>
        <w:pStyle w:val="Heading4"/>
      </w:pPr>
      <w:r>
        <w:t>One DL assignment per slot</w:t>
      </w:r>
      <w:r w:rsidR="00EA7703">
        <w:t xml:space="preserve"> interval</w:t>
      </w:r>
    </w:p>
    <w:p w14:paraId="77A4D8F9" w14:textId="666265F9" w:rsidR="00276040" w:rsidRDefault="00276040" w:rsidP="00594551">
      <w:pPr>
        <w:pStyle w:val="Heading5"/>
      </w:pPr>
      <w:r>
        <w:t>Fixed HARQ codebook</w:t>
      </w:r>
    </w:p>
    <w:p w14:paraId="17735D62" w14:textId="5A4EAD4E" w:rsidR="00B16AFB" w:rsidRDefault="00B16AFB" w:rsidP="00C44578">
      <w:pPr>
        <w:rPr>
          <w:lang w:val="en-GB" w:eastAsia="zh-CN"/>
        </w:rPr>
      </w:pPr>
      <w:r>
        <w:rPr>
          <w:lang w:val="en-GB" w:eastAsia="zh-CN"/>
        </w:rPr>
        <w:t xml:space="preserve">A fixed HARQ codebook in the context of carrier aggregation can be interpreted twofold: Fixed in time and component carrier dimension, or dynamic in time and fixed in component carrier dimension. </w:t>
      </w:r>
    </w:p>
    <w:p w14:paraId="175B644D" w14:textId="18898423" w:rsidR="00B16AFB" w:rsidRDefault="00B16AFB" w:rsidP="00C44578">
      <w:pPr>
        <w:rPr>
          <w:lang w:val="en-GB" w:eastAsia="zh-CN"/>
        </w:rPr>
      </w:pPr>
      <w:r>
        <w:rPr>
          <w:lang w:val="en-GB" w:eastAsia="zh-CN"/>
        </w:rPr>
        <w:t xml:space="preserve">A HARQ codebook fixed in time and component carrier dimension could be based on Option 1 of Section </w:t>
      </w:r>
      <w:r>
        <w:rPr>
          <w:lang w:val="en-GB" w:eastAsia="zh-CN"/>
        </w:rPr>
        <w:fldChar w:fldCharType="begin"/>
      </w:r>
      <w:r>
        <w:rPr>
          <w:lang w:val="en-GB" w:eastAsia="zh-CN"/>
        </w:rPr>
        <w:instrText xml:space="preserve"> REF _Ref497737418 \r \h </w:instrText>
      </w:r>
      <w:r>
        <w:rPr>
          <w:lang w:val="en-GB" w:eastAsia="zh-CN"/>
        </w:rPr>
      </w:r>
      <w:r>
        <w:rPr>
          <w:lang w:val="en-GB" w:eastAsia="zh-CN"/>
        </w:rPr>
        <w:fldChar w:fldCharType="separate"/>
      </w:r>
      <w:r>
        <w:rPr>
          <w:lang w:val="en-GB" w:eastAsia="zh-CN"/>
        </w:rPr>
        <w:t>3.1.1.2</w:t>
      </w:r>
      <w:r>
        <w:rPr>
          <w:lang w:val="en-GB" w:eastAsia="zh-CN"/>
        </w:rPr>
        <w:fldChar w:fldCharType="end"/>
      </w:r>
      <w:r>
        <w:rPr>
          <w:lang w:val="en-GB" w:eastAsia="zh-CN"/>
        </w:rPr>
        <w:t xml:space="preserve">, the HARQ codebook size would be given by its configured HARQ association window and configured component carriers. </w:t>
      </w:r>
    </w:p>
    <w:p w14:paraId="448B8948" w14:textId="5D82EDD5" w:rsidR="00B16AFB" w:rsidRDefault="00B16AFB" w:rsidP="00C44578">
      <w:pPr>
        <w:rPr>
          <w:lang w:val="en-GB" w:eastAsia="zh-CN"/>
        </w:rPr>
      </w:pPr>
      <w:r>
        <w:rPr>
          <w:lang w:val="en-GB" w:eastAsia="zh-CN"/>
        </w:rPr>
        <w:t xml:space="preserve">Option 2 of Section </w:t>
      </w:r>
      <w:r>
        <w:rPr>
          <w:lang w:val="en-GB" w:eastAsia="zh-CN"/>
        </w:rPr>
        <w:fldChar w:fldCharType="begin"/>
      </w:r>
      <w:r>
        <w:rPr>
          <w:lang w:val="en-GB" w:eastAsia="zh-CN"/>
        </w:rPr>
        <w:instrText xml:space="preserve"> REF _Ref497737418 \r \h </w:instrText>
      </w:r>
      <w:r>
        <w:rPr>
          <w:lang w:val="en-GB" w:eastAsia="zh-CN"/>
        </w:rPr>
      </w:r>
      <w:r>
        <w:rPr>
          <w:lang w:val="en-GB" w:eastAsia="zh-CN"/>
        </w:rPr>
        <w:fldChar w:fldCharType="separate"/>
      </w:r>
      <w:r>
        <w:rPr>
          <w:lang w:val="en-GB" w:eastAsia="zh-CN"/>
        </w:rPr>
        <w:t>3.1.1.2</w:t>
      </w:r>
      <w:r>
        <w:rPr>
          <w:lang w:val="en-GB" w:eastAsia="zh-CN"/>
        </w:rPr>
        <w:fldChar w:fldCharType="end"/>
      </w:r>
      <w:r>
        <w:rPr>
          <w:lang w:val="en-GB" w:eastAsia="zh-CN"/>
        </w:rPr>
        <w:t xml:space="preserve"> can be generalized to carrier aggregation, too. The HARQ codebook size is determined by the sum of configured HARQ processes across the configured component carriers. Indexing into the HARQ codebook is done by the component carrier index and the HARQ process ID. We note this scheme could easily be generalized to the case of </w:t>
      </w:r>
      <w:r w:rsidR="00E909FD">
        <w:rPr>
          <w:lang w:val="en-GB" w:eastAsia="zh-CN"/>
        </w:rPr>
        <w:t>multiple DL assignments in a slot</w:t>
      </w:r>
      <w:r w:rsidR="00B01FA8">
        <w:rPr>
          <w:lang w:val="en-GB" w:eastAsia="zh-CN"/>
        </w:rPr>
        <w:t xml:space="preserve"> interval</w:t>
      </w:r>
      <w:r>
        <w:rPr>
          <w:lang w:val="en-GB" w:eastAsia="zh-CN"/>
        </w:rPr>
        <w:t>.</w:t>
      </w:r>
    </w:p>
    <w:p w14:paraId="7A56DECF" w14:textId="5F75E915" w:rsidR="00170CC8" w:rsidRDefault="00B16AFB" w:rsidP="00C44578">
      <w:pPr>
        <w:rPr>
          <w:lang w:val="en-GB" w:eastAsia="zh-CN"/>
        </w:rPr>
      </w:pPr>
      <w:r>
        <w:rPr>
          <w:lang w:val="en-GB" w:eastAsia="zh-CN"/>
        </w:rPr>
        <w:t xml:space="preserve">Drawback of HARQ codebooks which size is fixed in both dimensions (component carrier and time or HARQ process) is its large overhead. A HARQ codebook that is only fixed in component carrier dimension is therefore preferable. </w:t>
      </w:r>
      <w:r w:rsidR="006B2FB3">
        <w:rPr>
          <w:lang w:val="en-GB" w:eastAsia="zh-CN"/>
        </w:rPr>
        <w:t xml:space="preserve">Both solutions outlined in Section </w:t>
      </w:r>
      <w:r w:rsidR="006B2FB3">
        <w:rPr>
          <w:lang w:val="en-GB" w:eastAsia="zh-CN"/>
        </w:rPr>
        <w:fldChar w:fldCharType="begin"/>
      </w:r>
      <w:r w:rsidR="006B2FB3">
        <w:rPr>
          <w:lang w:val="en-GB" w:eastAsia="zh-CN"/>
        </w:rPr>
        <w:instrText xml:space="preserve"> REF _Ref492307104 \r \h </w:instrText>
      </w:r>
      <w:r w:rsidR="006B2FB3">
        <w:rPr>
          <w:lang w:val="en-GB" w:eastAsia="zh-CN"/>
        </w:rPr>
      </w:r>
      <w:r w:rsidR="006B2FB3">
        <w:rPr>
          <w:lang w:val="en-GB" w:eastAsia="zh-CN"/>
        </w:rPr>
        <w:fldChar w:fldCharType="separate"/>
      </w:r>
      <w:r w:rsidR="006B2FB3">
        <w:rPr>
          <w:lang w:val="en-GB" w:eastAsia="zh-CN"/>
        </w:rPr>
        <w:t>3.1.1.1</w:t>
      </w:r>
      <w:r w:rsidR="006B2FB3">
        <w:rPr>
          <w:lang w:val="en-GB" w:eastAsia="zh-CN"/>
        </w:rPr>
        <w:fldChar w:fldCharType="end"/>
      </w:r>
      <w:r w:rsidR="006B2FB3">
        <w:rPr>
          <w:lang w:val="en-GB" w:eastAsia="zh-CN"/>
        </w:rPr>
        <w:t xml:space="preserve"> could be generalized to carrier aggregation. Instead of a single bit (two in case of MIMO configuration with up to two transport blocks) always a bitmap with the size needed for feedback of all configured component carriers is inserted into the HARQ codebook as soon as at least one DCI scheduling a DL assignment is detected </w:t>
      </w:r>
      <w:r w:rsidR="006A126F">
        <w:rPr>
          <w:lang w:val="en-GB" w:eastAsia="zh-CN"/>
        </w:rPr>
        <w:t>in the slot</w:t>
      </w:r>
      <w:r w:rsidR="00B01FA8">
        <w:rPr>
          <w:lang w:val="en-GB" w:eastAsia="zh-CN"/>
        </w:rPr>
        <w:t xml:space="preserve"> interval</w:t>
      </w:r>
      <w:r w:rsidR="006B2FB3">
        <w:rPr>
          <w:lang w:val="en-GB" w:eastAsia="zh-CN"/>
        </w:rPr>
        <w:t xml:space="preserve">. </w:t>
      </w:r>
      <w:r w:rsidR="00170CC8">
        <w:rPr>
          <w:lang w:val="en-GB" w:eastAsia="zh-CN"/>
        </w:rPr>
        <w:t xml:space="preserve">All DCIs transmitted </w:t>
      </w:r>
      <w:r w:rsidR="00170CC8">
        <w:rPr>
          <w:lang w:val="en-GB" w:eastAsia="zh-CN"/>
        </w:rPr>
        <w:lastRenderedPageBreak/>
        <w:t xml:space="preserve">in the same </w:t>
      </w:r>
      <w:r w:rsidR="006A126F">
        <w:rPr>
          <w:lang w:val="en-GB" w:eastAsia="zh-CN"/>
        </w:rPr>
        <w:t xml:space="preserve">slot interval </w:t>
      </w:r>
      <w:r w:rsidR="00170CC8">
        <w:rPr>
          <w:lang w:val="en-GB" w:eastAsia="zh-CN"/>
        </w:rPr>
        <w:t>scheduling a DL assignment (</w:t>
      </w:r>
      <w:r w:rsidR="003A1950">
        <w:rPr>
          <w:lang w:val="en-GB" w:eastAsia="zh-CN"/>
        </w:rPr>
        <w:t xml:space="preserve">and </w:t>
      </w:r>
      <w:r w:rsidR="00170CC8">
        <w:rPr>
          <w:lang w:val="en-GB" w:eastAsia="zh-CN"/>
        </w:rPr>
        <w:t xml:space="preserve">to be acknowledged on the same PUCCH) would contain the same DAI (Option 1, Section </w:t>
      </w:r>
      <w:r w:rsidR="00170CC8">
        <w:rPr>
          <w:lang w:val="en-GB" w:eastAsia="zh-CN"/>
        </w:rPr>
        <w:fldChar w:fldCharType="begin"/>
      </w:r>
      <w:r w:rsidR="00170CC8">
        <w:rPr>
          <w:lang w:val="en-GB" w:eastAsia="zh-CN"/>
        </w:rPr>
        <w:instrText xml:space="preserve"> REF _Ref492307104 \r \h </w:instrText>
      </w:r>
      <w:r w:rsidR="00170CC8">
        <w:rPr>
          <w:lang w:val="en-GB" w:eastAsia="zh-CN"/>
        </w:rPr>
      </w:r>
      <w:r w:rsidR="00170CC8">
        <w:rPr>
          <w:lang w:val="en-GB" w:eastAsia="zh-CN"/>
        </w:rPr>
        <w:fldChar w:fldCharType="separate"/>
      </w:r>
      <w:r w:rsidR="00170CC8">
        <w:rPr>
          <w:lang w:val="en-GB" w:eastAsia="zh-CN"/>
        </w:rPr>
        <w:t>3.1.1.1</w:t>
      </w:r>
      <w:r w:rsidR="00170CC8">
        <w:rPr>
          <w:lang w:val="en-GB" w:eastAsia="zh-CN"/>
        </w:rPr>
        <w:fldChar w:fldCharType="end"/>
      </w:r>
      <w:r w:rsidR="00170CC8">
        <w:rPr>
          <w:lang w:val="en-GB" w:eastAsia="zh-CN"/>
        </w:rPr>
        <w:t>) or the same ESC (Option 2,</w:t>
      </w:r>
      <w:r w:rsidR="003A1950">
        <w:rPr>
          <w:lang w:val="en-GB" w:eastAsia="zh-CN"/>
        </w:rPr>
        <w:t xml:space="preserve"> Section </w:t>
      </w:r>
      <w:r w:rsidR="003A1950">
        <w:rPr>
          <w:lang w:val="en-GB" w:eastAsia="zh-CN"/>
        </w:rPr>
        <w:fldChar w:fldCharType="begin"/>
      </w:r>
      <w:r w:rsidR="003A1950">
        <w:rPr>
          <w:lang w:val="en-GB" w:eastAsia="zh-CN"/>
        </w:rPr>
        <w:instrText xml:space="preserve"> REF _Ref492307104 \r \h </w:instrText>
      </w:r>
      <w:r w:rsidR="003A1950">
        <w:rPr>
          <w:lang w:val="en-GB" w:eastAsia="zh-CN"/>
        </w:rPr>
      </w:r>
      <w:r w:rsidR="003A1950">
        <w:rPr>
          <w:lang w:val="en-GB" w:eastAsia="zh-CN"/>
        </w:rPr>
        <w:fldChar w:fldCharType="separate"/>
      </w:r>
      <w:r w:rsidR="003A1950">
        <w:rPr>
          <w:lang w:val="en-GB" w:eastAsia="zh-CN"/>
        </w:rPr>
        <w:t>3.1.1.1</w:t>
      </w:r>
      <w:r w:rsidR="003A1950">
        <w:rPr>
          <w:lang w:val="en-GB" w:eastAsia="zh-CN"/>
        </w:rPr>
        <w:fldChar w:fldCharType="end"/>
      </w:r>
      <w:r w:rsidR="00170CC8">
        <w:rPr>
          <w:lang w:val="en-GB" w:eastAsia="zh-CN"/>
        </w:rPr>
        <w:t xml:space="preserve">). Since the same DAI or ESC is potentially transmitted multiple times </w:t>
      </w:r>
      <w:r w:rsidR="000D3897">
        <w:rPr>
          <w:lang w:val="en-GB" w:eastAsia="zh-CN"/>
        </w:rPr>
        <w:t xml:space="preserve">(DCIs of all DL assignments in the same </w:t>
      </w:r>
      <w:r w:rsidR="006A126F">
        <w:rPr>
          <w:lang w:val="en-GB" w:eastAsia="zh-CN"/>
        </w:rPr>
        <w:t xml:space="preserve">slot </w:t>
      </w:r>
      <w:r w:rsidR="00B01FA8">
        <w:rPr>
          <w:lang w:val="en-GB" w:eastAsia="zh-CN"/>
        </w:rPr>
        <w:t>interval</w:t>
      </w:r>
      <w:r w:rsidR="006A126F">
        <w:rPr>
          <w:lang w:val="en-GB" w:eastAsia="zh-CN"/>
        </w:rPr>
        <w:t xml:space="preserve"> </w:t>
      </w:r>
      <w:r w:rsidR="000D3897">
        <w:rPr>
          <w:lang w:val="en-GB" w:eastAsia="zh-CN"/>
        </w:rPr>
        <w:t xml:space="preserve">carry same DAI or ESC) </w:t>
      </w:r>
      <w:r w:rsidR="00170CC8">
        <w:rPr>
          <w:lang w:val="en-GB" w:eastAsia="zh-CN"/>
        </w:rPr>
        <w:t xml:space="preserve">the </w:t>
      </w:r>
      <w:r w:rsidR="005367BD">
        <w:rPr>
          <w:lang w:val="en-GB" w:eastAsia="zh-CN"/>
        </w:rPr>
        <w:t>likelihood</w:t>
      </w:r>
      <w:r w:rsidR="00170CC8">
        <w:rPr>
          <w:lang w:val="en-GB" w:eastAsia="zh-CN"/>
        </w:rPr>
        <w:t xml:space="preserve"> of error</w:t>
      </w:r>
      <w:r w:rsidR="000D3897">
        <w:rPr>
          <w:lang w:val="en-GB" w:eastAsia="zh-CN"/>
        </w:rPr>
        <w:t>s</w:t>
      </w:r>
      <w:r w:rsidR="00170CC8">
        <w:rPr>
          <w:lang w:val="en-GB" w:eastAsia="zh-CN"/>
        </w:rPr>
        <w:t xml:space="preserve"> due to missed DL assignments decreases. </w:t>
      </w:r>
      <w:r w:rsidR="006A126F">
        <w:rPr>
          <w:lang w:val="en-GB" w:eastAsia="zh-CN"/>
        </w:rPr>
        <w:t>This assumes that the DCI</w:t>
      </w:r>
      <w:r w:rsidR="00B01FA8">
        <w:rPr>
          <w:lang w:val="en-GB" w:eastAsia="zh-CN"/>
        </w:rPr>
        <w:t>s</w:t>
      </w:r>
      <w:r w:rsidR="006A126F">
        <w:rPr>
          <w:lang w:val="en-GB" w:eastAsia="zh-CN"/>
        </w:rPr>
        <w:t xml:space="preserve"> transmitted on the different component carriers are transmitted roughly time aligned (e.g. beginning of a slot) or at least the gNB knows at the beginning of a slot all transmissions that will be scheduled within the slot.</w:t>
      </w:r>
    </w:p>
    <w:p w14:paraId="014F8389" w14:textId="46FD3067" w:rsidR="00CA5B83" w:rsidRDefault="00CA5B83" w:rsidP="00C44578">
      <w:pPr>
        <w:rPr>
          <w:b/>
          <w:i/>
        </w:rPr>
      </w:pPr>
      <w:r w:rsidRPr="00796C9E">
        <w:rPr>
          <w:b/>
          <w:i/>
          <w:lang w:val="en-GB" w:eastAsia="zh-CN"/>
        </w:rPr>
        <w:t>Proposal</w:t>
      </w:r>
      <w:r w:rsidR="00132A5E">
        <w:rPr>
          <w:b/>
          <w:i/>
          <w:lang w:val="en-GB" w:eastAsia="zh-CN"/>
        </w:rPr>
        <w:t xml:space="preserve"> 4</w:t>
      </w:r>
      <w:r w:rsidRPr="00796C9E">
        <w:rPr>
          <w:b/>
          <w:i/>
          <w:lang w:val="en-GB" w:eastAsia="zh-CN"/>
        </w:rPr>
        <w:t xml:space="preserve">: Support fixed (fixed in component carrier dimension, dynamic in time dimension) </w:t>
      </w:r>
      <w:r w:rsidRPr="00796C9E">
        <w:rPr>
          <w:b/>
          <w:i/>
        </w:rPr>
        <w:t xml:space="preserve">HARQ codebook for </w:t>
      </w:r>
      <w:r w:rsidR="000D3897">
        <w:rPr>
          <w:b/>
          <w:i/>
        </w:rPr>
        <w:t>carrier aggregation</w:t>
      </w:r>
      <w:r w:rsidRPr="00796C9E">
        <w:rPr>
          <w:b/>
          <w:i/>
        </w:rPr>
        <w:t xml:space="preserve"> with </w:t>
      </w:r>
      <w:r w:rsidR="006A126F">
        <w:rPr>
          <w:b/>
          <w:i/>
        </w:rPr>
        <w:t>at most one DL assignment</w:t>
      </w:r>
      <w:r w:rsidR="00EA7703">
        <w:rPr>
          <w:b/>
          <w:i/>
        </w:rPr>
        <w:t xml:space="preserve"> per slot interval</w:t>
      </w:r>
      <w:r w:rsidRPr="00796C9E">
        <w:rPr>
          <w:b/>
          <w:i/>
        </w:rPr>
        <w:t xml:space="preserve"> </w:t>
      </w:r>
      <w:r w:rsidR="00EA7703">
        <w:rPr>
          <w:b/>
          <w:i/>
        </w:rPr>
        <w:t>and</w:t>
      </w:r>
      <w:r w:rsidRPr="00796C9E">
        <w:rPr>
          <w:b/>
          <w:i/>
        </w:rPr>
        <w:t xml:space="preserve"> component carrier. </w:t>
      </w:r>
      <w:r w:rsidR="00EA2530">
        <w:rPr>
          <w:b/>
          <w:i/>
        </w:rPr>
        <w:t xml:space="preserve">For each </w:t>
      </w:r>
      <w:r w:rsidR="00EA7703">
        <w:rPr>
          <w:b/>
          <w:i/>
        </w:rPr>
        <w:t xml:space="preserve">slot interval </w:t>
      </w:r>
      <w:r w:rsidR="00EA2530">
        <w:rPr>
          <w:b/>
          <w:i/>
        </w:rPr>
        <w:t xml:space="preserve">where at least one </w:t>
      </w:r>
      <w:r w:rsidR="00E75639">
        <w:rPr>
          <w:b/>
          <w:i/>
        </w:rPr>
        <w:t xml:space="preserve">DCI scheduling a </w:t>
      </w:r>
      <w:r w:rsidR="00EA2530">
        <w:rPr>
          <w:b/>
          <w:i/>
        </w:rPr>
        <w:t>DL assignment is detected</w:t>
      </w:r>
      <w:r w:rsidR="00EA7703">
        <w:rPr>
          <w:b/>
          <w:i/>
        </w:rPr>
        <w:t xml:space="preserve"> (on any component carrier)</w:t>
      </w:r>
      <w:r w:rsidR="00EA2530">
        <w:rPr>
          <w:b/>
          <w:i/>
        </w:rPr>
        <w:t xml:space="preserve">, the HARQ codebook entry is a bitmap which size is given by the configured number of </w:t>
      </w:r>
      <w:r w:rsidR="000D3897">
        <w:rPr>
          <w:b/>
          <w:i/>
        </w:rPr>
        <w:t>component carriers</w:t>
      </w:r>
      <w:r w:rsidR="00EA2530">
        <w:rPr>
          <w:b/>
          <w:i/>
        </w:rPr>
        <w:t xml:space="preserve"> and </w:t>
      </w:r>
      <w:r w:rsidR="00347D13">
        <w:rPr>
          <w:b/>
          <w:i/>
        </w:rPr>
        <w:t>configured number of transport blocks on a component carrier</w:t>
      </w:r>
      <w:r w:rsidR="00EA2530">
        <w:rPr>
          <w:b/>
          <w:i/>
        </w:rPr>
        <w:t>.</w:t>
      </w:r>
      <w:r w:rsidR="00347D13">
        <w:rPr>
          <w:b/>
          <w:i/>
        </w:rPr>
        <w:t xml:space="preserve"> The same </w:t>
      </w:r>
      <w:r w:rsidR="00E75639">
        <w:rPr>
          <w:b/>
          <w:i/>
        </w:rPr>
        <w:t xml:space="preserve">counter </w:t>
      </w:r>
      <w:r w:rsidR="00347D13">
        <w:rPr>
          <w:b/>
          <w:i/>
        </w:rPr>
        <w:t xml:space="preserve">DAI value is inserted in all DCIs in a </w:t>
      </w:r>
      <w:r w:rsidR="00EA7703">
        <w:rPr>
          <w:b/>
          <w:i/>
        </w:rPr>
        <w:t xml:space="preserve">slot interval </w:t>
      </w:r>
      <w:r w:rsidR="00347D13">
        <w:rPr>
          <w:b/>
          <w:i/>
        </w:rPr>
        <w:t>scheduling a DL assignment (for one PUCCH).</w:t>
      </w:r>
    </w:p>
    <w:p w14:paraId="7A76F4EE" w14:textId="405D20B7" w:rsidR="00CA5B83" w:rsidRDefault="00CA5B83" w:rsidP="00594551">
      <w:pPr>
        <w:pStyle w:val="Heading5"/>
      </w:pPr>
      <w:r>
        <w:t>Dynamic HARQ codebook</w:t>
      </w:r>
    </w:p>
    <w:p w14:paraId="4160403C" w14:textId="5BD8D41A" w:rsidR="009C1BA6" w:rsidRDefault="009C1BA6" w:rsidP="009C1BA6">
      <w:pPr>
        <w:rPr>
          <w:lang w:val="en-GB" w:eastAsia="zh-CN"/>
        </w:rPr>
      </w:pPr>
      <w:r>
        <w:rPr>
          <w:lang w:val="en-GB" w:eastAsia="zh-CN"/>
        </w:rPr>
        <w:t xml:space="preserve">It has been agreed in RAN1 #90bis </w:t>
      </w:r>
      <w:r>
        <w:rPr>
          <w:lang w:val="en-GB" w:eastAsia="zh-CN"/>
        </w:rPr>
        <w:fldChar w:fldCharType="begin"/>
      </w:r>
      <w:r>
        <w:rPr>
          <w:lang w:val="en-GB" w:eastAsia="zh-CN"/>
        </w:rPr>
        <w:instrText xml:space="preserve"> REF _Ref497724196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to support a dynamic HARQ codebook for carrier aggregation. In case of </w:t>
      </w:r>
      <w:r w:rsidR="00EA7703">
        <w:rPr>
          <w:lang w:val="en-GB" w:eastAsia="zh-CN"/>
        </w:rPr>
        <w:t>at most one DL assignment per slot interval and</w:t>
      </w:r>
      <w:r>
        <w:rPr>
          <w:lang w:val="en-GB" w:eastAsia="zh-CN"/>
        </w:rPr>
        <w:t xml:space="preserve"> component carrier we think the counter/total DAI mechanism from LTE Rel-13 is sufficient.</w:t>
      </w:r>
    </w:p>
    <w:p w14:paraId="4FBCE51F" w14:textId="5798F4B6" w:rsidR="00CA5B83" w:rsidRPr="00796C9E" w:rsidRDefault="00CA5B83" w:rsidP="00CA5B83">
      <w:pPr>
        <w:rPr>
          <w:b/>
          <w:i/>
        </w:rPr>
      </w:pPr>
      <w:r w:rsidRPr="00796C9E">
        <w:rPr>
          <w:b/>
          <w:i/>
          <w:lang w:val="en-GB" w:eastAsia="zh-CN"/>
        </w:rPr>
        <w:t>Proposal</w:t>
      </w:r>
      <w:r w:rsidR="00B77902">
        <w:rPr>
          <w:b/>
          <w:i/>
          <w:lang w:val="en-GB" w:eastAsia="zh-CN"/>
        </w:rPr>
        <w:t xml:space="preserve"> 5</w:t>
      </w:r>
      <w:r w:rsidRPr="00796C9E">
        <w:rPr>
          <w:b/>
          <w:i/>
          <w:lang w:val="en-GB" w:eastAsia="zh-CN"/>
        </w:rPr>
        <w:t xml:space="preserve">: </w:t>
      </w:r>
      <w:r w:rsidR="00347D13">
        <w:rPr>
          <w:b/>
          <w:i/>
        </w:rPr>
        <w:t>For</w:t>
      </w:r>
      <w:r w:rsidRPr="00796C9E">
        <w:rPr>
          <w:b/>
          <w:i/>
        </w:rPr>
        <w:t xml:space="preserve"> dynamic (dynamic in both component carrier and time dimension) HARQ codebook for </w:t>
      </w:r>
      <w:r w:rsidR="000D3897">
        <w:rPr>
          <w:b/>
          <w:i/>
        </w:rPr>
        <w:t>carrier aggregation</w:t>
      </w:r>
      <w:r w:rsidRPr="00796C9E">
        <w:rPr>
          <w:b/>
          <w:i/>
        </w:rPr>
        <w:t xml:space="preserve"> with </w:t>
      </w:r>
      <w:r w:rsidR="00EA7703">
        <w:rPr>
          <w:b/>
          <w:i/>
        </w:rPr>
        <w:t xml:space="preserve">at most one DL assignment per slot interval and </w:t>
      </w:r>
      <w:r w:rsidR="00347D13">
        <w:rPr>
          <w:b/>
          <w:i/>
        </w:rPr>
        <w:t>component carrier:</w:t>
      </w:r>
      <w:r w:rsidRPr="00796C9E">
        <w:rPr>
          <w:b/>
          <w:i/>
        </w:rPr>
        <w:t xml:space="preserve"> Re-use counter/total DAI mechanism from LTE feCA.</w:t>
      </w:r>
    </w:p>
    <w:p w14:paraId="1B723487" w14:textId="78B3F6E6" w:rsidR="00CA5B83" w:rsidRDefault="006A126F" w:rsidP="00594551">
      <w:pPr>
        <w:pStyle w:val="Heading4"/>
      </w:pPr>
      <w:r>
        <w:t>Multiple DL assignments per slot</w:t>
      </w:r>
      <w:r w:rsidR="00EA7703">
        <w:t xml:space="preserve"> interval</w:t>
      </w:r>
    </w:p>
    <w:p w14:paraId="74315802" w14:textId="78FBEE64" w:rsidR="00594166" w:rsidRDefault="00594166" w:rsidP="00594551">
      <w:pPr>
        <w:pStyle w:val="Heading5"/>
      </w:pPr>
      <w:r>
        <w:t>Fixed HARQ codebook</w:t>
      </w:r>
    </w:p>
    <w:p w14:paraId="07761A07" w14:textId="61509334" w:rsidR="008F0BA6" w:rsidRDefault="006A126F" w:rsidP="00CA5B83">
      <w:pPr>
        <w:rPr>
          <w:lang w:val="en-GB" w:eastAsia="zh-CN"/>
        </w:rPr>
      </w:pPr>
      <w:r>
        <w:rPr>
          <w:lang w:val="en-GB" w:eastAsia="zh-CN"/>
        </w:rPr>
        <w:t xml:space="preserve">If multiple PDCCH opportunities </w:t>
      </w:r>
      <w:r w:rsidR="00B01FA8">
        <w:rPr>
          <w:lang w:val="en-GB" w:eastAsia="zh-CN"/>
        </w:rPr>
        <w:t xml:space="preserve">for DL assignments </w:t>
      </w:r>
      <w:r w:rsidR="00E010B9">
        <w:rPr>
          <w:lang w:val="en-GB" w:eastAsia="zh-CN"/>
        </w:rPr>
        <w:t>are</w:t>
      </w:r>
      <w:r>
        <w:rPr>
          <w:lang w:val="en-GB" w:eastAsia="zh-CN"/>
        </w:rPr>
        <w:t xml:space="preserve"> configured per slot </w:t>
      </w:r>
      <w:r w:rsidR="00EA7703">
        <w:rPr>
          <w:lang w:val="en-GB" w:eastAsia="zh-CN"/>
        </w:rPr>
        <w:t>interval</w:t>
      </w:r>
      <w:r w:rsidR="00B01FA8">
        <w:rPr>
          <w:lang w:val="en-GB" w:eastAsia="zh-CN"/>
        </w:rPr>
        <w:t xml:space="preserve"> </w:t>
      </w:r>
      <w:r>
        <w:rPr>
          <w:lang w:val="en-GB" w:eastAsia="zh-CN"/>
        </w:rPr>
        <w:t xml:space="preserve">(e.g. for non-slot-based transmission) </w:t>
      </w:r>
      <w:r w:rsidR="00CA5B83">
        <w:rPr>
          <w:lang w:val="en-GB" w:eastAsia="zh-CN"/>
        </w:rPr>
        <w:t xml:space="preserve">a PDCCH </w:t>
      </w:r>
      <w:r w:rsidR="00796C9E">
        <w:rPr>
          <w:lang w:val="en-GB" w:eastAsia="zh-CN"/>
        </w:rPr>
        <w:t xml:space="preserve">occurrence on one component carrier does not necessarily overlap with PDCCH occurrences on other component carriers. To insert for </w:t>
      </w:r>
      <w:r w:rsidR="00E010B9">
        <w:rPr>
          <w:lang w:val="en-GB" w:eastAsia="zh-CN"/>
        </w:rPr>
        <w:t>a</w:t>
      </w:r>
      <w:r w:rsidR="00E010B9">
        <w:rPr>
          <w:lang w:val="en-GB" w:eastAsia="zh-CN"/>
        </w:rPr>
        <w:t xml:space="preserve"> </w:t>
      </w:r>
      <w:r w:rsidR="00796C9E">
        <w:rPr>
          <w:lang w:val="en-GB" w:eastAsia="zh-CN"/>
        </w:rPr>
        <w:t xml:space="preserve">detected </w:t>
      </w:r>
      <w:r w:rsidR="00151725">
        <w:rPr>
          <w:lang w:val="en-GB" w:eastAsia="zh-CN"/>
        </w:rPr>
        <w:t>DL assignment</w:t>
      </w:r>
      <w:r w:rsidR="00796C9E">
        <w:rPr>
          <w:lang w:val="en-GB" w:eastAsia="zh-CN"/>
        </w:rPr>
        <w:t xml:space="preserve"> a bitmap accord</w:t>
      </w:r>
      <w:r w:rsidR="008F0BA6">
        <w:rPr>
          <w:lang w:val="en-GB" w:eastAsia="zh-CN"/>
        </w:rPr>
        <w:t>ing to the number of configured</w:t>
      </w:r>
      <w:r w:rsidR="00796C9E">
        <w:rPr>
          <w:lang w:val="en-GB" w:eastAsia="zh-CN"/>
        </w:rPr>
        <w:t xml:space="preserve"> component carriers is therefore grossly overdone since not even PDCCH opportunities might exist on other component carriers. </w:t>
      </w:r>
      <w:r w:rsidR="009618B2">
        <w:rPr>
          <w:lang w:val="en-GB" w:eastAsia="zh-CN"/>
        </w:rPr>
        <w:t>Alternatively</w:t>
      </w:r>
      <w:r w:rsidR="00151725">
        <w:rPr>
          <w:lang w:val="en-GB" w:eastAsia="zh-CN"/>
        </w:rPr>
        <w:t>,</w:t>
      </w:r>
      <w:r w:rsidR="009618B2">
        <w:rPr>
          <w:lang w:val="en-GB" w:eastAsia="zh-CN"/>
        </w:rPr>
        <w:t xml:space="preserve"> a bitmap with the number of configured PDCCH occurrences can be inserted at each PDCCH time (when at least one </w:t>
      </w:r>
      <w:r w:rsidR="00D033AF">
        <w:rPr>
          <w:lang w:val="en-GB" w:eastAsia="zh-CN"/>
        </w:rPr>
        <w:t xml:space="preserve">DL </w:t>
      </w:r>
      <w:r w:rsidR="008F0BA6">
        <w:rPr>
          <w:lang w:val="en-GB" w:eastAsia="zh-CN"/>
        </w:rPr>
        <w:t>assignment</w:t>
      </w:r>
      <w:r w:rsidR="009618B2">
        <w:rPr>
          <w:lang w:val="en-GB" w:eastAsia="zh-CN"/>
        </w:rPr>
        <w:t xml:space="preserve"> has been detected), however, this number would be time-varying resulting in a complex solution. </w:t>
      </w:r>
    </w:p>
    <w:p w14:paraId="6D3F1290" w14:textId="6B2C1CD0" w:rsidR="008F0BA6" w:rsidRDefault="008F0BA6" w:rsidP="00CA5B83">
      <w:pPr>
        <w:rPr>
          <w:lang w:val="en-GB" w:eastAsia="zh-CN"/>
        </w:rPr>
      </w:pPr>
      <w:r>
        <w:rPr>
          <w:lang w:val="en-GB" w:eastAsia="zh-CN"/>
        </w:rPr>
        <w:t xml:space="preserve">Another possibility would be to generalize Option 2 from Section </w:t>
      </w:r>
      <w:r>
        <w:rPr>
          <w:lang w:val="en-GB" w:eastAsia="zh-CN"/>
        </w:rPr>
        <w:fldChar w:fldCharType="begin"/>
      </w:r>
      <w:r>
        <w:rPr>
          <w:lang w:val="en-GB" w:eastAsia="zh-CN"/>
        </w:rPr>
        <w:instrText xml:space="preserve"> REF _Ref497737418 \r \h </w:instrText>
      </w:r>
      <w:r>
        <w:rPr>
          <w:lang w:val="en-GB" w:eastAsia="zh-CN"/>
        </w:rPr>
      </w:r>
      <w:r>
        <w:rPr>
          <w:lang w:val="en-GB" w:eastAsia="zh-CN"/>
        </w:rPr>
        <w:fldChar w:fldCharType="separate"/>
      </w:r>
      <w:r>
        <w:rPr>
          <w:lang w:val="en-GB" w:eastAsia="zh-CN"/>
        </w:rPr>
        <w:t>3.1.1.2</w:t>
      </w:r>
      <w:r>
        <w:rPr>
          <w:lang w:val="en-GB" w:eastAsia="zh-CN"/>
        </w:rPr>
        <w:fldChar w:fldCharType="end"/>
      </w:r>
      <w:r>
        <w:rPr>
          <w:lang w:val="en-GB" w:eastAsia="zh-CN"/>
        </w:rPr>
        <w:t xml:space="preserve"> to carrier aggregation. Since entries are based on HARQ processes</w:t>
      </w:r>
      <w:r w:rsidR="00EA7703">
        <w:rPr>
          <w:lang w:val="en-GB" w:eastAsia="zh-CN"/>
        </w:rPr>
        <w:t xml:space="preserve"> ID multiplexing of HARQ feedback from</w:t>
      </w:r>
      <w:r>
        <w:rPr>
          <w:lang w:val="en-GB" w:eastAsia="zh-CN"/>
        </w:rPr>
        <w:t xml:space="preserve"> </w:t>
      </w:r>
      <w:r w:rsidR="00EA7703">
        <w:rPr>
          <w:lang w:val="en-GB" w:eastAsia="zh-CN"/>
        </w:rPr>
        <w:t xml:space="preserve">multiple DL assignments per slot interval and component carrier </w:t>
      </w:r>
      <w:r>
        <w:rPr>
          <w:lang w:val="en-GB" w:eastAsia="zh-CN"/>
        </w:rPr>
        <w:t xml:space="preserve">is simple as long as transmissions </w:t>
      </w:r>
      <w:r w:rsidR="00EA7703">
        <w:rPr>
          <w:lang w:val="en-GB" w:eastAsia="zh-CN"/>
        </w:rPr>
        <w:t>use different HARQ processes</w:t>
      </w:r>
      <w:r>
        <w:rPr>
          <w:lang w:val="en-GB" w:eastAsia="zh-CN"/>
        </w:rPr>
        <w:t xml:space="preserve">. However, as stated earlier, the resulting HARQ codebook will typically be very large. </w:t>
      </w:r>
    </w:p>
    <w:p w14:paraId="0F0531E5" w14:textId="7624BEBD" w:rsidR="00CA5B83" w:rsidRDefault="009618B2" w:rsidP="00CA5B83">
      <w:pPr>
        <w:rPr>
          <w:lang w:val="en-GB" w:eastAsia="zh-CN"/>
        </w:rPr>
      </w:pPr>
      <w:r>
        <w:rPr>
          <w:lang w:val="en-GB" w:eastAsia="zh-CN"/>
        </w:rPr>
        <w:t>A</w:t>
      </w:r>
      <w:r w:rsidR="00796C9E">
        <w:rPr>
          <w:lang w:val="en-GB" w:eastAsia="zh-CN"/>
        </w:rPr>
        <w:t xml:space="preserve"> fixed codebook </w:t>
      </w:r>
      <w:r w:rsidR="00EA7703">
        <w:rPr>
          <w:lang w:val="en-GB" w:eastAsia="zh-CN"/>
        </w:rPr>
        <w:t xml:space="preserve">allowing multiple DL assignments per slot interval and component carrier </w:t>
      </w:r>
      <w:r w:rsidR="00796C9E">
        <w:rPr>
          <w:lang w:val="en-GB" w:eastAsia="zh-CN"/>
        </w:rPr>
        <w:t>seems therefore not desirable.</w:t>
      </w:r>
    </w:p>
    <w:p w14:paraId="2B40AA78" w14:textId="2D32B8D3" w:rsidR="00796C9E" w:rsidRPr="00796C9E" w:rsidRDefault="00796C9E" w:rsidP="00796C9E">
      <w:pPr>
        <w:rPr>
          <w:b/>
          <w:i/>
        </w:rPr>
      </w:pPr>
      <w:r w:rsidRPr="00796C9E">
        <w:rPr>
          <w:b/>
          <w:i/>
          <w:lang w:val="en-GB" w:eastAsia="zh-CN"/>
        </w:rPr>
        <w:t>Proposal</w:t>
      </w:r>
      <w:r w:rsidR="00B77902">
        <w:rPr>
          <w:b/>
          <w:i/>
          <w:lang w:val="en-GB" w:eastAsia="zh-CN"/>
        </w:rPr>
        <w:t xml:space="preserve"> 6</w:t>
      </w:r>
      <w:r w:rsidRPr="00796C9E">
        <w:rPr>
          <w:b/>
          <w:i/>
          <w:lang w:val="en-GB" w:eastAsia="zh-CN"/>
        </w:rPr>
        <w:t xml:space="preserve">: </w:t>
      </w:r>
      <w:r w:rsidR="00EA7703">
        <w:rPr>
          <w:b/>
          <w:i/>
          <w:lang w:val="en-GB" w:eastAsia="zh-CN"/>
        </w:rPr>
        <w:t xml:space="preserve">For </w:t>
      </w:r>
      <w:r w:rsidRPr="00796C9E">
        <w:rPr>
          <w:b/>
          <w:i/>
          <w:lang w:val="en-GB" w:eastAsia="zh-CN"/>
        </w:rPr>
        <w:t>fixed (fixed in component carrier dimension</w:t>
      </w:r>
      <w:r w:rsidR="00B01FA8">
        <w:rPr>
          <w:b/>
          <w:i/>
          <w:lang w:val="en-GB" w:eastAsia="zh-CN"/>
        </w:rPr>
        <w:t>, dynamic in time dimension</w:t>
      </w:r>
      <w:r w:rsidR="008F0BA6">
        <w:rPr>
          <w:b/>
          <w:i/>
          <w:lang w:val="en-GB" w:eastAsia="zh-CN"/>
        </w:rPr>
        <w:t>)</w:t>
      </w:r>
      <w:r w:rsidRPr="00796C9E">
        <w:rPr>
          <w:b/>
          <w:i/>
          <w:lang w:val="en-GB" w:eastAsia="zh-CN"/>
        </w:rPr>
        <w:t xml:space="preserve"> </w:t>
      </w:r>
      <w:r w:rsidRPr="00796C9E">
        <w:rPr>
          <w:b/>
          <w:i/>
        </w:rPr>
        <w:t xml:space="preserve">HARQ codebook for </w:t>
      </w:r>
      <w:r w:rsidR="008F0BA6">
        <w:rPr>
          <w:b/>
          <w:i/>
        </w:rPr>
        <w:t>carrier aggregation</w:t>
      </w:r>
      <w:r w:rsidR="00EA7703">
        <w:rPr>
          <w:b/>
          <w:i/>
        </w:rPr>
        <w:t xml:space="preserve"> with multiple configured PDCCH opportunities for DL assignments per slot interval and component carrier, limit number of DL assignments that can be scheduled per slot interval and component carrier to one.</w:t>
      </w:r>
      <w:r w:rsidRPr="00796C9E">
        <w:rPr>
          <w:b/>
          <w:i/>
        </w:rPr>
        <w:t xml:space="preserve"> </w:t>
      </w:r>
    </w:p>
    <w:p w14:paraId="1C898DFE" w14:textId="3BFAC01A" w:rsidR="00796C9E" w:rsidRDefault="00594166" w:rsidP="00594551">
      <w:pPr>
        <w:pStyle w:val="Heading5"/>
      </w:pPr>
      <w:r>
        <w:lastRenderedPageBreak/>
        <w:t>Dynamic HARQ codebook</w:t>
      </w:r>
    </w:p>
    <w:p w14:paraId="69245DCB" w14:textId="7E3FE64A" w:rsidR="00594166" w:rsidRDefault="00594166" w:rsidP="00594166">
      <w:r w:rsidRPr="00347D13">
        <w:fldChar w:fldCharType="begin"/>
      </w:r>
      <w:r w:rsidRPr="00347D13">
        <w:instrText xml:space="preserve"> REF _Ref490124875 \h  \* MERGEFORMAT </w:instrText>
      </w:r>
      <w:r w:rsidRPr="00347D13">
        <w:fldChar w:fldCharType="separate"/>
      </w:r>
      <w:r w:rsidR="008F0BA6" w:rsidRPr="00347D13">
        <w:rPr>
          <w:bCs/>
        </w:rPr>
        <w:fldChar w:fldCharType="begin"/>
      </w:r>
      <w:r w:rsidR="008F0BA6" w:rsidRPr="00347D13">
        <w:instrText xml:space="preserve"> REF _Ref497902700 \h </w:instrText>
      </w:r>
      <w:r w:rsidR="00347D13" w:rsidRPr="00347D13">
        <w:rPr>
          <w:bCs/>
        </w:rPr>
        <w:instrText xml:space="preserve"> \* MERGEFORMAT </w:instrText>
      </w:r>
      <w:r w:rsidR="008F0BA6" w:rsidRPr="00347D13">
        <w:rPr>
          <w:bCs/>
        </w:rPr>
      </w:r>
      <w:r w:rsidR="008F0BA6" w:rsidRPr="00347D13">
        <w:rPr>
          <w:bCs/>
        </w:rPr>
        <w:fldChar w:fldCharType="separate"/>
      </w:r>
      <w:r w:rsidR="008F0BA6" w:rsidRPr="00347D13">
        <w:t xml:space="preserve">Figure </w:t>
      </w:r>
      <w:r w:rsidR="008F0BA6" w:rsidRPr="00347D13">
        <w:rPr>
          <w:noProof/>
        </w:rPr>
        <w:t>5</w:t>
      </w:r>
      <w:r w:rsidR="008F0BA6" w:rsidRPr="00347D13">
        <w:rPr>
          <w:bCs/>
        </w:rPr>
        <w:fldChar w:fldCharType="end"/>
      </w:r>
      <w:r w:rsidRPr="00347D13">
        <w:fldChar w:fldCharType="end"/>
      </w:r>
      <w:r w:rsidRPr="00347D13">
        <w:t xml:space="preserve"> </w:t>
      </w:r>
      <w:r w:rsidR="00D0776E" w:rsidRPr="00347D13">
        <w:t>applies</w:t>
      </w:r>
      <w:r w:rsidR="00D0776E">
        <w:t xml:space="preserve"> the dynamic HARQ codebook using counter/total DAI mechanism to the case where component carriers </w:t>
      </w:r>
      <w:r w:rsidR="00EA7703">
        <w:t>are configured with multiple PDCCH opportunities for DL assignments per slot interval</w:t>
      </w:r>
      <w:r w:rsidR="00D0776E">
        <w:t>. In this example three component carriers are aggregated.</w:t>
      </w:r>
      <w:r>
        <w:t xml:space="preserve"> At each PDCCH </w:t>
      </w:r>
      <w:r w:rsidR="00D0776E">
        <w:t>time</w:t>
      </w:r>
      <w:r>
        <w:t xml:space="preserve">, the total DAI is set to the total number of scheduled DL assignments including this PDCCH time. </w:t>
      </w:r>
      <w:r w:rsidR="00D0776E">
        <w:t xml:space="preserve">Most important for successful HARQ codebook decoding is the total DAI, if this number is wrong the decoding will </w:t>
      </w:r>
      <w:r w:rsidR="009757D3">
        <w:t xml:space="preserve">likely </w:t>
      </w:r>
      <w:r w:rsidR="00D0776E">
        <w:t xml:space="preserve">fail. If the UE misses the </w:t>
      </w:r>
      <w:r w:rsidR="008F0BA6">
        <w:t xml:space="preserve">middle </w:t>
      </w:r>
      <w:r w:rsidR="00D0776E">
        <w:t>green PDCCH with DAI (3,3) and the blue PDCCH with DAI (</w:t>
      </w:r>
      <w:r w:rsidR="00D3299B">
        <w:t>4</w:t>
      </w:r>
      <w:r w:rsidR="00D0776E">
        <w:t>,</w:t>
      </w:r>
      <w:r w:rsidR="00D3299B">
        <w:t>4</w:t>
      </w:r>
      <w:r w:rsidR="00D0776E">
        <w:t>) but receives the blue PDCCH with DAI (</w:t>
      </w:r>
      <w:r w:rsidR="00D3299B">
        <w:t>5</w:t>
      </w:r>
      <w:r w:rsidR="00D0776E">
        <w:t>,</w:t>
      </w:r>
      <w:r w:rsidR="00D3299B">
        <w:t>6</w:t>
      </w:r>
      <w:r w:rsidR="00D0776E">
        <w:t>) it can reconstruct the total HARQ codebook length and determine that it missed two PDCCH assignments.</w:t>
      </w:r>
      <w:r w:rsidR="009757D3">
        <w:t xml:space="preserve"> However, if the UE misses the </w:t>
      </w:r>
      <w:r w:rsidR="00CF476F">
        <w:t>last</w:t>
      </w:r>
      <w:r w:rsidR="009757D3">
        <w:t xml:space="preserve"> green PDCCH with DAI (</w:t>
      </w:r>
      <w:r w:rsidR="00D3299B">
        <w:t>7</w:t>
      </w:r>
      <w:r w:rsidR="009757D3">
        <w:t>,</w:t>
      </w:r>
      <w:r w:rsidR="00D3299B">
        <w:t>7</w:t>
      </w:r>
      <w:r w:rsidR="009757D3">
        <w:t xml:space="preserve">) it assumes a wrong HARQ codebook size and decoding likely fails. Even in case of </w:t>
      </w:r>
      <w:r w:rsidR="00EA7703">
        <w:t>time aligned PDCCH opportunities</w:t>
      </w:r>
      <w:r w:rsidR="009757D3">
        <w:t xml:space="preserve"> across component carriers the same problem exists but the likelihood that the highest total DAI is transmitted multiple times (and thus the likelihood that UE receives total DAI at least once) is higher if PDCCH occurrences are aligned than with unaligned PDCCH occurrences. To counteract this effect the scheduler can use a higher CCE aggregation level when transmitting the </w:t>
      </w:r>
      <w:r w:rsidR="00CF476F">
        <w:t>last</w:t>
      </w:r>
      <w:r w:rsidR="009757D3">
        <w:t xml:space="preserve"> DCI.  </w:t>
      </w:r>
    </w:p>
    <w:p w14:paraId="063A02CC" w14:textId="61E43D7D" w:rsidR="00A27C3D" w:rsidRDefault="00A27C3D" w:rsidP="003C1F44">
      <w:pPr>
        <w:jc w:val="center"/>
      </w:pPr>
      <w:r>
        <w:rPr>
          <w:noProof/>
        </w:rPr>
        <w:drawing>
          <wp:anchor distT="0" distB="0" distL="114300" distR="114300" simplePos="0" relativeHeight="251658240" behindDoc="0" locked="0" layoutInCell="1" allowOverlap="1" wp14:anchorId="73C41FF1" wp14:editId="18647B8B">
            <wp:simplePos x="0" y="0"/>
            <wp:positionH relativeFrom="column">
              <wp:posOffset>0</wp:posOffset>
            </wp:positionH>
            <wp:positionV relativeFrom="paragraph">
              <wp:posOffset>289560</wp:posOffset>
            </wp:positionV>
            <wp:extent cx="6559550" cy="19386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59550" cy="1938655"/>
                    </a:xfrm>
                    <a:prstGeom prst="rect">
                      <a:avLst/>
                    </a:prstGeom>
                    <a:noFill/>
                  </pic:spPr>
                </pic:pic>
              </a:graphicData>
            </a:graphic>
            <wp14:sizeRelH relativeFrom="page">
              <wp14:pctWidth>0</wp14:pctWidth>
            </wp14:sizeRelH>
            <wp14:sizeRelV relativeFrom="page">
              <wp14:pctHeight>0</wp14:pctHeight>
            </wp14:sizeRelV>
          </wp:anchor>
        </w:drawing>
      </w:r>
    </w:p>
    <w:p w14:paraId="332F322D" w14:textId="7472A9A7" w:rsidR="00594166" w:rsidRDefault="00594166" w:rsidP="00594166">
      <w:pPr>
        <w:jc w:val="center"/>
      </w:pPr>
    </w:p>
    <w:p w14:paraId="34A4C4BC" w14:textId="2EF0EB30" w:rsidR="00594166" w:rsidRDefault="00594166" w:rsidP="00CF476F">
      <w:pPr>
        <w:jc w:val="center"/>
        <w:rPr>
          <w:b/>
        </w:rPr>
      </w:pPr>
      <w:bookmarkStart w:id="8" w:name="_Ref497902700"/>
      <w:bookmarkStart w:id="9" w:name="_Ref492292965"/>
      <w:r w:rsidRPr="00476E0E">
        <w:rPr>
          <w:b/>
        </w:rPr>
        <w:t xml:space="preserve">Figure </w:t>
      </w:r>
      <w:r w:rsidR="002978B2">
        <w:rPr>
          <w:b/>
        </w:rPr>
        <w:fldChar w:fldCharType="begin"/>
      </w:r>
      <w:r w:rsidR="002978B2">
        <w:rPr>
          <w:b/>
        </w:rPr>
        <w:instrText xml:space="preserve"> SEQ Figure \* ARABIC </w:instrText>
      </w:r>
      <w:r w:rsidR="002978B2">
        <w:rPr>
          <w:b/>
        </w:rPr>
        <w:fldChar w:fldCharType="separate"/>
      </w:r>
      <w:r w:rsidR="002978B2">
        <w:rPr>
          <w:b/>
          <w:noProof/>
        </w:rPr>
        <w:t>5</w:t>
      </w:r>
      <w:r w:rsidR="002978B2">
        <w:rPr>
          <w:b/>
        </w:rPr>
        <w:fldChar w:fldCharType="end"/>
      </w:r>
      <w:bookmarkEnd w:id="8"/>
      <w:r w:rsidR="00CF476F">
        <w:rPr>
          <w:b/>
        </w:rPr>
        <w:t xml:space="preserve">: </w:t>
      </w:r>
      <w:r>
        <w:rPr>
          <w:b/>
        </w:rPr>
        <w:t xml:space="preserve">A UE is configured with three component carriers </w:t>
      </w:r>
      <w:r w:rsidR="00A27C3D">
        <w:rPr>
          <w:b/>
        </w:rPr>
        <w:t xml:space="preserve">and the green and blue component carrier have multiple PDCCH opportunities </w:t>
      </w:r>
      <w:r w:rsidR="00B77902">
        <w:rPr>
          <w:b/>
        </w:rPr>
        <w:t xml:space="preserve">configured </w:t>
      </w:r>
      <w:r w:rsidR="00A27C3D">
        <w:rPr>
          <w:b/>
        </w:rPr>
        <w:t xml:space="preserve">per slot interval. </w:t>
      </w:r>
      <w:r>
        <w:rPr>
          <w:b/>
        </w:rPr>
        <w:t>At each PDCCH time, the total DAI is set to</w:t>
      </w:r>
      <w:r w:rsidRPr="00476E0E">
        <w:rPr>
          <w:b/>
        </w:rPr>
        <w:t xml:space="preserve"> the total number of </w:t>
      </w:r>
      <w:r>
        <w:rPr>
          <w:b/>
        </w:rPr>
        <w:t>scheduled</w:t>
      </w:r>
      <w:r w:rsidRPr="00476E0E">
        <w:rPr>
          <w:b/>
        </w:rPr>
        <w:t xml:space="preserve"> DL assignments including this PDCCH time.</w:t>
      </w:r>
      <w:bookmarkEnd w:id="9"/>
      <w:r w:rsidR="00D3299B">
        <w:rPr>
          <w:b/>
        </w:rPr>
        <w:t xml:space="preserve"> The DAIs are shown prior mod-operation. </w:t>
      </w:r>
    </w:p>
    <w:p w14:paraId="078854FF" w14:textId="63865C33" w:rsidR="007F15FA" w:rsidRDefault="008F0BA6" w:rsidP="008F0BA6">
      <w:r>
        <w:t>To improve robustness</w:t>
      </w:r>
      <w:r w:rsidR="00D3299B">
        <w:t>,</w:t>
      </w:r>
      <w:r>
        <w:t xml:space="preserve"> it can be considered to predictively set the total DAI to a larger value than the highest counter DAI at the current PDCCH time. For example, in the modified </w:t>
      </w:r>
      <w:r w:rsidRPr="007F15FA">
        <w:t xml:space="preserve">example of </w:t>
      </w:r>
      <w:r w:rsidRPr="007F15FA">
        <w:fldChar w:fldCharType="begin"/>
      </w:r>
      <w:r w:rsidRPr="007F15FA">
        <w:instrText xml:space="preserve"> REF _Ref497902700 \h </w:instrText>
      </w:r>
      <w:r w:rsidR="007F15FA" w:rsidRPr="007F15FA">
        <w:instrText xml:space="preserve"> \* MERGEFORMAT </w:instrText>
      </w:r>
      <w:r w:rsidRPr="007F15FA">
        <w:fldChar w:fldCharType="separate"/>
      </w:r>
      <w:r w:rsidRPr="007F15FA">
        <w:t xml:space="preserve">Figure </w:t>
      </w:r>
      <w:r w:rsidRPr="007F15FA">
        <w:rPr>
          <w:noProof/>
        </w:rPr>
        <w:t>5</w:t>
      </w:r>
      <w:r w:rsidRPr="007F15FA">
        <w:fldChar w:fldCharType="end"/>
      </w:r>
      <w:r w:rsidRPr="007F15FA">
        <w:t xml:space="preserve">, shown in </w:t>
      </w:r>
      <w:r w:rsidRPr="007F15FA">
        <w:fldChar w:fldCharType="begin"/>
      </w:r>
      <w:r w:rsidRPr="007F15FA">
        <w:instrText xml:space="preserve"> REF _Ref497903165 \h </w:instrText>
      </w:r>
      <w:r w:rsidR="007F15FA" w:rsidRPr="007F15FA">
        <w:instrText xml:space="preserve"> \* MERGEFORMAT </w:instrText>
      </w:r>
      <w:r w:rsidRPr="007F15FA">
        <w:fldChar w:fldCharType="separate"/>
      </w:r>
      <w:r w:rsidRPr="007F15FA">
        <w:t xml:space="preserve">Figure </w:t>
      </w:r>
      <w:r w:rsidRPr="007F15FA">
        <w:rPr>
          <w:noProof/>
        </w:rPr>
        <w:t>6</w:t>
      </w:r>
      <w:r w:rsidRPr="007F15FA">
        <w:fldChar w:fldCharType="end"/>
      </w:r>
      <w:r w:rsidRPr="007F15FA">
        <w:t xml:space="preserve">, the gNB sets the total DAI field </w:t>
      </w:r>
      <w:r w:rsidR="00100ED1" w:rsidRPr="007F15FA">
        <w:t xml:space="preserve">first to 3. After that the total DAI is </w:t>
      </w:r>
      <w:r w:rsidR="00110BC0" w:rsidRPr="007F15FA">
        <w:t>subse</w:t>
      </w:r>
      <w:r w:rsidR="00110BC0">
        <w:t xml:space="preserve">quently </w:t>
      </w:r>
      <w:r w:rsidR="00100ED1">
        <w:t xml:space="preserve">increased to </w:t>
      </w:r>
      <w:r w:rsidR="00110BC0">
        <w:t xml:space="preserve">5 and 8. The last total DAI 8 is transmitted twice, so even if the last DL assignment is missed the HARQ codebook size can be reconstructed. In this example the gNB did not correctly guess the HARQ codebook size correctly but </w:t>
      </w:r>
      <w:r w:rsidR="008B5610">
        <w:t>overestimated</w:t>
      </w:r>
      <w:r w:rsidR="00110BC0">
        <w:t xml:space="preserve"> </w:t>
      </w:r>
      <w:r w:rsidR="007F15FA">
        <w:t xml:space="preserve">it </w:t>
      </w:r>
      <w:r w:rsidR="00110BC0">
        <w:t>by 1.</w:t>
      </w:r>
      <w:r w:rsidR="008B5610">
        <w:t xml:space="preserve"> </w:t>
      </w:r>
      <w:r w:rsidR="007F15FA">
        <w:t>The UE assumes it missed the DL assignment and sends a NACK. In principal above behavior can already be implemented with LTE feCA counter/total DAI. I</w:t>
      </w:r>
      <w:r w:rsidR="007F15FA" w:rsidRPr="001A1F7F">
        <w:t xml:space="preserve">n </w:t>
      </w:r>
      <w:r w:rsidR="007F15FA" w:rsidRPr="001A1F7F">
        <w:fldChar w:fldCharType="begin"/>
      </w:r>
      <w:r w:rsidR="007F15FA" w:rsidRPr="001A1F7F">
        <w:instrText xml:space="preserve"> REF _Ref497902700 \h </w:instrText>
      </w:r>
      <w:r w:rsidR="001A1F7F" w:rsidRPr="001A1F7F">
        <w:instrText xml:space="preserve"> \* MERGEFORMAT </w:instrText>
      </w:r>
      <w:r w:rsidR="007F15FA" w:rsidRPr="001A1F7F">
        <w:fldChar w:fldCharType="separate"/>
      </w:r>
      <w:r w:rsidR="007F15FA" w:rsidRPr="001A1F7F">
        <w:t xml:space="preserve">Figure </w:t>
      </w:r>
      <w:r w:rsidR="007F15FA" w:rsidRPr="001A1F7F">
        <w:rPr>
          <w:noProof/>
        </w:rPr>
        <w:t>5</w:t>
      </w:r>
      <w:r w:rsidR="007F15FA" w:rsidRPr="001A1F7F">
        <w:fldChar w:fldCharType="end"/>
      </w:r>
      <w:r w:rsidR="007F15FA" w:rsidRPr="001A1F7F">
        <w:t xml:space="preserve"> and </w:t>
      </w:r>
      <w:r w:rsidR="007F15FA" w:rsidRPr="001A1F7F">
        <w:fldChar w:fldCharType="begin"/>
      </w:r>
      <w:r w:rsidR="007F15FA" w:rsidRPr="001A1F7F">
        <w:instrText xml:space="preserve"> REF _Ref497903165 \h </w:instrText>
      </w:r>
      <w:r w:rsidR="001A1F7F" w:rsidRPr="001A1F7F">
        <w:instrText xml:space="preserve"> \* MERGEFORMAT </w:instrText>
      </w:r>
      <w:r w:rsidR="007F15FA" w:rsidRPr="001A1F7F">
        <w:fldChar w:fldCharType="separate"/>
      </w:r>
      <w:r w:rsidR="007F15FA" w:rsidRPr="001A1F7F">
        <w:t xml:space="preserve">Figure </w:t>
      </w:r>
      <w:r w:rsidR="007F15FA" w:rsidRPr="001A1F7F">
        <w:rPr>
          <w:noProof/>
        </w:rPr>
        <w:t>6</w:t>
      </w:r>
      <w:r w:rsidR="007F15FA" w:rsidRPr="001A1F7F">
        <w:fldChar w:fldCharType="end"/>
      </w:r>
      <w:r w:rsidR="007F15FA" w:rsidRPr="001A1F7F">
        <w:t xml:space="preserve"> the DAI</w:t>
      </w:r>
      <w:r w:rsidR="007F15FA">
        <w:t xml:space="preserve">s are shown without modulo-reduction </w:t>
      </w:r>
      <w:r w:rsidR="00C95383">
        <w:t>to</w:t>
      </w:r>
      <w:r w:rsidR="007F15FA">
        <w:t xml:space="preserve"> 2 bit. </w:t>
      </w:r>
      <w:r w:rsidR="001A1F7F">
        <w:t xml:space="preserve">A 2 bit total DAI means the total DAI can be predictively increased by 3 before a wrap around occurs. It could be desirable to increase this range, this can either be achieved by increasing the total DAI bit field width or </w:t>
      </w:r>
      <w:r w:rsidR="00C95383">
        <w:t xml:space="preserve">by </w:t>
      </w:r>
      <w:r w:rsidR="001A1F7F">
        <w:t>maintain</w:t>
      </w:r>
      <w:r w:rsidR="00C95383">
        <w:t>ing</w:t>
      </w:r>
      <w:r w:rsidR="001A1F7F">
        <w:t xml:space="preserve"> its bit width but a total DAI increment 1 increases the HARQ codebook size by a larger unit, e.g. 2. In the latter case the HARQ codebook size would sometimes a bit too large (depends on the HARQ codebook increment size), but this </w:t>
      </w:r>
      <w:r w:rsidR="00B77902">
        <w:t>seems</w:t>
      </w:r>
      <w:r w:rsidR="00B77902">
        <w:t xml:space="preserve"> </w:t>
      </w:r>
      <w:r w:rsidR="001A1F7F">
        <w:t xml:space="preserve">a minor drawback. </w:t>
      </w:r>
    </w:p>
    <w:p w14:paraId="520C9016" w14:textId="78942356" w:rsidR="00A27C3D" w:rsidRDefault="00A27C3D" w:rsidP="003C1F44">
      <w:pPr>
        <w:jc w:val="center"/>
      </w:pPr>
      <w:r>
        <w:rPr>
          <w:noProof/>
        </w:rPr>
        <w:lastRenderedPageBreak/>
        <w:drawing>
          <wp:anchor distT="0" distB="0" distL="114300" distR="114300" simplePos="0" relativeHeight="251659264" behindDoc="0" locked="0" layoutInCell="1" allowOverlap="1" wp14:anchorId="18168783" wp14:editId="64FA7CD7">
            <wp:simplePos x="0" y="0"/>
            <wp:positionH relativeFrom="column">
              <wp:posOffset>0</wp:posOffset>
            </wp:positionH>
            <wp:positionV relativeFrom="paragraph">
              <wp:posOffset>290195</wp:posOffset>
            </wp:positionV>
            <wp:extent cx="6559550" cy="1938655"/>
            <wp:effectExtent l="0" t="0" r="0" b="444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59550" cy="1938655"/>
                    </a:xfrm>
                    <a:prstGeom prst="rect">
                      <a:avLst/>
                    </a:prstGeom>
                    <a:noFill/>
                  </pic:spPr>
                </pic:pic>
              </a:graphicData>
            </a:graphic>
            <wp14:sizeRelH relativeFrom="page">
              <wp14:pctWidth>0</wp14:pctWidth>
            </wp14:sizeRelH>
            <wp14:sizeRelV relativeFrom="page">
              <wp14:pctHeight>0</wp14:pctHeight>
            </wp14:sizeRelV>
          </wp:anchor>
        </w:drawing>
      </w:r>
    </w:p>
    <w:p w14:paraId="0B0BF1F4" w14:textId="12B58AEF" w:rsidR="00507EBD" w:rsidRDefault="00507EBD" w:rsidP="00535A21">
      <w:pPr>
        <w:jc w:val="center"/>
      </w:pPr>
    </w:p>
    <w:p w14:paraId="3235654D" w14:textId="61816118" w:rsidR="008F0BA6" w:rsidRDefault="008F0BA6" w:rsidP="008F0BA6">
      <w:pPr>
        <w:jc w:val="center"/>
        <w:rPr>
          <w:b/>
        </w:rPr>
      </w:pPr>
      <w:bookmarkStart w:id="10" w:name="_Ref497903165"/>
      <w:r w:rsidRPr="00476E0E">
        <w:rPr>
          <w:b/>
        </w:rPr>
        <w:t xml:space="preserve">Figure </w:t>
      </w:r>
      <w:r>
        <w:rPr>
          <w:b/>
        </w:rPr>
        <w:fldChar w:fldCharType="begin"/>
      </w:r>
      <w:r>
        <w:rPr>
          <w:b/>
        </w:rPr>
        <w:instrText xml:space="preserve"> SEQ Figure \* ARABIC </w:instrText>
      </w:r>
      <w:r>
        <w:rPr>
          <w:b/>
        </w:rPr>
        <w:fldChar w:fldCharType="separate"/>
      </w:r>
      <w:r>
        <w:rPr>
          <w:b/>
          <w:noProof/>
        </w:rPr>
        <w:t>6</w:t>
      </w:r>
      <w:r>
        <w:rPr>
          <w:b/>
        </w:rPr>
        <w:fldChar w:fldCharType="end"/>
      </w:r>
      <w:bookmarkEnd w:id="10"/>
      <w:r>
        <w:rPr>
          <w:b/>
        </w:rPr>
        <w:t xml:space="preserve">: </w:t>
      </w:r>
      <w:r w:rsidR="00A27C3D">
        <w:rPr>
          <w:b/>
        </w:rPr>
        <w:t xml:space="preserve">A UE is configured with three component carriers and the green and blue component carrier have multiple PDCCH opportunities </w:t>
      </w:r>
      <w:r w:rsidR="00B77902">
        <w:rPr>
          <w:b/>
        </w:rPr>
        <w:t xml:space="preserve">configured </w:t>
      </w:r>
      <w:r w:rsidR="00A27C3D">
        <w:rPr>
          <w:b/>
        </w:rPr>
        <w:t xml:space="preserve">per slot interval. </w:t>
      </w:r>
      <w:r>
        <w:rPr>
          <w:b/>
        </w:rPr>
        <w:t>The total DAI is set predictively</w:t>
      </w:r>
      <w:r w:rsidR="00C95383">
        <w:rPr>
          <w:b/>
        </w:rPr>
        <w:t xml:space="preserve"> to a </w:t>
      </w:r>
      <w:r>
        <w:rPr>
          <w:b/>
        </w:rPr>
        <w:t>larger value than the highest counter DAI of the current PDCCH time. As a result, the same total value (and especially the last total DAI) is transmitted several times.</w:t>
      </w:r>
      <w:r w:rsidR="00D3299B">
        <w:rPr>
          <w:b/>
        </w:rPr>
        <w:t xml:space="preserve"> The DAIs are shown prior mod-operation.</w:t>
      </w:r>
    </w:p>
    <w:p w14:paraId="0207D8B5" w14:textId="164C4429" w:rsidR="008F0BA6" w:rsidRPr="00C95383" w:rsidRDefault="00C95383" w:rsidP="00C95383">
      <w:pPr>
        <w:pStyle w:val="BodyText"/>
      </w:pPr>
      <w:r>
        <w:t>It has been proposed to independently determine HARQ codebook for slot- and non-slot-based transmissions. We don</w:t>
      </w:r>
      <w:r>
        <w:t>’</w:t>
      </w:r>
      <w:r>
        <w:t xml:space="preserve">t think this simplifies the problem since a HARQ codebook that can handle </w:t>
      </w:r>
      <w:r w:rsidR="00A27C3D">
        <w:t xml:space="preserve">multiple DL assignments per slot interval </w:t>
      </w:r>
      <w:r>
        <w:t>(and such a HARQ codebook is needed) can also handle slot-based transmissions. Further, by indicating different PUCCH for slot- and non-slot-based transmissions the proposed framework enables to split HARQ feedback of slot- and non-slot-based transmissions into two HARQ codebooks.</w:t>
      </w:r>
    </w:p>
    <w:p w14:paraId="1DA867AF" w14:textId="56AF2ACA" w:rsidR="00594166" w:rsidRDefault="009757D3" w:rsidP="00594166">
      <w:pPr>
        <w:rPr>
          <w:b/>
          <w:i/>
        </w:rPr>
      </w:pPr>
      <w:r w:rsidRPr="009757D3">
        <w:rPr>
          <w:b/>
          <w:i/>
          <w:lang w:eastAsia="zh-CN"/>
        </w:rPr>
        <w:t>Proposal</w:t>
      </w:r>
      <w:r w:rsidR="00B77902">
        <w:rPr>
          <w:b/>
          <w:i/>
          <w:lang w:eastAsia="zh-CN"/>
        </w:rPr>
        <w:t xml:space="preserve"> 7</w:t>
      </w:r>
      <w:r w:rsidRPr="009757D3">
        <w:rPr>
          <w:b/>
          <w:i/>
          <w:lang w:eastAsia="zh-CN"/>
        </w:rPr>
        <w:t xml:space="preserve">: </w:t>
      </w:r>
      <w:r w:rsidRPr="009757D3">
        <w:rPr>
          <w:b/>
          <w:i/>
        </w:rPr>
        <w:t xml:space="preserve">Support dynamic (dynamic in both component carrier and time dimension) HARQ codebook </w:t>
      </w:r>
      <w:r w:rsidRPr="00796C9E">
        <w:rPr>
          <w:b/>
          <w:i/>
        </w:rPr>
        <w:t xml:space="preserve">for </w:t>
      </w:r>
      <w:r w:rsidR="00C95383">
        <w:rPr>
          <w:b/>
          <w:i/>
        </w:rPr>
        <w:t>carrier aggregation</w:t>
      </w:r>
      <w:r w:rsidRPr="00796C9E">
        <w:rPr>
          <w:b/>
          <w:i/>
        </w:rPr>
        <w:t xml:space="preserve"> with </w:t>
      </w:r>
      <w:r w:rsidR="00A27C3D">
        <w:rPr>
          <w:b/>
          <w:i/>
        </w:rPr>
        <w:t xml:space="preserve">multiple PDCCH opportunities for DL assignments per slot interval and component </w:t>
      </w:r>
      <w:r>
        <w:rPr>
          <w:b/>
          <w:i/>
        </w:rPr>
        <w:t>carrier</w:t>
      </w:r>
      <w:r w:rsidRPr="009757D3">
        <w:rPr>
          <w:b/>
          <w:i/>
        </w:rPr>
        <w:t>. Re-use counter/total DAI mechanism from LTE feCA.</w:t>
      </w:r>
      <w:r w:rsidR="00C95383">
        <w:rPr>
          <w:b/>
          <w:i/>
        </w:rPr>
        <w:t xml:space="preserve"> Total DAI can predictively </w:t>
      </w:r>
      <w:r w:rsidR="005908B9">
        <w:rPr>
          <w:b/>
          <w:i/>
        </w:rPr>
        <w:t xml:space="preserve">be </w:t>
      </w:r>
      <w:r w:rsidR="00C95383">
        <w:rPr>
          <w:b/>
          <w:i/>
        </w:rPr>
        <w:t xml:space="preserve">set to a larger value than highest counter DAI of current PDCCH time. Consider an increased HARQ codebook </w:t>
      </w:r>
      <w:r w:rsidR="004B35A3">
        <w:rPr>
          <w:b/>
          <w:i/>
        </w:rPr>
        <w:t xml:space="preserve">size </w:t>
      </w:r>
      <w:r w:rsidR="00C95383">
        <w:rPr>
          <w:b/>
          <w:i/>
        </w:rPr>
        <w:t>increment per total DAI increment.</w:t>
      </w:r>
    </w:p>
    <w:p w14:paraId="377D48A8" w14:textId="52A38B34" w:rsidR="00C95383" w:rsidRPr="00C95383" w:rsidRDefault="00C95383" w:rsidP="00594166">
      <w:pPr>
        <w:rPr>
          <w:lang w:eastAsia="zh-CN"/>
        </w:rPr>
      </w:pPr>
      <w:r>
        <w:t>Note that such a HARQ codebook can also handle carrier aggregation with mixed numerology. However, in Rel-15, PDSCH associated with a HARQ c</w:t>
      </w:r>
      <w:r w:rsidR="004B35A3">
        <w:t>odebook are limited to the same</w:t>
      </w:r>
      <w:r>
        <w:t xml:space="preserve"> subcarrier spacing.</w:t>
      </w:r>
    </w:p>
    <w:p w14:paraId="38EC16A2" w14:textId="68EB7CF3" w:rsidR="00594166" w:rsidRDefault="00962CA5" w:rsidP="00594551">
      <w:pPr>
        <w:pStyle w:val="Heading3"/>
      </w:pPr>
      <w:r>
        <w:t xml:space="preserve">No carrier aggregation, </w:t>
      </w:r>
      <w:r w:rsidR="00594166">
        <w:t>with CBG</w:t>
      </w:r>
    </w:p>
    <w:p w14:paraId="2D255477" w14:textId="776E6106" w:rsidR="00962CA5" w:rsidRDefault="00962CA5" w:rsidP="00962CA5">
      <w:pPr>
        <w:rPr>
          <w:lang w:val="en-GB" w:eastAsia="zh-CN"/>
        </w:rPr>
      </w:pPr>
      <w:r>
        <w:rPr>
          <w:lang w:val="en-GB" w:eastAsia="zh-CN"/>
        </w:rPr>
        <w:t xml:space="preserve">The same solution as outlined for the case with no </w:t>
      </w:r>
      <w:r w:rsidR="00E47F28">
        <w:rPr>
          <w:lang w:val="en-GB" w:eastAsia="zh-CN"/>
        </w:rPr>
        <w:t>carrier aggregation</w:t>
      </w:r>
      <w:r w:rsidR="00D776BA">
        <w:rPr>
          <w:lang w:val="en-GB" w:eastAsia="zh-CN"/>
        </w:rPr>
        <w:t xml:space="preserve"> </w:t>
      </w:r>
      <w:r>
        <w:rPr>
          <w:lang w:val="en-GB" w:eastAsia="zh-CN"/>
        </w:rPr>
        <w:t xml:space="preserve">no CBG can be adopted here. Instead of a single or two bits (depending on MIMO configuration) a bitmap of fixed size is inserted for each detected </w:t>
      </w:r>
      <w:r w:rsidR="00585D35">
        <w:rPr>
          <w:lang w:val="en-GB" w:eastAsia="zh-CN"/>
        </w:rPr>
        <w:t>DL assignment</w:t>
      </w:r>
      <w:r>
        <w:rPr>
          <w:lang w:val="en-GB" w:eastAsia="zh-CN"/>
        </w:rPr>
        <w:t xml:space="preserve">. The bitmap size is given by the MIMO configuration and the </w:t>
      </w:r>
      <w:r w:rsidR="00B16428">
        <w:rPr>
          <w:lang w:val="en-GB" w:eastAsia="zh-CN"/>
        </w:rPr>
        <w:t xml:space="preserve">configured </w:t>
      </w:r>
      <w:r>
        <w:rPr>
          <w:lang w:val="en-GB" w:eastAsia="zh-CN"/>
        </w:rPr>
        <w:t>number of</w:t>
      </w:r>
      <w:r w:rsidR="00B16428">
        <w:rPr>
          <w:lang w:val="en-GB" w:eastAsia="zh-CN"/>
        </w:rPr>
        <w:t xml:space="preserve"> CBG</w:t>
      </w:r>
      <w:r>
        <w:rPr>
          <w:lang w:val="en-GB" w:eastAsia="zh-CN"/>
        </w:rPr>
        <w:t xml:space="preserve">. </w:t>
      </w:r>
    </w:p>
    <w:p w14:paraId="2C227ECB" w14:textId="608D173E" w:rsidR="00962CA5" w:rsidRDefault="00B16428" w:rsidP="00962CA5">
      <w:pPr>
        <w:rPr>
          <w:b/>
          <w:i/>
          <w:lang w:val="en-GB" w:eastAsia="zh-CN"/>
        </w:rPr>
      </w:pPr>
      <w:r w:rsidRPr="00B16428">
        <w:rPr>
          <w:b/>
          <w:i/>
        </w:rPr>
        <w:t>Proposal</w:t>
      </w:r>
      <w:r w:rsidR="00C40956">
        <w:rPr>
          <w:b/>
          <w:i/>
        </w:rPr>
        <w:t xml:space="preserve"> 8</w:t>
      </w:r>
      <w:r w:rsidRPr="00B16428">
        <w:rPr>
          <w:b/>
          <w:i/>
        </w:rPr>
        <w:t xml:space="preserve">: </w:t>
      </w:r>
      <w:r w:rsidR="00347D13">
        <w:rPr>
          <w:b/>
          <w:i/>
        </w:rPr>
        <w:t>For</w:t>
      </w:r>
      <w:r w:rsidRPr="00B16428">
        <w:rPr>
          <w:b/>
          <w:i/>
        </w:rPr>
        <w:t xml:space="preserve"> dynamic (in time dimension) HARQ codebook for non-</w:t>
      </w:r>
      <w:r w:rsidR="00E47F28">
        <w:rPr>
          <w:b/>
          <w:i/>
        </w:rPr>
        <w:t>carrier-aggregation</w:t>
      </w:r>
      <w:r w:rsidR="00E47F28" w:rsidRPr="00B16428">
        <w:rPr>
          <w:b/>
          <w:i/>
        </w:rPr>
        <w:t xml:space="preserve"> </w:t>
      </w:r>
      <w:r w:rsidR="00347D13">
        <w:rPr>
          <w:b/>
          <w:i/>
        </w:rPr>
        <w:t>with CBG:</w:t>
      </w:r>
      <w:r w:rsidRPr="00B16428">
        <w:rPr>
          <w:b/>
          <w:i/>
        </w:rPr>
        <w:t xml:space="preserve"> Each entry in the HARQ codebook is a bitmap which size is given by the </w:t>
      </w:r>
      <w:r w:rsidR="00347D13">
        <w:rPr>
          <w:b/>
          <w:i/>
        </w:rPr>
        <w:t>configured number of CBG and transport block on the component carrier</w:t>
      </w:r>
      <w:r w:rsidRPr="00B16428">
        <w:rPr>
          <w:b/>
          <w:i/>
          <w:lang w:val="en-GB" w:eastAsia="zh-CN"/>
        </w:rPr>
        <w:t>.</w:t>
      </w:r>
      <w:r w:rsidR="00347D13">
        <w:rPr>
          <w:b/>
          <w:i/>
          <w:lang w:val="en-GB" w:eastAsia="zh-CN"/>
        </w:rPr>
        <w:t xml:space="preserve"> A </w:t>
      </w:r>
      <w:r w:rsidR="00E75639">
        <w:rPr>
          <w:b/>
          <w:i/>
          <w:lang w:val="en-GB" w:eastAsia="zh-CN"/>
        </w:rPr>
        <w:t xml:space="preserve">counter </w:t>
      </w:r>
      <w:r w:rsidR="00347D13">
        <w:rPr>
          <w:b/>
          <w:i/>
          <w:lang w:val="en-GB" w:eastAsia="zh-CN"/>
        </w:rPr>
        <w:t>DAI is inserted in the DCI counting DL assignments (including the current one).</w:t>
      </w:r>
    </w:p>
    <w:p w14:paraId="094C515B" w14:textId="2BAB1A33" w:rsidR="00962CA5" w:rsidRDefault="00962CA5" w:rsidP="00594551">
      <w:pPr>
        <w:pStyle w:val="Heading3"/>
      </w:pPr>
      <w:r>
        <w:t>With carrier aggregation, with CBG</w:t>
      </w:r>
      <w:r w:rsidR="00A27C3D">
        <w:t>, one DL assignment per slot interval</w:t>
      </w:r>
    </w:p>
    <w:p w14:paraId="5E7EFAD4" w14:textId="1655258F" w:rsidR="00347D13" w:rsidRDefault="00347D13" w:rsidP="006D52E4">
      <w:r>
        <w:t xml:space="preserve">It has been agreed to support a fixed HARQ codebook which size is at least determined </w:t>
      </w:r>
      <w:r w:rsidR="00E75639">
        <w:t xml:space="preserve">by configured </w:t>
      </w:r>
      <w:r>
        <w:t xml:space="preserve">number of aggregated component carriers, </w:t>
      </w:r>
      <w:r w:rsidR="00B028C5">
        <w:t>configured</w:t>
      </w:r>
      <w:r w:rsidR="00B028C5">
        <w:t xml:space="preserve"> </w:t>
      </w:r>
      <w:r>
        <w:t xml:space="preserve">number of transport blocks per component carrier, and configured number of CBG per component carrier. </w:t>
      </w:r>
    </w:p>
    <w:p w14:paraId="50CD681E" w14:textId="3198A50F" w:rsidR="00347D13" w:rsidRDefault="00347D13" w:rsidP="006D52E4">
      <w:r>
        <w:rPr>
          <w:lang w:val="en-GB" w:eastAsia="zh-CN"/>
        </w:rPr>
        <w:lastRenderedPageBreak/>
        <w:t xml:space="preserve">The same solution as outlined for the case with no </w:t>
      </w:r>
      <w:r w:rsidR="00E47F28">
        <w:rPr>
          <w:lang w:val="en-GB" w:eastAsia="zh-CN"/>
        </w:rPr>
        <w:t>carrier aggregation</w:t>
      </w:r>
      <w:r>
        <w:rPr>
          <w:lang w:val="en-GB" w:eastAsia="zh-CN"/>
        </w:rPr>
        <w:t xml:space="preserve">, no CBG can be adopted here. Each time at least one DCI scheduling a DL assignment is detected for a </w:t>
      </w:r>
      <w:r w:rsidR="00A27C3D">
        <w:rPr>
          <w:lang w:val="en-GB" w:eastAsia="zh-CN"/>
        </w:rPr>
        <w:t xml:space="preserve">slot interval </w:t>
      </w:r>
      <w:r>
        <w:rPr>
          <w:lang w:val="en-GB" w:eastAsia="zh-CN"/>
        </w:rPr>
        <w:t xml:space="preserve">a bitmap is inserted into the HARQ codebook containing HARQ feedback for all configured component carriers. This size of the bitmap is determined by </w:t>
      </w:r>
      <w:r w:rsidR="00332B12">
        <w:t xml:space="preserve">by configured </w:t>
      </w:r>
      <w:r>
        <w:t xml:space="preserve">number of aggregated component carriers, </w:t>
      </w:r>
      <w:r w:rsidR="00B028C5">
        <w:t>configured</w:t>
      </w:r>
      <w:r w:rsidR="00B028C5">
        <w:t xml:space="preserve"> </w:t>
      </w:r>
      <w:r>
        <w:t xml:space="preserve">number of transport blocks per component carrier, and configured number of CBG per component carrier. Not detected transport </w:t>
      </w:r>
      <w:r w:rsidR="00A27C3D">
        <w:t xml:space="preserve">blocks </w:t>
      </w:r>
      <w:r>
        <w:t xml:space="preserve">and/or CBG are reported as NACK. The same DAI value is inserted in all DCIs within a slot </w:t>
      </w:r>
      <w:r w:rsidR="00A27C3D">
        <w:t xml:space="preserve">interval </w:t>
      </w:r>
      <w:r>
        <w:t xml:space="preserve">scheduling a DL assignment. </w:t>
      </w:r>
    </w:p>
    <w:p w14:paraId="7AE2894F" w14:textId="68064C4E" w:rsidR="00B45E5C" w:rsidRDefault="00B45E5C" w:rsidP="00B45E5C">
      <w:pPr>
        <w:rPr>
          <w:b/>
          <w:i/>
        </w:rPr>
      </w:pPr>
      <w:r w:rsidRPr="00796C9E">
        <w:rPr>
          <w:b/>
          <w:i/>
          <w:lang w:val="en-GB" w:eastAsia="zh-CN"/>
        </w:rPr>
        <w:t>Proposal</w:t>
      </w:r>
      <w:r w:rsidR="00C40956">
        <w:rPr>
          <w:b/>
          <w:i/>
          <w:lang w:val="en-GB" w:eastAsia="zh-CN"/>
        </w:rPr>
        <w:t xml:space="preserve"> 9</w:t>
      </w:r>
      <w:r w:rsidRPr="00796C9E">
        <w:rPr>
          <w:b/>
          <w:i/>
          <w:lang w:val="en-GB" w:eastAsia="zh-CN"/>
        </w:rPr>
        <w:t xml:space="preserve">: Support fixed (fixed in component carrier dimension, dynamic in time dimension) </w:t>
      </w:r>
      <w:r w:rsidRPr="00796C9E">
        <w:rPr>
          <w:b/>
          <w:i/>
        </w:rPr>
        <w:t xml:space="preserve">HARQ codebook for </w:t>
      </w:r>
      <w:r w:rsidR="00347D13">
        <w:rPr>
          <w:b/>
          <w:i/>
        </w:rPr>
        <w:t>carrier aggregation</w:t>
      </w:r>
      <w:r w:rsidRPr="00796C9E">
        <w:rPr>
          <w:b/>
          <w:i/>
        </w:rPr>
        <w:t xml:space="preserve"> </w:t>
      </w:r>
      <w:r w:rsidR="00CF476F">
        <w:rPr>
          <w:b/>
          <w:i/>
        </w:rPr>
        <w:t>with CBG and</w:t>
      </w:r>
      <w:r w:rsidRPr="00796C9E">
        <w:rPr>
          <w:b/>
          <w:i/>
        </w:rPr>
        <w:t xml:space="preserve"> </w:t>
      </w:r>
      <w:r w:rsidR="00B028C5">
        <w:rPr>
          <w:b/>
          <w:i/>
        </w:rPr>
        <w:t>at most one DL assignment per slot interval</w:t>
      </w:r>
      <w:r w:rsidR="00B028C5" w:rsidRPr="00796C9E">
        <w:rPr>
          <w:b/>
          <w:i/>
        </w:rPr>
        <w:t xml:space="preserve"> </w:t>
      </w:r>
      <w:r w:rsidR="00B028C5">
        <w:rPr>
          <w:b/>
          <w:i/>
        </w:rPr>
        <w:t>and</w:t>
      </w:r>
      <w:r w:rsidR="00B028C5" w:rsidRPr="00796C9E">
        <w:rPr>
          <w:b/>
          <w:i/>
        </w:rPr>
        <w:t xml:space="preserve"> component carrier</w:t>
      </w:r>
      <w:r w:rsidRPr="00796C9E">
        <w:rPr>
          <w:b/>
          <w:i/>
        </w:rPr>
        <w:t xml:space="preserve">. </w:t>
      </w:r>
      <w:r w:rsidR="00347D13">
        <w:rPr>
          <w:b/>
          <w:i/>
        </w:rPr>
        <w:t xml:space="preserve">For each </w:t>
      </w:r>
      <w:r w:rsidR="00A27C3D">
        <w:rPr>
          <w:b/>
          <w:i/>
        </w:rPr>
        <w:t xml:space="preserve">slot interval </w:t>
      </w:r>
      <w:r w:rsidR="00347D13">
        <w:rPr>
          <w:b/>
          <w:i/>
        </w:rPr>
        <w:t xml:space="preserve">where </w:t>
      </w:r>
      <w:r w:rsidR="00EA2530">
        <w:rPr>
          <w:b/>
          <w:i/>
        </w:rPr>
        <w:t xml:space="preserve">at least one </w:t>
      </w:r>
      <w:r w:rsidR="00347D13">
        <w:rPr>
          <w:b/>
          <w:i/>
        </w:rPr>
        <w:t xml:space="preserve">DCI scheduling a </w:t>
      </w:r>
      <w:r w:rsidR="00EA2530">
        <w:rPr>
          <w:b/>
          <w:i/>
        </w:rPr>
        <w:t>DL assignment is detected</w:t>
      </w:r>
      <w:r w:rsidR="00464D1A">
        <w:rPr>
          <w:b/>
          <w:i/>
        </w:rPr>
        <w:t xml:space="preserve">  (on any component carrier)</w:t>
      </w:r>
      <w:r w:rsidR="00EA2530">
        <w:rPr>
          <w:b/>
          <w:i/>
        </w:rPr>
        <w:t xml:space="preserve">, the HARQ codebook entry is a bitmap which size is given by the configured number of </w:t>
      </w:r>
      <w:r w:rsidR="00347D13">
        <w:rPr>
          <w:b/>
          <w:i/>
        </w:rPr>
        <w:t>component carriers</w:t>
      </w:r>
      <w:r w:rsidR="00EA2530">
        <w:rPr>
          <w:b/>
          <w:i/>
        </w:rPr>
        <w:t xml:space="preserve">, </w:t>
      </w:r>
      <w:r w:rsidR="007F09F7">
        <w:rPr>
          <w:b/>
          <w:i/>
        </w:rPr>
        <w:t xml:space="preserve">configured </w:t>
      </w:r>
      <w:r w:rsidR="00EA2530">
        <w:rPr>
          <w:b/>
          <w:i/>
        </w:rPr>
        <w:t>number of CBG</w:t>
      </w:r>
      <w:r w:rsidR="00347D13">
        <w:rPr>
          <w:b/>
          <w:i/>
        </w:rPr>
        <w:t xml:space="preserve"> and configured number of transport block</w:t>
      </w:r>
      <w:r w:rsidR="00B028C5">
        <w:rPr>
          <w:b/>
          <w:i/>
        </w:rPr>
        <w:t>s</w:t>
      </w:r>
      <w:r w:rsidR="00347D13">
        <w:rPr>
          <w:b/>
          <w:i/>
        </w:rPr>
        <w:t xml:space="preserve"> on a component carrier</w:t>
      </w:r>
      <w:r w:rsidR="00EA2530">
        <w:rPr>
          <w:b/>
          <w:i/>
        </w:rPr>
        <w:t>.</w:t>
      </w:r>
      <w:r w:rsidR="00E75639">
        <w:rPr>
          <w:b/>
          <w:i/>
        </w:rPr>
        <w:t xml:space="preserve"> The same counter DAI value is inserted in all DCIs in a </w:t>
      </w:r>
      <w:r w:rsidR="00A27C3D">
        <w:rPr>
          <w:b/>
          <w:i/>
        </w:rPr>
        <w:t xml:space="preserve">slot interval </w:t>
      </w:r>
      <w:r w:rsidR="00E75639">
        <w:rPr>
          <w:b/>
          <w:i/>
        </w:rPr>
        <w:t>scheduling a DL assignment (for one PUCCH).</w:t>
      </w:r>
    </w:p>
    <w:p w14:paraId="27292274" w14:textId="4482361B" w:rsidR="00A27C3D" w:rsidRPr="003C1F44" w:rsidRDefault="00A27C3D" w:rsidP="00B45E5C">
      <w:r>
        <w:t xml:space="preserve">Given that RAN1 </w:t>
      </w:r>
      <w:r w:rsidR="00A742D8">
        <w:t xml:space="preserve">has already </w:t>
      </w:r>
      <w:r>
        <w:t xml:space="preserve">agreed to </w:t>
      </w:r>
      <w:r w:rsidR="00464D1A">
        <w:t>support a fixed</w:t>
      </w:r>
      <w:r w:rsidR="00A742D8">
        <w:t xml:space="preserve"> HARQ </w:t>
      </w:r>
      <w:r w:rsidR="00464D1A">
        <w:t>codebook</w:t>
      </w:r>
      <w:r w:rsidR="00A742D8">
        <w:t xml:space="preserve"> accommodating CBG we don</w:t>
      </w:r>
      <w:r w:rsidR="00A742D8">
        <w:t>’</w:t>
      </w:r>
      <w:r w:rsidR="00A742D8">
        <w:t>t see a need to define additional HARQ codebooks for CBG in Rel-15.</w:t>
      </w:r>
    </w:p>
    <w:p w14:paraId="679251ED" w14:textId="77777777" w:rsidR="008723DE" w:rsidRPr="00060D83" w:rsidRDefault="008723DE" w:rsidP="008723DE">
      <w:pPr>
        <w:pStyle w:val="Heading2"/>
        <w:keepLines w:val="0"/>
        <w:overflowPunct/>
        <w:autoSpaceDE/>
        <w:autoSpaceDN/>
        <w:adjustRightInd/>
        <w:spacing w:before="240" w:after="60"/>
        <w:textAlignment w:val="auto"/>
      </w:pPr>
      <w:r w:rsidRPr="00060D83">
        <w:t>The number of HARQ processes</w:t>
      </w:r>
    </w:p>
    <w:p w14:paraId="735DF186" w14:textId="27F9CDA2" w:rsidR="008723DE" w:rsidRPr="003C1F44" w:rsidRDefault="008723DE" w:rsidP="008723DE">
      <w:pPr>
        <w:pStyle w:val="BodyText"/>
        <w:rPr>
          <w:rFonts w:hAnsiTheme="minorHAnsi" w:cs="Arial"/>
        </w:rPr>
      </w:pPr>
      <w:r w:rsidRPr="003C1F44">
        <w:rPr>
          <w:rFonts w:hAnsiTheme="minorHAnsi" w:cs="Arial"/>
        </w:rPr>
        <w:t xml:space="preserve">Retransmissions are scheduled in a similar way as the original transmission. Hence, upon reception of a negative acknowledgement (for downlink data transmissions) or detection of incorrectly received uplink data (for uplink data transmission), the </w:t>
      </w:r>
      <w:r w:rsidR="00A742D8" w:rsidRPr="003C1F44">
        <w:rPr>
          <w:rFonts w:hAnsiTheme="minorHAnsi" w:cs="Arial"/>
        </w:rPr>
        <w:t xml:space="preserve">gNB </w:t>
      </w:r>
      <w:r w:rsidRPr="003C1F44">
        <w:rPr>
          <w:rFonts w:hAnsiTheme="minorHAnsi" w:cs="Arial"/>
        </w:rPr>
        <w:t>needs to schedule a retransmission.</w:t>
      </w:r>
    </w:p>
    <w:p w14:paraId="76078841" w14:textId="77777777" w:rsidR="008723DE" w:rsidRPr="003C1F44" w:rsidRDefault="008723DE" w:rsidP="008723DE">
      <w:pPr>
        <w:pStyle w:val="BodyText"/>
        <w:rPr>
          <w:rFonts w:hAnsiTheme="minorHAnsi" w:cs="Arial"/>
        </w:rPr>
      </w:pPr>
      <w:r w:rsidRPr="003C1F44">
        <w:rPr>
          <w:rFonts w:hAnsiTheme="minorHAnsi" w:cs="Arial"/>
        </w:rPr>
        <w:t xml:space="preserve">The number of hybrid ARQ processes depends on the overall roundtrip time. For downlink data transmission this includes the UE processing time to generate the acknowledgement, network-side processing time for scheduling the retransmission, and front-haul delays in case remote radio units are used to separate the baseband processing from the actual transmission site. </w:t>
      </w:r>
    </w:p>
    <w:p w14:paraId="1A031915" w14:textId="77777777" w:rsidR="008723DE" w:rsidRPr="003C1F44" w:rsidRDefault="008723DE" w:rsidP="008723DE">
      <w:pPr>
        <w:pStyle w:val="BodyText"/>
        <w:rPr>
          <w:rFonts w:hAnsiTheme="minorHAnsi" w:cs="Arial"/>
        </w:rPr>
      </w:pPr>
      <w:r w:rsidRPr="003C1F44">
        <w:rPr>
          <w:rFonts w:hAnsiTheme="minorHAnsi" w:cs="Arial"/>
        </w:rPr>
        <w:t>The speed of light in an optical fiber is approximatively 2·10</w:t>
      </w:r>
      <w:r w:rsidRPr="003C1F44">
        <w:rPr>
          <w:rFonts w:hAnsiTheme="minorHAnsi" w:cs="Arial"/>
          <w:vertAlign w:val="superscript"/>
        </w:rPr>
        <w:t>8</w:t>
      </w:r>
      <w:r w:rsidRPr="003C1F44">
        <w:rPr>
          <w:rFonts w:hAnsiTheme="minorHAnsi" w:cs="Arial"/>
        </w:rPr>
        <w:t xml:space="preserve"> m/s. Hence, for a 15 km distance, which is not an unlikely distance, the two-way delay is 150 μs. The scheduling delays can be in a similar range, depending on implementation, network load, scheduling complexity in terms of quality-of-service handling, exploitation of channel conditions, multi-user MIMO aspects, etc. As a comparison, the slot length is 125 μs assuming 14 symbol slots and 120 kHz subcarrier spacing.</w:t>
      </w:r>
    </w:p>
    <w:p w14:paraId="03E5EAA9" w14:textId="77777777" w:rsidR="008723DE" w:rsidRPr="00060D83" w:rsidRDefault="008723DE" w:rsidP="008723DE">
      <w:pPr>
        <w:pStyle w:val="BodyText"/>
        <w:rPr>
          <w:rFonts w:ascii="Arial" w:hAnsi="Arial" w:cs="Arial"/>
        </w:rPr>
      </w:pPr>
      <w:r w:rsidRPr="003C1F44">
        <w:rPr>
          <w:rFonts w:hAnsiTheme="minorHAnsi" w:cs="Arial"/>
        </w:rPr>
        <w:t>Coexistence with TD-LTE is another example where multiple hybrid-ARQ processes are needed as there, for coexistence reasons, can be multiple slots (corresponding to LTE subframes) where it is not possible to transmit an uplink acknowledgement. For a typical case of TDD uplink-downlink allocation #2, there are four downlink slots followed by one uplink slot. In principle, four processes would be sufficient to handle this if the UE is capable of ‘same slot’ ACK, otherwise a couple of more processes are needed. Furthermore, LTE supports several uplink-downlink allocations, many of which are not used in practice, and it can be considered if coexistence with all these possibilities need to be able to support the peak data rate.</w:t>
      </w:r>
    </w:p>
    <w:p w14:paraId="1AD016B5" w14:textId="35529426" w:rsidR="00464D1A" w:rsidRPr="003C1F44" w:rsidRDefault="008723DE" w:rsidP="003C1F44">
      <w:pPr>
        <w:pStyle w:val="BodyText"/>
        <w:rPr>
          <w:lang w:val="en-GB" w:eastAsia="zh-CN"/>
        </w:rPr>
      </w:pPr>
      <w:r w:rsidRPr="00060D83">
        <w:t>From the simplified discussion above, it is seen that the time from transmission to retransmission can be in the order of several slots, motivating multiple hybrid-ARQ processes. At the same time, it is beneficial to keep the number of hybrid-ARQ processes small as NR is supposed to provide low latency. Furthermore, supporting different number of hybrid-ARQ processes for different numerologies would complicate the overall structure and a single number is preferable. It is therefore recommended to support 8 hybrid-ARQ processes in NR, i.e. use 3 bits for the hybrid-ARQ process number in the DCI.</w:t>
      </w:r>
    </w:p>
    <w:p w14:paraId="536346FF" w14:textId="0E00290B" w:rsidR="00186775" w:rsidRPr="00060D83" w:rsidRDefault="000B36E8" w:rsidP="00BA01B1">
      <w:pPr>
        <w:pStyle w:val="Heading2"/>
      </w:pPr>
      <w:r>
        <w:lastRenderedPageBreak/>
        <w:t>HARQ process sharing</w:t>
      </w:r>
    </w:p>
    <w:p w14:paraId="0F021C1E" w14:textId="715FD3F7" w:rsidR="00186775" w:rsidRDefault="00186775" w:rsidP="00186775">
      <w:pPr>
        <w:pStyle w:val="BodyText"/>
        <w:rPr>
          <w:rFonts w:cs="Arial"/>
        </w:rPr>
      </w:pPr>
      <w:r w:rsidRPr="00A20BBC">
        <w:rPr>
          <w:rFonts w:cs="Arial"/>
        </w:rPr>
        <w:t xml:space="preserve">To be able to support different services it is assumed in the discussion that the UE can be assigned with multiple PDSCH within the same </w:t>
      </w:r>
      <w:r w:rsidR="004F5EC9">
        <w:rPr>
          <w:rFonts w:cs="Arial"/>
        </w:rPr>
        <w:t>slot interval</w:t>
      </w:r>
      <w:r w:rsidRPr="00A20BBC">
        <w:rPr>
          <w:rFonts w:cs="Arial"/>
        </w:rPr>
        <w:t xml:space="preserve">. </w:t>
      </w:r>
      <w:r w:rsidR="00385190" w:rsidRPr="00A20BBC">
        <w:rPr>
          <w:rFonts w:cs="Arial"/>
        </w:rPr>
        <w:t>W</w:t>
      </w:r>
      <w:r w:rsidRPr="00A20BBC">
        <w:rPr>
          <w:rFonts w:cs="Arial"/>
        </w:rPr>
        <w:t xml:space="preserve">e </w:t>
      </w:r>
      <w:r w:rsidR="00385190" w:rsidRPr="00A20BBC">
        <w:rPr>
          <w:rFonts w:cs="Arial"/>
        </w:rPr>
        <w:t>think</w:t>
      </w:r>
      <w:r w:rsidRPr="00A20BBC">
        <w:rPr>
          <w:rFonts w:cs="Arial"/>
        </w:rPr>
        <w:t xml:space="preserve"> that it is sufficient to be able to handle t</w:t>
      </w:r>
      <w:r w:rsidR="00385190" w:rsidRPr="00A20BBC">
        <w:rPr>
          <w:rFonts w:cs="Arial"/>
        </w:rPr>
        <w:t>w</w:t>
      </w:r>
      <w:r w:rsidRPr="00A20BBC">
        <w:rPr>
          <w:rFonts w:cs="Arial"/>
        </w:rPr>
        <w:t>o PDSCH for unicast simultaneously on one carrier for the UE. To provide sufficient flexibility in the design no restriction should be made on the allocated frequency resource and time resource for the two PDSCH(s). Note however that a UE can be assigned with many consecutive PDSCH(s) in time within a slot</w:t>
      </w:r>
      <w:r w:rsidR="004F5EC9">
        <w:rPr>
          <w:rFonts w:cs="Arial"/>
        </w:rPr>
        <w:t xml:space="preserve"> interval</w:t>
      </w:r>
      <w:r w:rsidRPr="00A20BBC">
        <w:rPr>
          <w:rFonts w:cs="Arial"/>
        </w:rPr>
        <w:t xml:space="preserve"> if they do not overlap in time.</w:t>
      </w:r>
    </w:p>
    <w:p w14:paraId="530E52C4" w14:textId="0453A71E" w:rsidR="004F5EC9" w:rsidRPr="00A20BBC" w:rsidRDefault="004F5EC9" w:rsidP="00186775">
      <w:pPr>
        <w:pStyle w:val="BodyText"/>
        <w:rPr>
          <w:rFonts w:cs="Arial"/>
        </w:rPr>
      </w:pPr>
      <w:r>
        <w:rPr>
          <w:rFonts w:cs="Arial"/>
        </w:rPr>
        <w:t xml:space="preserve">To support above scenario a UE can be configured with multiple PDCCH opportunities for </w:t>
      </w:r>
      <w:r w:rsidR="0041467E">
        <w:rPr>
          <w:rFonts w:cs="Arial"/>
        </w:rPr>
        <w:t xml:space="preserve">DL assignments in a slot interval. For slot-based transmissions these PDCCH opportunities are likely to be configured at the beginning of a slot interval while for non-slot-based transmissions (to support e.g. low latency transmissions) PDCCH opportunities might be more distributed over a slot interval. Irrespective how PDCCH opportunities are located within </w:t>
      </w:r>
      <w:r w:rsidR="00464D1A">
        <w:rPr>
          <w:rFonts w:cs="Arial"/>
        </w:rPr>
        <w:t xml:space="preserve">a </w:t>
      </w:r>
      <w:r w:rsidR="0041467E">
        <w:rPr>
          <w:rFonts w:cs="Arial"/>
        </w:rPr>
        <w:t>slot interval and how the time allocation of the scheduled PDSCH look, a common HARQ pool is shared for all DL transmissions on a carrier.</w:t>
      </w:r>
    </w:p>
    <w:p w14:paraId="64D88F71" w14:textId="183ECB18" w:rsidR="00BA01B1" w:rsidRPr="00A20BBC" w:rsidRDefault="00385190" w:rsidP="00F577DD">
      <w:pPr>
        <w:pStyle w:val="BodyText"/>
      </w:pPr>
      <w:r w:rsidRPr="00A20BBC">
        <w:t>Furthermore,</w:t>
      </w:r>
      <w:r w:rsidR="00F577DD" w:rsidRPr="00A20BBC">
        <w:t xml:space="preserve"> a simultaneous</w:t>
      </w:r>
      <w:r w:rsidRPr="00A20BBC">
        <w:t xml:space="preserve"> UL transmission without </w:t>
      </w:r>
      <w:r w:rsidR="00F577DD" w:rsidRPr="00A20BBC">
        <w:t xml:space="preserve">UL </w:t>
      </w:r>
      <w:r w:rsidRPr="00A20BBC">
        <w:t>grant</w:t>
      </w:r>
      <w:r w:rsidR="00F577DD" w:rsidRPr="00A20BBC">
        <w:t xml:space="preserve"> together with scheduled </w:t>
      </w:r>
      <w:r w:rsidR="0041467E" w:rsidRPr="00A20BBC">
        <w:t>P</w:t>
      </w:r>
      <w:r w:rsidR="0041467E">
        <w:t>U</w:t>
      </w:r>
      <w:r w:rsidR="0041467E" w:rsidRPr="00A20BBC">
        <w:t>SCH</w:t>
      </w:r>
      <w:r w:rsidR="00F577DD" w:rsidRPr="00A20BBC">
        <w:t xml:space="preserve">(s) is possible. In transmission without UL grant, a retransmission based on a dynamic grant is useful to guarantee a successful retransmission by a dedicated channel. For better handling of HARQ retransmissions in this case it is desirable that the </w:t>
      </w:r>
      <w:r w:rsidR="00E01EF3" w:rsidRPr="00A20BBC">
        <w:t>HARQ processes are shared between the scheduled transmissions and the UL transmission without UL grant. The assignment can be done by means of RRC signaling.</w:t>
      </w:r>
    </w:p>
    <w:p w14:paraId="6B22BC75" w14:textId="54AA4D83" w:rsidR="0041467E" w:rsidRPr="00BE7DB5" w:rsidRDefault="0041467E" w:rsidP="00BE7DB5">
      <w:pPr>
        <w:adjustRightInd w:val="0"/>
        <w:snapToGrid w:val="0"/>
        <w:spacing w:line="240" w:lineRule="auto"/>
        <w:jc w:val="both"/>
        <w:rPr>
          <w:b/>
          <w:bCs/>
          <w:i/>
          <w:iCs/>
        </w:rPr>
      </w:pPr>
      <w:r>
        <w:rPr>
          <w:b/>
          <w:bCs/>
          <w:i/>
          <w:iCs/>
        </w:rPr>
        <w:t>Proposal</w:t>
      </w:r>
      <w:r w:rsidR="00C40956">
        <w:rPr>
          <w:b/>
          <w:bCs/>
          <w:i/>
          <w:iCs/>
        </w:rPr>
        <w:t xml:space="preserve"> 1</w:t>
      </w:r>
      <w:r w:rsidR="00E53999">
        <w:rPr>
          <w:b/>
          <w:bCs/>
          <w:i/>
          <w:iCs/>
        </w:rPr>
        <w:t>0</w:t>
      </w:r>
      <w:r>
        <w:rPr>
          <w:b/>
          <w:bCs/>
          <w:i/>
          <w:iCs/>
        </w:rPr>
        <w:t xml:space="preserve">: </w:t>
      </w:r>
      <w:r w:rsidRPr="0041467E">
        <w:rPr>
          <w:b/>
          <w:bCs/>
          <w:i/>
          <w:iCs/>
        </w:rPr>
        <w:t xml:space="preserve">A single HARQ process pool is </w:t>
      </w:r>
      <w:r>
        <w:rPr>
          <w:b/>
          <w:bCs/>
          <w:i/>
          <w:iCs/>
        </w:rPr>
        <w:t>configured</w:t>
      </w:r>
      <w:r w:rsidRPr="0041467E">
        <w:rPr>
          <w:b/>
          <w:bCs/>
          <w:i/>
          <w:iCs/>
        </w:rPr>
        <w:t xml:space="preserve"> </w:t>
      </w:r>
      <w:r>
        <w:rPr>
          <w:b/>
          <w:bCs/>
          <w:i/>
          <w:iCs/>
        </w:rPr>
        <w:t>per carrier for DL and UL. This single DL pool is shared by all DL transmissions on a carrier irrespective of CORESET configuration. The single UL pool is shared by grant-free and grant-based UL transmissions.</w:t>
      </w:r>
    </w:p>
    <w:bookmarkEnd w:id="0"/>
    <w:p w14:paraId="3FDAEECB" w14:textId="29622BF0" w:rsidR="00C01F33" w:rsidRDefault="00C01F33" w:rsidP="00CE0424">
      <w:pPr>
        <w:pStyle w:val="Heading1"/>
      </w:pPr>
      <w:r w:rsidRPr="00CE0424">
        <w:t>Conclusion</w:t>
      </w:r>
    </w:p>
    <w:p w14:paraId="72A164CC" w14:textId="564241DF" w:rsidR="00752412" w:rsidRDefault="00B4086D" w:rsidP="00B4086D">
      <w:pPr>
        <w:pStyle w:val="BodyText"/>
      </w:pPr>
      <w:r>
        <w:t>In this contribution</w:t>
      </w:r>
      <w:r w:rsidR="007471F4">
        <w:t>,</w:t>
      </w:r>
      <w:r>
        <w:t xml:space="preserve"> we discuss </w:t>
      </w:r>
      <w:r w:rsidR="00024345">
        <w:t xml:space="preserve">HARQ </w:t>
      </w:r>
      <w:r w:rsidR="007471F4">
        <w:t xml:space="preserve">codebook </w:t>
      </w:r>
      <w:r w:rsidR="00020EEF">
        <w:t xml:space="preserve">and HARQ </w:t>
      </w:r>
      <w:bookmarkStart w:id="11" w:name="_GoBack"/>
      <w:bookmarkEnd w:id="11"/>
      <w:r w:rsidR="00024345">
        <w:t>for NR. The following is proposed</w:t>
      </w:r>
      <w:r w:rsidR="00752412">
        <w:t>:</w:t>
      </w:r>
    </w:p>
    <w:p w14:paraId="2881CE66" w14:textId="601CDA49" w:rsidR="00B4086D" w:rsidRPr="003C1F44" w:rsidRDefault="00752412" w:rsidP="00B4086D">
      <w:pPr>
        <w:pStyle w:val="BodyText"/>
        <w:rPr>
          <w:u w:val="single"/>
        </w:rPr>
      </w:pPr>
      <w:r w:rsidRPr="003C1F44">
        <w:rPr>
          <w:u w:val="single"/>
        </w:rPr>
        <w:t>No carrier aggregation</w:t>
      </w:r>
    </w:p>
    <w:p w14:paraId="60F798A6" w14:textId="77777777" w:rsidR="00E53999" w:rsidRDefault="00E53999" w:rsidP="00E53999">
      <w:pPr>
        <w:rPr>
          <w:b/>
          <w:i/>
        </w:rPr>
      </w:pPr>
      <w:r w:rsidRPr="00796C9E">
        <w:rPr>
          <w:b/>
          <w:i/>
        </w:rPr>
        <w:t>Proposal</w:t>
      </w:r>
      <w:r>
        <w:rPr>
          <w:b/>
          <w:i/>
        </w:rPr>
        <w:t xml:space="preserve"> 1</w:t>
      </w:r>
      <w:r w:rsidRPr="00796C9E">
        <w:rPr>
          <w:b/>
          <w:i/>
        </w:rPr>
        <w:t xml:space="preserve">: </w:t>
      </w:r>
      <w:r>
        <w:rPr>
          <w:b/>
          <w:i/>
        </w:rPr>
        <w:t xml:space="preserve">The dynamic </w:t>
      </w:r>
      <w:r w:rsidRPr="00796C9E">
        <w:rPr>
          <w:b/>
          <w:i/>
        </w:rPr>
        <w:t>(in time dimension)</w:t>
      </w:r>
      <w:r>
        <w:rPr>
          <w:b/>
          <w:i/>
        </w:rPr>
        <w:t xml:space="preserve"> </w:t>
      </w:r>
      <w:r w:rsidRPr="00796C9E">
        <w:rPr>
          <w:b/>
          <w:i/>
        </w:rPr>
        <w:t>HARQ codebook</w:t>
      </w:r>
      <w:r>
        <w:rPr>
          <w:b/>
          <w:i/>
        </w:rPr>
        <w:t xml:space="preserve"> for non-carrier-aggregation</w:t>
      </w:r>
      <w:r>
        <w:rPr>
          <w:b/>
          <w:i/>
        </w:rPr>
        <w:t xml:space="preserve"> </w:t>
      </w:r>
      <w:r>
        <w:rPr>
          <w:b/>
          <w:i/>
        </w:rPr>
        <w:t>is based on a counter DAI that counts DL assignments</w:t>
      </w:r>
      <w:r w:rsidRPr="00796C9E">
        <w:rPr>
          <w:b/>
          <w:i/>
        </w:rPr>
        <w:t>.</w:t>
      </w:r>
    </w:p>
    <w:p w14:paraId="2BAB8F78" w14:textId="77777777" w:rsidR="00E53999" w:rsidRDefault="00E53999" w:rsidP="00C8763D">
      <w:pPr>
        <w:rPr>
          <w:b/>
          <w:i/>
        </w:rPr>
      </w:pPr>
      <w:r>
        <w:rPr>
          <w:b/>
          <w:i/>
        </w:rPr>
        <w:t xml:space="preserve">Proposal 2: HARQ feedback from multiple DL assignments in a slot interval can be multiplexed in the dynamic </w:t>
      </w:r>
      <w:r w:rsidRPr="00796C9E">
        <w:rPr>
          <w:b/>
          <w:i/>
        </w:rPr>
        <w:t>(in time dimension)</w:t>
      </w:r>
      <w:r>
        <w:rPr>
          <w:b/>
          <w:i/>
        </w:rPr>
        <w:t xml:space="preserve"> </w:t>
      </w:r>
      <w:r w:rsidRPr="00796C9E">
        <w:rPr>
          <w:b/>
          <w:i/>
        </w:rPr>
        <w:t>HARQ codebook</w:t>
      </w:r>
      <w:r>
        <w:rPr>
          <w:b/>
          <w:i/>
        </w:rPr>
        <w:t xml:space="preserve"> for non-carrier-aggregation.</w:t>
      </w:r>
    </w:p>
    <w:p w14:paraId="57F475F3" w14:textId="6C7E84E0" w:rsidR="00C8763D" w:rsidRDefault="00E53999" w:rsidP="00C8763D">
      <w:pPr>
        <w:rPr>
          <w:b/>
          <w:i/>
        </w:rPr>
      </w:pPr>
      <w:r w:rsidRPr="0061271C">
        <w:rPr>
          <w:b/>
          <w:i/>
        </w:rPr>
        <w:t>Proposal</w:t>
      </w:r>
      <w:r>
        <w:rPr>
          <w:b/>
          <w:i/>
        </w:rPr>
        <w:t xml:space="preserve"> 3</w:t>
      </w:r>
      <w:r w:rsidRPr="0061271C">
        <w:rPr>
          <w:b/>
          <w:i/>
        </w:rPr>
        <w:t xml:space="preserve">: The fixed HARQ codebook </w:t>
      </w:r>
      <w:r>
        <w:rPr>
          <w:b/>
          <w:i/>
        </w:rPr>
        <w:t>for non-carrier-aggregation</w:t>
      </w:r>
      <w:r>
        <w:rPr>
          <w:b/>
          <w:i/>
        </w:rPr>
        <w:t xml:space="preserve"> </w:t>
      </w:r>
      <w:r w:rsidRPr="0061271C">
        <w:rPr>
          <w:b/>
          <w:i/>
        </w:rPr>
        <w:t>is based on number of configured HARQ processes. Indexing into the HARQ codebook is based on the HARQ process ID.</w:t>
      </w:r>
    </w:p>
    <w:p w14:paraId="10527C90" w14:textId="7C40F10B" w:rsidR="00752412" w:rsidRPr="003C1F44" w:rsidRDefault="00752412" w:rsidP="00C8763D">
      <w:pPr>
        <w:rPr>
          <w:u w:val="single"/>
        </w:rPr>
      </w:pPr>
      <w:r w:rsidRPr="003C1F44">
        <w:rPr>
          <w:u w:val="single"/>
        </w:rPr>
        <w:t>Carrier aggregation</w:t>
      </w:r>
    </w:p>
    <w:p w14:paraId="63F1433A" w14:textId="77777777" w:rsidR="00E53999" w:rsidRDefault="00E53999" w:rsidP="00E53999">
      <w:pPr>
        <w:rPr>
          <w:b/>
          <w:i/>
        </w:rPr>
      </w:pPr>
      <w:r w:rsidRPr="00796C9E">
        <w:rPr>
          <w:b/>
          <w:i/>
          <w:lang w:val="en-GB" w:eastAsia="zh-CN"/>
        </w:rPr>
        <w:t>Proposal</w:t>
      </w:r>
      <w:r>
        <w:rPr>
          <w:b/>
          <w:i/>
          <w:lang w:val="en-GB" w:eastAsia="zh-CN"/>
        </w:rPr>
        <w:t xml:space="preserve"> 4</w:t>
      </w:r>
      <w:r w:rsidRPr="00796C9E">
        <w:rPr>
          <w:b/>
          <w:i/>
          <w:lang w:val="en-GB" w:eastAsia="zh-CN"/>
        </w:rPr>
        <w:t xml:space="preserve">: Support fixed (fixed in component carrier dimension, dynamic in time dimension) </w:t>
      </w:r>
      <w:r w:rsidRPr="00796C9E">
        <w:rPr>
          <w:b/>
          <w:i/>
        </w:rPr>
        <w:t xml:space="preserve">HARQ codebook for </w:t>
      </w:r>
      <w:r>
        <w:rPr>
          <w:b/>
          <w:i/>
        </w:rPr>
        <w:t>carrier aggregation</w:t>
      </w:r>
      <w:r w:rsidRPr="00796C9E">
        <w:rPr>
          <w:b/>
          <w:i/>
        </w:rPr>
        <w:t xml:space="preserve"> with </w:t>
      </w:r>
      <w:r>
        <w:rPr>
          <w:b/>
          <w:i/>
        </w:rPr>
        <w:t>at most one DL assignment per slot interval</w:t>
      </w:r>
      <w:r w:rsidRPr="00796C9E">
        <w:rPr>
          <w:b/>
          <w:i/>
        </w:rPr>
        <w:t xml:space="preserve"> </w:t>
      </w:r>
      <w:r>
        <w:rPr>
          <w:b/>
          <w:i/>
        </w:rPr>
        <w:t>and</w:t>
      </w:r>
      <w:r w:rsidRPr="00796C9E">
        <w:rPr>
          <w:b/>
          <w:i/>
        </w:rPr>
        <w:t xml:space="preserve"> component carrier. </w:t>
      </w:r>
      <w:r>
        <w:rPr>
          <w:b/>
          <w:i/>
        </w:rPr>
        <w:t>For each slot interval where at least one DCI scheduling a DL assignment is detected (on any component carrier), the HARQ codebook entry is a bitmap which size is given by the configured number of component carriers and configured number of transport blocks on a component carrier. The same counter DAI value is inserted in all DCIs in a slot interval scheduling a DL assignment (for one PUCCH).</w:t>
      </w:r>
    </w:p>
    <w:p w14:paraId="388E9761" w14:textId="77777777" w:rsidR="00E53999" w:rsidRPr="00796C9E" w:rsidRDefault="00E53999" w:rsidP="00E53999">
      <w:pPr>
        <w:rPr>
          <w:b/>
          <w:i/>
        </w:rPr>
      </w:pPr>
      <w:r w:rsidRPr="00796C9E">
        <w:rPr>
          <w:b/>
          <w:i/>
          <w:lang w:val="en-GB" w:eastAsia="zh-CN"/>
        </w:rPr>
        <w:t>Proposal</w:t>
      </w:r>
      <w:r>
        <w:rPr>
          <w:b/>
          <w:i/>
          <w:lang w:val="en-GB" w:eastAsia="zh-CN"/>
        </w:rPr>
        <w:t xml:space="preserve"> 5</w:t>
      </w:r>
      <w:r w:rsidRPr="00796C9E">
        <w:rPr>
          <w:b/>
          <w:i/>
          <w:lang w:val="en-GB" w:eastAsia="zh-CN"/>
        </w:rPr>
        <w:t xml:space="preserve">: </w:t>
      </w:r>
      <w:r>
        <w:rPr>
          <w:b/>
          <w:i/>
        </w:rPr>
        <w:t>For</w:t>
      </w:r>
      <w:r w:rsidRPr="00796C9E">
        <w:rPr>
          <w:b/>
          <w:i/>
        </w:rPr>
        <w:t xml:space="preserve"> dynamic (dynamic in both component carrier and time dimension) HARQ codebook for </w:t>
      </w:r>
      <w:r>
        <w:rPr>
          <w:b/>
          <w:i/>
        </w:rPr>
        <w:t>carrier aggregation</w:t>
      </w:r>
      <w:r w:rsidRPr="00796C9E">
        <w:rPr>
          <w:b/>
          <w:i/>
        </w:rPr>
        <w:t xml:space="preserve"> with </w:t>
      </w:r>
      <w:r>
        <w:rPr>
          <w:b/>
          <w:i/>
        </w:rPr>
        <w:t>at most one DL assignment per slot interval and component carrier:</w:t>
      </w:r>
      <w:r w:rsidRPr="00796C9E">
        <w:rPr>
          <w:b/>
          <w:i/>
        </w:rPr>
        <w:t xml:space="preserve"> Re-use counter/total DAI mechanism from LTE feCA.</w:t>
      </w:r>
    </w:p>
    <w:p w14:paraId="578F6031" w14:textId="77777777" w:rsidR="00E53999" w:rsidRPr="00796C9E" w:rsidRDefault="00E53999" w:rsidP="00E53999">
      <w:pPr>
        <w:rPr>
          <w:b/>
          <w:i/>
        </w:rPr>
      </w:pPr>
      <w:r w:rsidRPr="00796C9E">
        <w:rPr>
          <w:b/>
          <w:i/>
          <w:lang w:val="en-GB" w:eastAsia="zh-CN"/>
        </w:rPr>
        <w:lastRenderedPageBreak/>
        <w:t>Proposal</w:t>
      </w:r>
      <w:r>
        <w:rPr>
          <w:b/>
          <w:i/>
          <w:lang w:val="en-GB" w:eastAsia="zh-CN"/>
        </w:rPr>
        <w:t xml:space="preserve"> 6</w:t>
      </w:r>
      <w:r w:rsidRPr="00796C9E">
        <w:rPr>
          <w:b/>
          <w:i/>
          <w:lang w:val="en-GB" w:eastAsia="zh-CN"/>
        </w:rPr>
        <w:t xml:space="preserve">: </w:t>
      </w:r>
      <w:r>
        <w:rPr>
          <w:b/>
          <w:i/>
          <w:lang w:val="en-GB" w:eastAsia="zh-CN"/>
        </w:rPr>
        <w:t xml:space="preserve">For </w:t>
      </w:r>
      <w:r w:rsidRPr="00796C9E">
        <w:rPr>
          <w:b/>
          <w:i/>
          <w:lang w:val="en-GB" w:eastAsia="zh-CN"/>
        </w:rPr>
        <w:t>fixed (fixed in component carrier dimension</w:t>
      </w:r>
      <w:r>
        <w:rPr>
          <w:b/>
          <w:i/>
          <w:lang w:val="en-GB" w:eastAsia="zh-CN"/>
        </w:rPr>
        <w:t>, dynamic in time dimension)</w:t>
      </w:r>
      <w:r w:rsidRPr="00796C9E">
        <w:rPr>
          <w:b/>
          <w:i/>
          <w:lang w:val="en-GB" w:eastAsia="zh-CN"/>
        </w:rPr>
        <w:t xml:space="preserve"> </w:t>
      </w:r>
      <w:r w:rsidRPr="00796C9E">
        <w:rPr>
          <w:b/>
          <w:i/>
        </w:rPr>
        <w:t xml:space="preserve">HARQ codebook for </w:t>
      </w:r>
      <w:r>
        <w:rPr>
          <w:b/>
          <w:i/>
        </w:rPr>
        <w:t>carrier aggregation with multiple configured PDCCH opportunities for DL assignments per slot interval and component carrier, limit number of DL assignments that can be scheduled per slot interval and component carrier to one.</w:t>
      </w:r>
      <w:r w:rsidRPr="00796C9E">
        <w:rPr>
          <w:b/>
          <w:i/>
        </w:rPr>
        <w:t xml:space="preserve"> </w:t>
      </w:r>
    </w:p>
    <w:p w14:paraId="5817D456" w14:textId="2BC15EDE" w:rsidR="00C8763D" w:rsidRDefault="00E53999" w:rsidP="00C8763D">
      <w:pPr>
        <w:rPr>
          <w:b/>
          <w:i/>
        </w:rPr>
      </w:pPr>
      <w:r w:rsidRPr="009757D3">
        <w:rPr>
          <w:b/>
          <w:i/>
          <w:lang w:eastAsia="zh-CN"/>
        </w:rPr>
        <w:t>Proposal</w:t>
      </w:r>
      <w:r>
        <w:rPr>
          <w:b/>
          <w:i/>
          <w:lang w:eastAsia="zh-CN"/>
        </w:rPr>
        <w:t xml:space="preserve"> 7</w:t>
      </w:r>
      <w:r w:rsidRPr="009757D3">
        <w:rPr>
          <w:b/>
          <w:i/>
          <w:lang w:eastAsia="zh-CN"/>
        </w:rPr>
        <w:t xml:space="preserve">: </w:t>
      </w:r>
      <w:r w:rsidRPr="009757D3">
        <w:rPr>
          <w:b/>
          <w:i/>
        </w:rPr>
        <w:t xml:space="preserve">Support dynamic (dynamic in both component carrier and time dimension) HARQ codebook </w:t>
      </w:r>
      <w:r w:rsidRPr="00796C9E">
        <w:rPr>
          <w:b/>
          <w:i/>
        </w:rPr>
        <w:t xml:space="preserve">for </w:t>
      </w:r>
      <w:r>
        <w:rPr>
          <w:b/>
          <w:i/>
        </w:rPr>
        <w:t>carrier aggregation</w:t>
      </w:r>
      <w:r w:rsidRPr="00796C9E">
        <w:rPr>
          <w:b/>
          <w:i/>
        </w:rPr>
        <w:t xml:space="preserve"> with </w:t>
      </w:r>
      <w:r>
        <w:rPr>
          <w:b/>
          <w:i/>
        </w:rPr>
        <w:t>multiple PDCCH opportunities for DL assignments per slot interval and component carrier</w:t>
      </w:r>
      <w:r w:rsidRPr="009757D3">
        <w:rPr>
          <w:b/>
          <w:i/>
        </w:rPr>
        <w:t>. Re-use counter/total DAI mechanism from LTE feCA.</w:t>
      </w:r>
      <w:r>
        <w:rPr>
          <w:b/>
          <w:i/>
        </w:rPr>
        <w:t xml:space="preserve"> Total DAI can predictively be set to a larger value than highest counter DAI of current PDCCH time. Consider an increased HARQ codebook size increment per total DAI increment.</w:t>
      </w:r>
    </w:p>
    <w:p w14:paraId="6D36EECA" w14:textId="34D3E9AF" w:rsidR="00752412" w:rsidRPr="003C1F44" w:rsidRDefault="00752412" w:rsidP="00C8763D">
      <w:pPr>
        <w:rPr>
          <w:u w:val="single"/>
        </w:rPr>
      </w:pPr>
      <w:r w:rsidRPr="003C1F44">
        <w:rPr>
          <w:u w:val="single"/>
        </w:rPr>
        <w:t>CBG</w:t>
      </w:r>
    </w:p>
    <w:p w14:paraId="4B3E8F6C" w14:textId="77777777" w:rsidR="00E53999" w:rsidRDefault="00E53999" w:rsidP="00E53999">
      <w:pPr>
        <w:rPr>
          <w:b/>
          <w:i/>
          <w:lang w:val="en-GB" w:eastAsia="zh-CN"/>
        </w:rPr>
      </w:pPr>
      <w:r w:rsidRPr="00B16428">
        <w:rPr>
          <w:b/>
          <w:i/>
        </w:rPr>
        <w:t>Proposal</w:t>
      </w:r>
      <w:r>
        <w:rPr>
          <w:b/>
          <w:i/>
        </w:rPr>
        <w:t xml:space="preserve"> 8</w:t>
      </w:r>
      <w:r w:rsidRPr="00B16428">
        <w:rPr>
          <w:b/>
          <w:i/>
        </w:rPr>
        <w:t xml:space="preserve">: </w:t>
      </w:r>
      <w:r>
        <w:rPr>
          <w:b/>
          <w:i/>
        </w:rPr>
        <w:t>For</w:t>
      </w:r>
      <w:r w:rsidRPr="00B16428">
        <w:rPr>
          <w:b/>
          <w:i/>
        </w:rPr>
        <w:t xml:space="preserve"> dynamic (in time dimension) HARQ codebook for non-</w:t>
      </w:r>
      <w:r>
        <w:rPr>
          <w:b/>
          <w:i/>
        </w:rPr>
        <w:t>carrier-aggregation</w:t>
      </w:r>
      <w:r w:rsidRPr="00B16428">
        <w:rPr>
          <w:b/>
          <w:i/>
        </w:rPr>
        <w:t xml:space="preserve"> </w:t>
      </w:r>
      <w:r>
        <w:rPr>
          <w:b/>
          <w:i/>
        </w:rPr>
        <w:t>with CBG:</w:t>
      </w:r>
      <w:r w:rsidRPr="00B16428">
        <w:rPr>
          <w:b/>
          <w:i/>
        </w:rPr>
        <w:t xml:space="preserve"> Each entry in the HARQ codebook is a bitmap which size is given by the </w:t>
      </w:r>
      <w:r>
        <w:rPr>
          <w:b/>
          <w:i/>
        </w:rPr>
        <w:t>configured number of CBG and transport block on the component carrier</w:t>
      </w:r>
      <w:r w:rsidRPr="00B16428">
        <w:rPr>
          <w:b/>
          <w:i/>
          <w:lang w:val="en-GB" w:eastAsia="zh-CN"/>
        </w:rPr>
        <w:t>.</w:t>
      </w:r>
      <w:r>
        <w:rPr>
          <w:b/>
          <w:i/>
          <w:lang w:val="en-GB" w:eastAsia="zh-CN"/>
        </w:rPr>
        <w:t xml:space="preserve"> A counter DAI is inserted in the DCI counting DL assignments (including the current one).</w:t>
      </w:r>
    </w:p>
    <w:p w14:paraId="1A2E5AE3" w14:textId="3135C06F" w:rsidR="00C8763D" w:rsidRDefault="00E53999" w:rsidP="00C8763D">
      <w:pPr>
        <w:rPr>
          <w:b/>
          <w:i/>
        </w:rPr>
      </w:pPr>
      <w:r w:rsidRPr="00796C9E">
        <w:rPr>
          <w:b/>
          <w:i/>
          <w:lang w:val="en-GB" w:eastAsia="zh-CN"/>
        </w:rPr>
        <w:t>Proposal</w:t>
      </w:r>
      <w:r>
        <w:rPr>
          <w:b/>
          <w:i/>
          <w:lang w:val="en-GB" w:eastAsia="zh-CN"/>
        </w:rPr>
        <w:t xml:space="preserve"> 9</w:t>
      </w:r>
      <w:r w:rsidRPr="00796C9E">
        <w:rPr>
          <w:b/>
          <w:i/>
          <w:lang w:val="en-GB" w:eastAsia="zh-CN"/>
        </w:rPr>
        <w:t xml:space="preserve">: Support fixed (fixed in component carrier dimension, dynamic in time dimension) </w:t>
      </w:r>
      <w:r w:rsidRPr="00796C9E">
        <w:rPr>
          <w:b/>
          <w:i/>
        </w:rPr>
        <w:t xml:space="preserve">HARQ codebook for </w:t>
      </w:r>
      <w:r>
        <w:rPr>
          <w:b/>
          <w:i/>
        </w:rPr>
        <w:t>carrier aggregation</w:t>
      </w:r>
      <w:r w:rsidRPr="00796C9E">
        <w:rPr>
          <w:b/>
          <w:i/>
        </w:rPr>
        <w:t xml:space="preserve"> </w:t>
      </w:r>
      <w:r>
        <w:rPr>
          <w:b/>
          <w:i/>
        </w:rPr>
        <w:t>with CBG and</w:t>
      </w:r>
      <w:r w:rsidRPr="00796C9E">
        <w:rPr>
          <w:b/>
          <w:i/>
        </w:rPr>
        <w:t xml:space="preserve"> </w:t>
      </w:r>
      <w:r>
        <w:rPr>
          <w:b/>
          <w:i/>
        </w:rPr>
        <w:t>at most one DL assignment per slot interval</w:t>
      </w:r>
      <w:r w:rsidRPr="00796C9E">
        <w:rPr>
          <w:b/>
          <w:i/>
        </w:rPr>
        <w:t xml:space="preserve"> </w:t>
      </w:r>
      <w:r>
        <w:rPr>
          <w:b/>
          <w:i/>
        </w:rPr>
        <w:t>and</w:t>
      </w:r>
      <w:r w:rsidRPr="00796C9E">
        <w:rPr>
          <w:b/>
          <w:i/>
        </w:rPr>
        <w:t xml:space="preserve"> component carrier. </w:t>
      </w:r>
      <w:r>
        <w:rPr>
          <w:b/>
          <w:i/>
        </w:rPr>
        <w:t>For each slot interval where at least one DCI scheduling a DL assignment is detected  (on any component carrier), the HARQ codebook entry is a bitmap which size is given by the configured number of component carriers, configured number of CBG and configured number of transport blocks on a component carrier. The same counter DAI value is inserted in all DCIs in a slot interval scheduling a DL assignment (for one PUCCH).</w:t>
      </w:r>
    </w:p>
    <w:p w14:paraId="0008A9C3" w14:textId="273BA8A8" w:rsidR="003C1F44" w:rsidRPr="003C1F44" w:rsidRDefault="003C1F44" w:rsidP="00C8763D">
      <w:pPr>
        <w:rPr>
          <w:u w:val="single"/>
        </w:rPr>
      </w:pPr>
      <w:r w:rsidRPr="003C1F44">
        <w:rPr>
          <w:u w:val="single"/>
        </w:rPr>
        <w:t>HARQ</w:t>
      </w:r>
    </w:p>
    <w:p w14:paraId="6832CE4E" w14:textId="0F1E1AA7" w:rsidR="00E53999" w:rsidRPr="00BE7DB5" w:rsidRDefault="00E53999" w:rsidP="00E53999">
      <w:pPr>
        <w:adjustRightInd w:val="0"/>
        <w:snapToGrid w:val="0"/>
        <w:spacing w:line="240" w:lineRule="auto"/>
        <w:jc w:val="both"/>
        <w:rPr>
          <w:b/>
          <w:bCs/>
          <w:i/>
          <w:iCs/>
        </w:rPr>
      </w:pPr>
      <w:r>
        <w:rPr>
          <w:b/>
          <w:bCs/>
          <w:i/>
          <w:iCs/>
        </w:rPr>
        <w:t>Proposal 1</w:t>
      </w:r>
      <w:r>
        <w:rPr>
          <w:b/>
          <w:bCs/>
          <w:i/>
          <w:iCs/>
        </w:rPr>
        <w:t>0</w:t>
      </w:r>
      <w:r>
        <w:rPr>
          <w:b/>
          <w:bCs/>
          <w:i/>
          <w:iCs/>
        </w:rPr>
        <w:t xml:space="preserve">: </w:t>
      </w:r>
      <w:r w:rsidRPr="0041467E">
        <w:rPr>
          <w:b/>
          <w:bCs/>
          <w:i/>
          <w:iCs/>
        </w:rPr>
        <w:t xml:space="preserve">A single HARQ process pool is </w:t>
      </w:r>
      <w:r>
        <w:rPr>
          <w:b/>
          <w:bCs/>
          <w:i/>
          <w:iCs/>
        </w:rPr>
        <w:t>configured</w:t>
      </w:r>
      <w:r w:rsidRPr="0041467E">
        <w:rPr>
          <w:b/>
          <w:bCs/>
          <w:i/>
          <w:iCs/>
        </w:rPr>
        <w:t xml:space="preserve"> </w:t>
      </w:r>
      <w:r>
        <w:rPr>
          <w:b/>
          <w:bCs/>
          <w:i/>
          <w:iCs/>
        </w:rPr>
        <w:t>per carrier for DL and UL. This single DL pool is shared by all DL transmissions on a carrier irrespective of CORESET configuration. The single UL pool is shared by grant-free and grant-based UL transmissions.</w:t>
      </w:r>
    </w:p>
    <w:p w14:paraId="6AB42FD5" w14:textId="63146FDC" w:rsidR="008C3408" w:rsidRDefault="00876002" w:rsidP="008C3408">
      <w:pPr>
        <w:pStyle w:val="Heading1"/>
      </w:pPr>
      <w:r>
        <w:t>References</w:t>
      </w:r>
    </w:p>
    <w:p w14:paraId="192020C7" w14:textId="77777777" w:rsidR="00876002" w:rsidRDefault="00876002" w:rsidP="008C3408">
      <w:pPr>
        <w:pStyle w:val="Reference"/>
        <w:rPr>
          <w:lang w:val="en-GB" w:eastAsia="zh-CN"/>
        </w:rPr>
      </w:pPr>
      <w:bookmarkStart w:id="12" w:name="_Ref492309338"/>
      <w:r>
        <w:rPr>
          <w:lang w:val="en-GB" w:eastAsia="zh-CN"/>
        </w:rPr>
        <w:t>“</w:t>
      </w:r>
      <w:r>
        <w:rPr>
          <w:lang w:val="en-GB" w:eastAsia="zh-CN"/>
        </w:rPr>
        <w:t>RAN1 Chairman</w:t>
      </w:r>
      <w:r>
        <w:rPr>
          <w:lang w:val="en-GB" w:eastAsia="zh-CN"/>
        </w:rPr>
        <w:t>’</w:t>
      </w:r>
      <w:r>
        <w:rPr>
          <w:lang w:val="en-GB" w:eastAsia="zh-CN"/>
        </w:rPr>
        <w:t>s Notes</w:t>
      </w:r>
      <w:r>
        <w:rPr>
          <w:lang w:val="en-GB" w:eastAsia="zh-CN"/>
        </w:rPr>
        <w:t>”</w:t>
      </w:r>
      <w:r>
        <w:rPr>
          <w:lang w:val="en-GB" w:eastAsia="zh-CN"/>
        </w:rPr>
        <w:t>, 3GPP TSG RAN WG1 Meeting NR #1, January 2017.</w:t>
      </w:r>
      <w:bookmarkEnd w:id="12"/>
    </w:p>
    <w:p w14:paraId="6ADD66D9" w14:textId="707AD138" w:rsidR="00876002" w:rsidRDefault="00876002" w:rsidP="008C3408">
      <w:pPr>
        <w:pStyle w:val="Reference"/>
        <w:rPr>
          <w:lang w:val="en-GB" w:eastAsia="zh-CN"/>
        </w:rPr>
      </w:pPr>
      <w:bookmarkStart w:id="13" w:name="_Ref492309327"/>
      <w:r w:rsidRPr="00876002">
        <w:rPr>
          <w:lang w:val="en-GB" w:eastAsia="zh-CN"/>
        </w:rPr>
        <w:t>“</w:t>
      </w:r>
      <w:r w:rsidRPr="00876002">
        <w:rPr>
          <w:lang w:val="en-GB" w:eastAsia="zh-CN"/>
        </w:rPr>
        <w:t>RAN1 Chairman</w:t>
      </w:r>
      <w:r w:rsidRPr="00876002">
        <w:rPr>
          <w:lang w:val="en-GB" w:eastAsia="zh-CN"/>
        </w:rPr>
        <w:t>’</w:t>
      </w:r>
      <w:r w:rsidRPr="00876002">
        <w:rPr>
          <w:lang w:val="en-GB" w:eastAsia="zh-CN"/>
        </w:rPr>
        <w:t>s Notes</w:t>
      </w:r>
      <w:r w:rsidRPr="00876002">
        <w:rPr>
          <w:lang w:val="en-GB" w:eastAsia="zh-CN"/>
        </w:rPr>
        <w:t>”</w:t>
      </w:r>
      <w:r w:rsidRPr="00876002">
        <w:rPr>
          <w:lang w:val="en-GB" w:eastAsia="zh-CN"/>
        </w:rPr>
        <w:t>, 3GPP TSG RAN WG1 Meeting #90, August 2017.</w:t>
      </w:r>
      <w:bookmarkEnd w:id="13"/>
    </w:p>
    <w:p w14:paraId="32B933E0" w14:textId="66239725" w:rsidR="00EA77E9" w:rsidRPr="00876002" w:rsidRDefault="00EA77E9" w:rsidP="008C3408">
      <w:pPr>
        <w:pStyle w:val="Reference"/>
        <w:rPr>
          <w:lang w:val="en-GB" w:eastAsia="zh-CN"/>
        </w:rPr>
      </w:pPr>
      <w:bookmarkStart w:id="14" w:name="_Ref497724196"/>
      <w:r>
        <w:rPr>
          <w:lang w:val="en-GB" w:eastAsia="zh-CN"/>
        </w:rPr>
        <w:t>“</w:t>
      </w:r>
      <w:r>
        <w:rPr>
          <w:lang w:val="en-GB" w:eastAsia="zh-CN"/>
        </w:rPr>
        <w:t>RAN1 Chairman</w:t>
      </w:r>
      <w:r>
        <w:rPr>
          <w:lang w:val="en-GB" w:eastAsia="zh-CN"/>
        </w:rPr>
        <w:t>’</w:t>
      </w:r>
      <w:r>
        <w:rPr>
          <w:lang w:val="en-GB" w:eastAsia="zh-CN"/>
        </w:rPr>
        <w:t>s Notes</w:t>
      </w:r>
      <w:r>
        <w:rPr>
          <w:lang w:val="en-GB" w:eastAsia="zh-CN"/>
        </w:rPr>
        <w:t>”</w:t>
      </w:r>
      <w:r>
        <w:rPr>
          <w:lang w:val="en-GB" w:eastAsia="zh-CN"/>
        </w:rPr>
        <w:t>, 3GPP TSG RAN WG1 Meeting #90bis, October 2017.</w:t>
      </w:r>
      <w:bookmarkEnd w:id="14"/>
    </w:p>
    <w:sectPr w:rsidR="00EA77E9" w:rsidRP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1E7FD" w14:textId="77777777" w:rsidR="008961C4" w:rsidRDefault="008961C4">
      <w:r>
        <w:separator/>
      </w:r>
    </w:p>
  </w:endnote>
  <w:endnote w:type="continuationSeparator" w:id="0">
    <w:p w14:paraId="3A0E2CB8" w14:textId="77777777" w:rsidR="008961C4" w:rsidRDefault="008961C4">
      <w:r>
        <w:continuationSeparator/>
      </w:r>
    </w:p>
  </w:endnote>
  <w:endnote w:type="continuationNotice" w:id="1">
    <w:p w14:paraId="5863D448" w14:textId="77777777" w:rsidR="008961C4" w:rsidRDefault="00896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61B27" w14:textId="77777777" w:rsidR="008961C4" w:rsidRDefault="008961C4">
      <w:r>
        <w:separator/>
      </w:r>
    </w:p>
  </w:footnote>
  <w:footnote w:type="continuationSeparator" w:id="0">
    <w:p w14:paraId="2FABE2A0" w14:textId="77777777" w:rsidR="008961C4" w:rsidRDefault="008961C4">
      <w:r>
        <w:continuationSeparator/>
      </w:r>
    </w:p>
  </w:footnote>
  <w:footnote w:type="continuationNotice" w:id="1">
    <w:p w14:paraId="5FBBB986" w14:textId="77777777" w:rsidR="008961C4" w:rsidRDefault="008961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6449F"/>
    <w:multiLevelType w:val="hybridMultilevel"/>
    <w:tmpl w:val="A1BAEC10"/>
    <w:lvl w:ilvl="0" w:tplc="E54E74EE">
      <w:start w:val="1"/>
      <w:numFmt w:val="bullet"/>
      <w:lvlText w:val=""/>
      <w:lvlJc w:val="left"/>
      <w:pPr>
        <w:tabs>
          <w:tab w:val="num" w:pos="720"/>
        </w:tabs>
        <w:ind w:left="720" w:hanging="360"/>
      </w:pPr>
      <w:rPr>
        <w:rFonts w:ascii="Symbol" w:hAnsi="Symbol" w:hint="default"/>
      </w:rPr>
    </w:lvl>
    <w:lvl w:ilvl="1" w:tplc="605E6A8A">
      <w:numFmt w:val="bullet"/>
      <w:lvlText w:val="o"/>
      <w:lvlJc w:val="left"/>
      <w:pPr>
        <w:tabs>
          <w:tab w:val="num" w:pos="1440"/>
        </w:tabs>
        <w:ind w:left="1440" w:hanging="360"/>
      </w:pPr>
      <w:rPr>
        <w:rFonts w:ascii="Courier New" w:hAnsi="Courier New" w:hint="default"/>
      </w:rPr>
    </w:lvl>
    <w:lvl w:ilvl="2" w:tplc="A2E24F14" w:tentative="1">
      <w:start w:val="1"/>
      <w:numFmt w:val="bullet"/>
      <w:lvlText w:val=""/>
      <w:lvlJc w:val="left"/>
      <w:pPr>
        <w:tabs>
          <w:tab w:val="num" w:pos="2160"/>
        </w:tabs>
        <w:ind w:left="2160" w:hanging="360"/>
      </w:pPr>
      <w:rPr>
        <w:rFonts w:ascii="Symbol" w:hAnsi="Symbol" w:hint="default"/>
      </w:rPr>
    </w:lvl>
    <w:lvl w:ilvl="3" w:tplc="3788C1B0" w:tentative="1">
      <w:start w:val="1"/>
      <w:numFmt w:val="bullet"/>
      <w:lvlText w:val=""/>
      <w:lvlJc w:val="left"/>
      <w:pPr>
        <w:tabs>
          <w:tab w:val="num" w:pos="2880"/>
        </w:tabs>
        <w:ind w:left="2880" w:hanging="360"/>
      </w:pPr>
      <w:rPr>
        <w:rFonts w:ascii="Symbol" w:hAnsi="Symbol" w:hint="default"/>
      </w:rPr>
    </w:lvl>
    <w:lvl w:ilvl="4" w:tplc="16123164" w:tentative="1">
      <w:start w:val="1"/>
      <w:numFmt w:val="bullet"/>
      <w:lvlText w:val=""/>
      <w:lvlJc w:val="left"/>
      <w:pPr>
        <w:tabs>
          <w:tab w:val="num" w:pos="3600"/>
        </w:tabs>
        <w:ind w:left="3600" w:hanging="360"/>
      </w:pPr>
      <w:rPr>
        <w:rFonts w:ascii="Symbol" w:hAnsi="Symbol" w:hint="default"/>
      </w:rPr>
    </w:lvl>
    <w:lvl w:ilvl="5" w:tplc="0FE64A66" w:tentative="1">
      <w:start w:val="1"/>
      <w:numFmt w:val="bullet"/>
      <w:lvlText w:val=""/>
      <w:lvlJc w:val="left"/>
      <w:pPr>
        <w:tabs>
          <w:tab w:val="num" w:pos="4320"/>
        </w:tabs>
        <w:ind w:left="4320" w:hanging="360"/>
      </w:pPr>
      <w:rPr>
        <w:rFonts w:ascii="Symbol" w:hAnsi="Symbol" w:hint="default"/>
      </w:rPr>
    </w:lvl>
    <w:lvl w:ilvl="6" w:tplc="AFD638D0" w:tentative="1">
      <w:start w:val="1"/>
      <w:numFmt w:val="bullet"/>
      <w:lvlText w:val=""/>
      <w:lvlJc w:val="left"/>
      <w:pPr>
        <w:tabs>
          <w:tab w:val="num" w:pos="5040"/>
        </w:tabs>
        <w:ind w:left="5040" w:hanging="360"/>
      </w:pPr>
      <w:rPr>
        <w:rFonts w:ascii="Symbol" w:hAnsi="Symbol" w:hint="default"/>
      </w:rPr>
    </w:lvl>
    <w:lvl w:ilvl="7" w:tplc="E006F744" w:tentative="1">
      <w:start w:val="1"/>
      <w:numFmt w:val="bullet"/>
      <w:lvlText w:val=""/>
      <w:lvlJc w:val="left"/>
      <w:pPr>
        <w:tabs>
          <w:tab w:val="num" w:pos="5760"/>
        </w:tabs>
        <w:ind w:left="5760" w:hanging="360"/>
      </w:pPr>
      <w:rPr>
        <w:rFonts w:ascii="Symbol" w:hAnsi="Symbol" w:hint="default"/>
      </w:rPr>
    </w:lvl>
    <w:lvl w:ilvl="8" w:tplc="91BEC3C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BC51D7B"/>
    <w:multiLevelType w:val="hybridMultilevel"/>
    <w:tmpl w:val="75B4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4841A40"/>
    <w:multiLevelType w:val="hybridMultilevel"/>
    <w:tmpl w:val="98C2D51E"/>
    <w:lvl w:ilvl="0" w:tplc="9C2E118A">
      <w:start w:val="1"/>
      <w:numFmt w:val="bullet"/>
      <w:lvlText w:val="•"/>
      <w:lvlJc w:val="left"/>
      <w:pPr>
        <w:tabs>
          <w:tab w:val="num" w:pos="720"/>
        </w:tabs>
        <w:ind w:left="720" w:hanging="360"/>
      </w:pPr>
      <w:rPr>
        <w:rFonts w:ascii="Arial" w:hAnsi="Arial" w:hint="default"/>
      </w:rPr>
    </w:lvl>
    <w:lvl w:ilvl="1" w:tplc="34B203C0">
      <w:numFmt w:val="bullet"/>
      <w:lvlText w:val="–"/>
      <w:lvlJc w:val="left"/>
      <w:pPr>
        <w:tabs>
          <w:tab w:val="num" w:pos="1440"/>
        </w:tabs>
        <w:ind w:left="1440" w:hanging="360"/>
      </w:pPr>
      <w:rPr>
        <w:rFonts w:ascii="Arial" w:hAnsi="Arial" w:hint="default"/>
      </w:rPr>
    </w:lvl>
    <w:lvl w:ilvl="2" w:tplc="220EF7EC">
      <w:numFmt w:val="bullet"/>
      <w:lvlText w:val="•"/>
      <w:lvlJc w:val="left"/>
      <w:pPr>
        <w:tabs>
          <w:tab w:val="num" w:pos="2160"/>
        </w:tabs>
        <w:ind w:left="2160" w:hanging="360"/>
      </w:pPr>
      <w:rPr>
        <w:rFonts w:ascii="Arial" w:hAnsi="Arial" w:hint="default"/>
      </w:rPr>
    </w:lvl>
    <w:lvl w:ilvl="3" w:tplc="9FC005F2" w:tentative="1">
      <w:start w:val="1"/>
      <w:numFmt w:val="bullet"/>
      <w:lvlText w:val="•"/>
      <w:lvlJc w:val="left"/>
      <w:pPr>
        <w:tabs>
          <w:tab w:val="num" w:pos="2880"/>
        </w:tabs>
        <w:ind w:left="2880" w:hanging="360"/>
      </w:pPr>
      <w:rPr>
        <w:rFonts w:ascii="Arial" w:hAnsi="Arial" w:hint="default"/>
      </w:rPr>
    </w:lvl>
    <w:lvl w:ilvl="4" w:tplc="5E94DF6E" w:tentative="1">
      <w:start w:val="1"/>
      <w:numFmt w:val="bullet"/>
      <w:lvlText w:val="•"/>
      <w:lvlJc w:val="left"/>
      <w:pPr>
        <w:tabs>
          <w:tab w:val="num" w:pos="3600"/>
        </w:tabs>
        <w:ind w:left="3600" w:hanging="360"/>
      </w:pPr>
      <w:rPr>
        <w:rFonts w:ascii="Arial" w:hAnsi="Arial" w:hint="default"/>
      </w:rPr>
    </w:lvl>
    <w:lvl w:ilvl="5" w:tplc="FBB272A8" w:tentative="1">
      <w:start w:val="1"/>
      <w:numFmt w:val="bullet"/>
      <w:lvlText w:val="•"/>
      <w:lvlJc w:val="left"/>
      <w:pPr>
        <w:tabs>
          <w:tab w:val="num" w:pos="4320"/>
        </w:tabs>
        <w:ind w:left="4320" w:hanging="360"/>
      </w:pPr>
      <w:rPr>
        <w:rFonts w:ascii="Arial" w:hAnsi="Arial" w:hint="default"/>
      </w:rPr>
    </w:lvl>
    <w:lvl w:ilvl="6" w:tplc="29F2971E" w:tentative="1">
      <w:start w:val="1"/>
      <w:numFmt w:val="bullet"/>
      <w:lvlText w:val="•"/>
      <w:lvlJc w:val="left"/>
      <w:pPr>
        <w:tabs>
          <w:tab w:val="num" w:pos="5040"/>
        </w:tabs>
        <w:ind w:left="5040" w:hanging="360"/>
      </w:pPr>
      <w:rPr>
        <w:rFonts w:ascii="Arial" w:hAnsi="Arial" w:hint="default"/>
      </w:rPr>
    </w:lvl>
    <w:lvl w:ilvl="7" w:tplc="DEBC82B4" w:tentative="1">
      <w:start w:val="1"/>
      <w:numFmt w:val="bullet"/>
      <w:lvlText w:val="•"/>
      <w:lvlJc w:val="left"/>
      <w:pPr>
        <w:tabs>
          <w:tab w:val="num" w:pos="5760"/>
        </w:tabs>
        <w:ind w:left="5760" w:hanging="360"/>
      </w:pPr>
      <w:rPr>
        <w:rFonts w:ascii="Arial" w:hAnsi="Arial" w:hint="default"/>
      </w:rPr>
    </w:lvl>
    <w:lvl w:ilvl="8" w:tplc="923460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7BB63EB"/>
    <w:multiLevelType w:val="hybridMultilevel"/>
    <w:tmpl w:val="FDAA2786"/>
    <w:lvl w:ilvl="0" w:tplc="C212E89E">
      <w:start w:val="1"/>
      <w:numFmt w:val="bullet"/>
      <w:lvlText w:val="•"/>
      <w:lvlJc w:val="left"/>
      <w:pPr>
        <w:tabs>
          <w:tab w:val="num" w:pos="720"/>
        </w:tabs>
        <w:ind w:left="720" w:hanging="360"/>
      </w:pPr>
      <w:rPr>
        <w:rFonts w:ascii="Arial" w:hAnsi="Arial" w:hint="default"/>
      </w:rPr>
    </w:lvl>
    <w:lvl w:ilvl="1" w:tplc="7892082A">
      <w:numFmt w:val="bullet"/>
      <w:lvlText w:val="–"/>
      <w:lvlJc w:val="left"/>
      <w:pPr>
        <w:tabs>
          <w:tab w:val="num" w:pos="1440"/>
        </w:tabs>
        <w:ind w:left="1440" w:hanging="360"/>
      </w:pPr>
      <w:rPr>
        <w:rFonts w:ascii="Arial" w:hAnsi="Arial" w:hint="default"/>
      </w:rPr>
    </w:lvl>
    <w:lvl w:ilvl="2" w:tplc="7626F494" w:tentative="1">
      <w:start w:val="1"/>
      <w:numFmt w:val="bullet"/>
      <w:lvlText w:val="•"/>
      <w:lvlJc w:val="left"/>
      <w:pPr>
        <w:tabs>
          <w:tab w:val="num" w:pos="2160"/>
        </w:tabs>
        <w:ind w:left="2160" w:hanging="360"/>
      </w:pPr>
      <w:rPr>
        <w:rFonts w:ascii="Arial" w:hAnsi="Arial" w:hint="default"/>
      </w:rPr>
    </w:lvl>
    <w:lvl w:ilvl="3" w:tplc="8CDA1F20" w:tentative="1">
      <w:start w:val="1"/>
      <w:numFmt w:val="bullet"/>
      <w:lvlText w:val="•"/>
      <w:lvlJc w:val="left"/>
      <w:pPr>
        <w:tabs>
          <w:tab w:val="num" w:pos="2880"/>
        </w:tabs>
        <w:ind w:left="2880" w:hanging="360"/>
      </w:pPr>
      <w:rPr>
        <w:rFonts w:ascii="Arial" w:hAnsi="Arial" w:hint="default"/>
      </w:rPr>
    </w:lvl>
    <w:lvl w:ilvl="4" w:tplc="8960903C" w:tentative="1">
      <w:start w:val="1"/>
      <w:numFmt w:val="bullet"/>
      <w:lvlText w:val="•"/>
      <w:lvlJc w:val="left"/>
      <w:pPr>
        <w:tabs>
          <w:tab w:val="num" w:pos="3600"/>
        </w:tabs>
        <w:ind w:left="3600" w:hanging="360"/>
      </w:pPr>
      <w:rPr>
        <w:rFonts w:ascii="Arial" w:hAnsi="Arial" w:hint="default"/>
      </w:rPr>
    </w:lvl>
    <w:lvl w:ilvl="5" w:tplc="E69456C0" w:tentative="1">
      <w:start w:val="1"/>
      <w:numFmt w:val="bullet"/>
      <w:lvlText w:val="•"/>
      <w:lvlJc w:val="left"/>
      <w:pPr>
        <w:tabs>
          <w:tab w:val="num" w:pos="4320"/>
        </w:tabs>
        <w:ind w:left="4320" w:hanging="360"/>
      </w:pPr>
      <w:rPr>
        <w:rFonts w:ascii="Arial" w:hAnsi="Arial" w:hint="default"/>
      </w:rPr>
    </w:lvl>
    <w:lvl w:ilvl="6" w:tplc="93BABB1A" w:tentative="1">
      <w:start w:val="1"/>
      <w:numFmt w:val="bullet"/>
      <w:lvlText w:val="•"/>
      <w:lvlJc w:val="left"/>
      <w:pPr>
        <w:tabs>
          <w:tab w:val="num" w:pos="5040"/>
        </w:tabs>
        <w:ind w:left="5040" w:hanging="360"/>
      </w:pPr>
      <w:rPr>
        <w:rFonts w:ascii="Arial" w:hAnsi="Arial" w:hint="default"/>
      </w:rPr>
    </w:lvl>
    <w:lvl w:ilvl="7" w:tplc="4C640DF4" w:tentative="1">
      <w:start w:val="1"/>
      <w:numFmt w:val="bullet"/>
      <w:lvlText w:val="•"/>
      <w:lvlJc w:val="left"/>
      <w:pPr>
        <w:tabs>
          <w:tab w:val="num" w:pos="5760"/>
        </w:tabs>
        <w:ind w:left="5760" w:hanging="360"/>
      </w:pPr>
      <w:rPr>
        <w:rFonts w:ascii="Arial" w:hAnsi="Arial" w:hint="default"/>
      </w:rPr>
    </w:lvl>
    <w:lvl w:ilvl="8" w:tplc="B8EA76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EE249B"/>
    <w:multiLevelType w:val="hybridMultilevel"/>
    <w:tmpl w:val="110C499E"/>
    <w:lvl w:ilvl="0" w:tplc="B7CECEF4">
      <w:start w:val="1"/>
      <w:numFmt w:val="bullet"/>
      <w:lvlText w:val="•"/>
      <w:lvlJc w:val="left"/>
      <w:pPr>
        <w:tabs>
          <w:tab w:val="num" w:pos="720"/>
        </w:tabs>
        <w:ind w:left="720" w:hanging="360"/>
      </w:pPr>
      <w:rPr>
        <w:rFonts w:ascii="Arial" w:hAnsi="Arial" w:hint="default"/>
      </w:rPr>
    </w:lvl>
    <w:lvl w:ilvl="1" w:tplc="059807EE">
      <w:numFmt w:val="bullet"/>
      <w:lvlText w:val="o"/>
      <w:lvlJc w:val="left"/>
      <w:pPr>
        <w:tabs>
          <w:tab w:val="num" w:pos="1440"/>
        </w:tabs>
        <w:ind w:left="1440" w:hanging="360"/>
      </w:pPr>
      <w:rPr>
        <w:rFonts w:ascii="Courier New" w:hAnsi="Courier New" w:hint="default"/>
      </w:rPr>
    </w:lvl>
    <w:lvl w:ilvl="2" w:tplc="7D7EC1B2" w:tentative="1">
      <w:start w:val="1"/>
      <w:numFmt w:val="bullet"/>
      <w:lvlText w:val="•"/>
      <w:lvlJc w:val="left"/>
      <w:pPr>
        <w:tabs>
          <w:tab w:val="num" w:pos="2160"/>
        </w:tabs>
        <w:ind w:left="2160" w:hanging="360"/>
      </w:pPr>
      <w:rPr>
        <w:rFonts w:ascii="Arial" w:hAnsi="Arial" w:hint="default"/>
      </w:rPr>
    </w:lvl>
    <w:lvl w:ilvl="3" w:tplc="663204B4" w:tentative="1">
      <w:start w:val="1"/>
      <w:numFmt w:val="bullet"/>
      <w:lvlText w:val="•"/>
      <w:lvlJc w:val="left"/>
      <w:pPr>
        <w:tabs>
          <w:tab w:val="num" w:pos="2880"/>
        </w:tabs>
        <w:ind w:left="2880" w:hanging="360"/>
      </w:pPr>
      <w:rPr>
        <w:rFonts w:ascii="Arial" w:hAnsi="Arial" w:hint="default"/>
      </w:rPr>
    </w:lvl>
    <w:lvl w:ilvl="4" w:tplc="B44420D4" w:tentative="1">
      <w:start w:val="1"/>
      <w:numFmt w:val="bullet"/>
      <w:lvlText w:val="•"/>
      <w:lvlJc w:val="left"/>
      <w:pPr>
        <w:tabs>
          <w:tab w:val="num" w:pos="3600"/>
        </w:tabs>
        <w:ind w:left="3600" w:hanging="360"/>
      </w:pPr>
      <w:rPr>
        <w:rFonts w:ascii="Arial" w:hAnsi="Arial" w:hint="default"/>
      </w:rPr>
    </w:lvl>
    <w:lvl w:ilvl="5" w:tplc="B5400F42" w:tentative="1">
      <w:start w:val="1"/>
      <w:numFmt w:val="bullet"/>
      <w:lvlText w:val="•"/>
      <w:lvlJc w:val="left"/>
      <w:pPr>
        <w:tabs>
          <w:tab w:val="num" w:pos="4320"/>
        </w:tabs>
        <w:ind w:left="4320" w:hanging="360"/>
      </w:pPr>
      <w:rPr>
        <w:rFonts w:ascii="Arial" w:hAnsi="Arial" w:hint="default"/>
      </w:rPr>
    </w:lvl>
    <w:lvl w:ilvl="6" w:tplc="DA742FDA" w:tentative="1">
      <w:start w:val="1"/>
      <w:numFmt w:val="bullet"/>
      <w:lvlText w:val="•"/>
      <w:lvlJc w:val="left"/>
      <w:pPr>
        <w:tabs>
          <w:tab w:val="num" w:pos="5040"/>
        </w:tabs>
        <w:ind w:left="5040" w:hanging="360"/>
      </w:pPr>
      <w:rPr>
        <w:rFonts w:ascii="Arial" w:hAnsi="Arial" w:hint="default"/>
      </w:rPr>
    </w:lvl>
    <w:lvl w:ilvl="7" w:tplc="1FFC5FFA" w:tentative="1">
      <w:start w:val="1"/>
      <w:numFmt w:val="bullet"/>
      <w:lvlText w:val="•"/>
      <w:lvlJc w:val="left"/>
      <w:pPr>
        <w:tabs>
          <w:tab w:val="num" w:pos="5760"/>
        </w:tabs>
        <w:ind w:left="5760" w:hanging="360"/>
      </w:pPr>
      <w:rPr>
        <w:rFonts w:ascii="Arial" w:hAnsi="Arial" w:hint="default"/>
      </w:rPr>
    </w:lvl>
    <w:lvl w:ilvl="8" w:tplc="80A4BA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141BB0"/>
    <w:multiLevelType w:val="hybridMultilevel"/>
    <w:tmpl w:val="D9901D3E"/>
    <w:lvl w:ilvl="0" w:tplc="4A389B7E">
      <w:start w:val="1"/>
      <w:numFmt w:val="bullet"/>
      <w:lvlText w:val="›"/>
      <w:lvlJc w:val="left"/>
      <w:pPr>
        <w:tabs>
          <w:tab w:val="num" w:pos="720"/>
        </w:tabs>
        <w:ind w:left="720" w:hanging="360"/>
      </w:pPr>
      <w:rPr>
        <w:rFonts w:ascii="Arial" w:hAnsi="Arial" w:hint="default"/>
      </w:rPr>
    </w:lvl>
    <w:lvl w:ilvl="1" w:tplc="D1207462" w:tentative="1">
      <w:start w:val="1"/>
      <w:numFmt w:val="bullet"/>
      <w:lvlText w:val="›"/>
      <w:lvlJc w:val="left"/>
      <w:pPr>
        <w:tabs>
          <w:tab w:val="num" w:pos="1440"/>
        </w:tabs>
        <w:ind w:left="1440" w:hanging="360"/>
      </w:pPr>
      <w:rPr>
        <w:rFonts w:ascii="Arial" w:hAnsi="Arial" w:hint="default"/>
      </w:rPr>
    </w:lvl>
    <w:lvl w:ilvl="2" w:tplc="489884D8" w:tentative="1">
      <w:start w:val="1"/>
      <w:numFmt w:val="bullet"/>
      <w:lvlText w:val="›"/>
      <w:lvlJc w:val="left"/>
      <w:pPr>
        <w:tabs>
          <w:tab w:val="num" w:pos="2160"/>
        </w:tabs>
        <w:ind w:left="2160" w:hanging="360"/>
      </w:pPr>
      <w:rPr>
        <w:rFonts w:ascii="Arial" w:hAnsi="Arial" w:hint="default"/>
      </w:rPr>
    </w:lvl>
    <w:lvl w:ilvl="3" w:tplc="BE66C128" w:tentative="1">
      <w:start w:val="1"/>
      <w:numFmt w:val="bullet"/>
      <w:lvlText w:val="›"/>
      <w:lvlJc w:val="left"/>
      <w:pPr>
        <w:tabs>
          <w:tab w:val="num" w:pos="2880"/>
        </w:tabs>
        <w:ind w:left="2880" w:hanging="360"/>
      </w:pPr>
      <w:rPr>
        <w:rFonts w:ascii="Arial" w:hAnsi="Arial" w:hint="default"/>
      </w:rPr>
    </w:lvl>
    <w:lvl w:ilvl="4" w:tplc="BD7014A0" w:tentative="1">
      <w:start w:val="1"/>
      <w:numFmt w:val="bullet"/>
      <w:lvlText w:val="›"/>
      <w:lvlJc w:val="left"/>
      <w:pPr>
        <w:tabs>
          <w:tab w:val="num" w:pos="3600"/>
        </w:tabs>
        <w:ind w:left="3600" w:hanging="360"/>
      </w:pPr>
      <w:rPr>
        <w:rFonts w:ascii="Arial" w:hAnsi="Arial" w:hint="default"/>
      </w:rPr>
    </w:lvl>
    <w:lvl w:ilvl="5" w:tplc="8020D85C" w:tentative="1">
      <w:start w:val="1"/>
      <w:numFmt w:val="bullet"/>
      <w:lvlText w:val="›"/>
      <w:lvlJc w:val="left"/>
      <w:pPr>
        <w:tabs>
          <w:tab w:val="num" w:pos="4320"/>
        </w:tabs>
        <w:ind w:left="4320" w:hanging="360"/>
      </w:pPr>
      <w:rPr>
        <w:rFonts w:ascii="Arial" w:hAnsi="Arial" w:hint="default"/>
      </w:rPr>
    </w:lvl>
    <w:lvl w:ilvl="6" w:tplc="FBB4CDE6" w:tentative="1">
      <w:start w:val="1"/>
      <w:numFmt w:val="bullet"/>
      <w:lvlText w:val="›"/>
      <w:lvlJc w:val="left"/>
      <w:pPr>
        <w:tabs>
          <w:tab w:val="num" w:pos="5040"/>
        </w:tabs>
        <w:ind w:left="5040" w:hanging="360"/>
      </w:pPr>
      <w:rPr>
        <w:rFonts w:ascii="Arial" w:hAnsi="Arial" w:hint="default"/>
      </w:rPr>
    </w:lvl>
    <w:lvl w:ilvl="7" w:tplc="9920FDE4" w:tentative="1">
      <w:start w:val="1"/>
      <w:numFmt w:val="bullet"/>
      <w:lvlText w:val="›"/>
      <w:lvlJc w:val="left"/>
      <w:pPr>
        <w:tabs>
          <w:tab w:val="num" w:pos="5760"/>
        </w:tabs>
        <w:ind w:left="5760" w:hanging="360"/>
      </w:pPr>
      <w:rPr>
        <w:rFonts w:ascii="Arial" w:hAnsi="Arial" w:hint="default"/>
      </w:rPr>
    </w:lvl>
    <w:lvl w:ilvl="8" w:tplc="BDAAC1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9"/>
  </w:num>
  <w:num w:numId="8">
    <w:abstractNumId w:val="8"/>
  </w:num>
  <w:num w:numId="9">
    <w:abstractNumId w:val="15"/>
  </w:num>
  <w:num w:numId="10">
    <w:abstractNumId w:val="5"/>
  </w:num>
  <w:num w:numId="11">
    <w:abstractNumId w:val="6"/>
  </w:num>
  <w:num w:numId="12">
    <w:abstractNumId w:val="9"/>
  </w:num>
  <w:num w:numId="13">
    <w:abstractNumId w:val="1"/>
  </w:num>
  <w:num w:numId="14">
    <w:abstractNumId w:val="17"/>
  </w:num>
  <w:num w:numId="15">
    <w:abstractNumId w:val="3"/>
  </w:num>
  <w:num w:numId="16">
    <w:abstractNumId w:val="26"/>
  </w:num>
  <w:num w:numId="17">
    <w:abstractNumId w:val="20"/>
  </w:num>
  <w:num w:numId="18">
    <w:abstractNumId w:val="24"/>
  </w:num>
  <w:num w:numId="19">
    <w:abstractNumId w:val="27"/>
  </w:num>
  <w:num w:numId="20">
    <w:abstractNumId w:val="21"/>
  </w:num>
  <w:num w:numId="21">
    <w:abstractNumId w:val="10"/>
  </w:num>
  <w:num w:numId="22">
    <w:abstractNumId w:val="22"/>
  </w:num>
  <w:num w:numId="23">
    <w:abstractNumId w:val="4"/>
  </w:num>
  <w:num w:numId="24">
    <w:abstractNumId w:val="23"/>
  </w:num>
  <w:num w:numId="25">
    <w:abstractNumId w:val="16"/>
  </w:num>
  <w:num w:numId="26">
    <w:abstractNumId w:val="2"/>
  </w:num>
  <w:num w:numId="27">
    <w:abstractNumId w:val="25"/>
  </w:num>
  <w:num w:numId="2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C1"/>
    <w:rsid w:val="00006896"/>
    <w:rsid w:val="00007CDC"/>
    <w:rsid w:val="00007EDB"/>
    <w:rsid w:val="00010036"/>
    <w:rsid w:val="00011B28"/>
    <w:rsid w:val="00015154"/>
    <w:rsid w:val="00015D15"/>
    <w:rsid w:val="00015F6F"/>
    <w:rsid w:val="00020C8A"/>
    <w:rsid w:val="00020EEF"/>
    <w:rsid w:val="000211D9"/>
    <w:rsid w:val="00023A04"/>
    <w:rsid w:val="00024345"/>
    <w:rsid w:val="0002564D"/>
    <w:rsid w:val="00025ECA"/>
    <w:rsid w:val="0002662F"/>
    <w:rsid w:val="000266D4"/>
    <w:rsid w:val="0003178D"/>
    <w:rsid w:val="000325B8"/>
    <w:rsid w:val="00032982"/>
    <w:rsid w:val="000340C8"/>
    <w:rsid w:val="00034C15"/>
    <w:rsid w:val="00036BA1"/>
    <w:rsid w:val="000370CC"/>
    <w:rsid w:val="00041CAB"/>
    <w:rsid w:val="000422E2"/>
    <w:rsid w:val="00042F22"/>
    <w:rsid w:val="00043D80"/>
    <w:rsid w:val="000444EF"/>
    <w:rsid w:val="00045529"/>
    <w:rsid w:val="000476CE"/>
    <w:rsid w:val="000506A7"/>
    <w:rsid w:val="00052A07"/>
    <w:rsid w:val="00053282"/>
    <w:rsid w:val="000534E3"/>
    <w:rsid w:val="000558A4"/>
    <w:rsid w:val="0005606A"/>
    <w:rsid w:val="0005666E"/>
    <w:rsid w:val="00056D8D"/>
    <w:rsid w:val="00057117"/>
    <w:rsid w:val="000616E7"/>
    <w:rsid w:val="00062ACA"/>
    <w:rsid w:val="0006478A"/>
    <w:rsid w:val="0006487E"/>
    <w:rsid w:val="00065E1A"/>
    <w:rsid w:val="000701A6"/>
    <w:rsid w:val="00070F57"/>
    <w:rsid w:val="00071195"/>
    <w:rsid w:val="0007265B"/>
    <w:rsid w:val="00072D84"/>
    <w:rsid w:val="00076C39"/>
    <w:rsid w:val="00077E5F"/>
    <w:rsid w:val="0008036A"/>
    <w:rsid w:val="00081AE6"/>
    <w:rsid w:val="000821F8"/>
    <w:rsid w:val="0008411A"/>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95DAC"/>
    <w:rsid w:val="000A006F"/>
    <w:rsid w:val="000A1B7B"/>
    <w:rsid w:val="000A2241"/>
    <w:rsid w:val="000A27B7"/>
    <w:rsid w:val="000A3EEC"/>
    <w:rsid w:val="000A3FE8"/>
    <w:rsid w:val="000A56F2"/>
    <w:rsid w:val="000A5FE5"/>
    <w:rsid w:val="000B121A"/>
    <w:rsid w:val="000B2719"/>
    <w:rsid w:val="000B36E8"/>
    <w:rsid w:val="000B3A8F"/>
    <w:rsid w:val="000B4AB9"/>
    <w:rsid w:val="000B58C3"/>
    <w:rsid w:val="000B61E9"/>
    <w:rsid w:val="000B66A8"/>
    <w:rsid w:val="000B7B33"/>
    <w:rsid w:val="000C0FBF"/>
    <w:rsid w:val="000C165A"/>
    <w:rsid w:val="000C2E19"/>
    <w:rsid w:val="000C5374"/>
    <w:rsid w:val="000D0D07"/>
    <w:rsid w:val="000D1F37"/>
    <w:rsid w:val="000D3897"/>
    <w:rsid w:val="000D4797"/>
    <w:rsid w:val="000D5ACE"/>
    <w:rsid w:val="000E0527"/>
    <w:rsid w:val="000E17AD"/>
    <w:rsid w:val="000E1A1F"/>
    <w:rsid w:val="000E1E92"/>
    <w:rsid w:val="000E6B7D"/>
    <w:rsid w:val="000F06D6"/>
    <w:rsid w:val="000F0839"/>
    <w:rsid w:val="000F0EB1"/>
    <w:rsid w:val="000F1106"/>
    <w:rsid w:val="000F31A7"/>
    <w:rsid w:val="000F3BE9"/>
    <w:rsid w:val="000F3F6C"/>
    <w:rsid w:val="000F4CE5"/>
    <w:rsid w:val="000F6DF3"/>
    <w:rsid w:val="000F7070"/>
    <w:rsid w:val="001005FF"/>
    <w:rsid w:val="00100CAE"/>
    <w:rsid w:val="00100ED1"/>
    <w:rsid w:val="00101415"/>
    <w:rsid w:val="00103EEB"/>
    <w:rsid w:val="00105303"/>
    <w:rsid w:val="001062FB"/>
    <w:rsid w:val="001063E6"/>
    <w:rsid w:val="00106712"/>
    <w:rsid w:val="001079A6"/>
    <w:rsid w:val="00110A64"/>
    <w:rsid w:val="00110BC0"/>
    <w:rsid w:val="00110E51"/>
    <w:rsid w:val="00111DC7"/>
    <w:rsid w:val="00112AED"/>
    <w:rsid w:val="00113CF4"/>
    <w:rsid w:val="00114AEE"/>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A5E"/>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725"/>
    <w:rsid w:val="00151E23"/>
    <w:rsid w:val="001526E0"/>
    <w:rsid w:val="001551B5"/>
    <w:rsid w:val="00156F68"/>
    <w:rsid w:val="0016360E"/>
    <w:rsid w:val="00164D4A"/>
    <w:rsid w:val="001659C1"/>
    <w:rsid w:val="001668A6"/>
    <w:rsid w:val="00166E7F"/>
    <w:rsid w:val="00167763"/>
    <w:rsid w:val="001677C9"/>
    <w:rsid w:val="00170546"/>
    <w:rsid w:val="00170C0D"/>
    <w:rsid w:val="00170CC8"/>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86775"/>
    <w:rsid w:val="00186C06"/>
    <w:rsid w:val="00190AC1"/>
    <w:rsid w:val="0019341A"/>
    <w:rsid w:val="001975FE"/>
    <w:rsid w:val="00197DF9"/>
    <w:rsid w:val="001A0FF8"/>
    <w:rsid w:val="001A1987"/>
    <w:rsid w:val="001A1F7F"/>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1F17"/>
    <w:rsid w:val="001C2C68"/>
    <w:rsid w:val="001C3D2A"/>
    <w:rsid w:val="001C4491"/>
    <w:rsid w:val="001C6661"/>
    <w:rsid w:val="001C7626"/>
    <w:rsid w:val="001D51BA"/>
    <w:rsid w:val="001D582D"/>
    <w:rsid w:val="001D6342"/>
    <w:rsid w:val="001D6D53"/>
    <w:rsid w:val="001E1C24"/>
    <w:rsid w:val="001E342D"/>
    <w:rsid w:val="001E58E2"/>
    <w:rsid w:val="001E6E7C"/>
    <w:rsid w:val="001E7AED"/>
    <w:rsid w:val="001F11F6"/>
    <w:rsid w:val="001F238A"/>
    <w:rsid w:val="001F344D"/>
    <w:rsid w:val="001F3916"/>
    <w:rsid w:val="001F54C5"/>
    <w:rsid w:val="001F662C"/>
    <w:rsid w:val="001F6E05"/>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18C5"/>
    <w:rsid w:val="002224DB"/>
    <w:rsid w:val="00223FCB"/>
    <w:rsid w:val="002252C3"/>
    <w:rsid w:val="00225C54"/>
    <w:rsid w:val="002260BE"/>
    <w:rsid w:val="00227817"/>
    <w:rsid w:val="00230765"/>
    <w:rsid w:val="002319E4"/>
    <w:rsid w:val="00231A9A"/>
    <w:rsid w:val="00232D4C"/>
    <w:rsid w:val="0023309C"/>
    <w:rsid w:val="002342CA"/>
    <w:rsid w:val="00235632"/>
    <w:rsid w:val="00235872"/>
    <w:rsid w:val="002371B0"/>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486C"/>
    <w:rsid w:val="00276040"/>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978B2"/>
    <w:rsid w:val="002A055E"/>
    <w:rsid w:val="002A10CB"/>
    <w:rsid w:val="002A1895"/>
    <w:rsid w:val="002A18F5"/>
    <w:rsid w:val="002A1B09"/>
    <w:rsid w:val="002A1D4E"/>
    <w:rsid w:val="002A24B9"/>
    <w:rsid w:val="002A2869"/>
    <w:rsid w:val="002A5201"/>
    <w:rsid w:val="002B0227"/>
    <w:rsid w:val="002B0907"/>
    <w:rsid w:val="002B145E"/>
    <w:rsid w:val="002B24D6"/>
    <w:rsid w:val="002B4CE9"/>
    <w:rsid w:val="002B78E3"/>
    <w:rsid w:val="002B7B52"/>
    <w:rsid w:val="002B7EF1"/>
    <w:rsid w:val="002C1B68"/>
    <w:rsid w:val="002C26FE"/>
    <w:rsid w:val="002C41E6"/>
    <w:rsid w:val="002C6788"/>
    <w:rsid w:val="002C6DA9"/>
    <w:rsid w:val="002D071A"/>
    <w:rsid w:val="002D1464"/>
    <w:rsid w:val="002D2F98"/>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49B2"/>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2B12"/>
    <w:rsid w:val="00334579"/>
    <w:rsid w:val="00335858"/>
    <w:rsid w:val="0033662A"/>
    <w:rsid w:val="00336BDA"/>
    <w:rsid w:val="00337F45"/>
    <w:rsid w:val="00341242"/>
    <w:rsid w:val="0034246D"/>
    <w:rsid w:val="00342BD7"/>
    <w:rsid w:val="00343A07"/>
    <w:rsid w:val="00344600"/>
    <w:rsid w:val="00346DB5"/>
    <w:rsid w:val="003477B1"/>
    <w:rsid w:val="00347D13"/>
    <w:rsid w:val="00354460"/>
    <w:rsid w:val="00355F21"/>
    <w:rsid w:val="00357380"/>
    <w:rsid w:val="003602D9"/>
    <w:rsid w:val="003604CE"/>
    <w:rsid w:val="003609A4"/>
    <w:rsid w:val="0036201D"/>
    <w:rsid w:val="0036204B"/>
    <w:rsid w:val="003639EA"/>
    <w:rsid w:val="00365F79"/>
    <w:rsid w:val="00370E47"/>
    <w:rsid w:val="003742AC"/>
    <w:rsid w:val="0037574C"/>
    <w:rsid w:val="003766F3"/>
    <w:rsid w:val="00377CE1"/>
    <w:rsid w:val="00385190"/>
    <w:rsid w:val="003858E9"/>
    <w:rsid w:val="00385BF0"/>
    <w:rsid w:val="003866F1"/>
    <w:rsid w:val="0038707C"/>
    <w:rsid w:val="003939FF"/>
    <w:rsid w:val="0039565F"/>
    <w:rsid w:val="003964D9"/>
    <w:rsid w:val="003972B2"/>
    <w:rsid w:val="003A0931"/>
    <w:rsid w:val="003A1059"/>
    <w:rsid w:val="003A1950"/>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1F44"/>
    <w:rsid w:val="003C2702"/>
    <w:rsid w:val="003C3524"/>
    <w:rsid w:val="003C39E5"/>
    <w:rsid w:val="003C3DD0"/>
    <w:rsid w:val="003C7806"/>
    <w:rsid w:val="003D0CD4"/>
    <w:rsid w:val="003D109F"/>
    <w:rsid w:val="003D1D01"/>
    <w:rsid w:val="003D2478"/>
    <w:rsid w:val="003D3C45"/>
    <w:rsid w:val="003D5B1F"/>
    <w:rsid w:val="003E058F"/>
    <w:rsid w:val="003E092E"/>
    <w:rsid w:val="003E15FA"/>
    <w:rsid w:val="003E1E1D"/>
    <w:rsid w:val="003E2583"/>
    <w:rsid w:val="003E25DB"/>
    <w:rsid w:val="003E55E4"/>
    <w:rsid w:val="003E5F40"/>
    <w:rsid w:val="003E6625"/>
    <w:rsid w:val="003E74E3"/>
    <w:rsid w:val="003F05C7"/>
    <w:rsid w:val="003F26FA"/>
    <w:rsid w:val="003F2CD4"/>
    <w:rsid w:val="003F6BBE"/>
    <w:rsid w:val="003F6CC6"/>
    <w:rsid w:val="004000E8"/>
    <w:rsid w:val="00402E2B"/>
    <w:rsid w:val="00403C51"/>
    <w:rsid w:val="0040512B"/>
    <w:rsid w:val="00405CA5"/>
    <w:rsid w:val="00406BE5"/>
    <w:rsid w:val="00407CD3"/>
    <w:rsid w:val="00410134"/>
    <w:rsid w:val="00410B72"/>
    <w:rsid w:val="00410F18"/>
    <w:rsid w:val="0041263E"/>
    <w:rsid w:val="00413AAC"/>
    <w:rsid w:val="0041467E"/>
    <w:rsid w:val="00417B2F"/>
    <w:rsid w:val="00421105"/>
    <w:rsid w:val="00421CDA"/>
    <w:rsid w:val="0042370F"/>
    <w:rsid w:val="00424107"/>
    <w:rsid w:val="004242F4"/>
    <w:rsid w:val="004248B0"/>
    <w:rsid w:val="00425746"/>
    <w:rsid w:val="00427248"/>
    <w:rsid w:val="00427D26"/>
    <w:rsid w:val="004314DE"/>
    <w:rsid w:val="00432938"/>
    <w:rsid w:val="0043506A"/>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4D1A"/>
    <w:rsid w:val="00466356"/>
    <w:rsid w:val="004669E2"/>
    <w:rsid w:val="00470C31"/>
    <w:rsid w:val="0047298C"/>
    <w:rsid w:val="004734D0"/>
    <w:rsid w:val="0047447B"/>
    <w:rsid w:val="00474CE8"/>
    <w:rsid w:val="0047556B"/>
    <w:rsid w:val="00476E0E"/>
    <w:rsid w:val="00477768"/>
    <w:rsid w:val="00484085"/>
    <w:rsid w:val="00484FD1"/>
    <w:rsid w:val="00486B52"/>
    <w:rsid w:val="004903E5"/>
    <w:rsid w:val="00492BC5"/>
    <w:rsid w:val="0049619C"/>
    <w:rsid w:val="004964F1"/>
    <w:rsid w:val="004A163A"/>
    <w:rsid w:val="004A16BC"/>
    <w:rsid w:val="004A1A15"/>
    <w:rsid w:val="004A2B94"/>
    <w:rsid w:val="004B35A3"/>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5FB8"/>
    <w:rsid w:val="004E6B56"/>
    <w:rsid w:val="004E7135"/>
    <w:rsid w:val="004E76F4"/>
    <w:rsid w:val="004F0B4E"/>
    <w:rsid w:val="004F0B6C"/>
    <w:rsid w:val="004F2078"/>
    <w:rsid w:val="004F2967"/>
    <w:rsid w:val="004F29AE"/>
    <w:rsid w:val="004F4DA3"/>
    <w:rsid w:val="004F5EC9"/>
    <w:rsid w:val="00500B4A"/>
    <w:rsid w:val="005011E7"/>
    <w:rsid w:val="00501BB9"/>
    <w:rsid w:val="0050591F"/>
    <w:rsid w:val="00506557"/>
    <w:rsid w:val="0050677A"/>
    <w:rsid w:val="00507EBD"/>
    <w:rsid w:val="005104C2"/>
    <w:rsid w:val="005108D8"/>
    <w:rsid w:val="005116F9"/>
    <w:rsid w:val="00513DE3"/>
    <w:rsid w:val="0051458F"/>
    <w:rsid w:val="005153A7"/>
    <w:rsid w:val="005171F9"/>
    <w:rsid w:val="005216B7"/>
    <w:rsid w:val="005219CF"/>
    <w:rsid w:val="00533575"/>
    <w:rsid w:val="00533C5F"/>
    <w:rsid w:val="00534B59"/>
    <w:rsid w:val="00535A21"/>
    <w:rsid w:val="0053671B"/>
    <w:rsid w:val="00536759"/>
    <w:rsid w:val="005367BD"/>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1E70"/>
    <w:rsid w:val="00572505"/>
    <w:rsid w:val="00575E73"/>
    <w:rsid w:val="00582809"/>
    <w:rsid w:val="005832F6"/>
    <w:rsid w:val="00585D35"/>
    <w:rsid w:val="0058798C"/>
    <w:rsid w:val="005900FA"/>
    <w:rsid w:val="005908B9"/>
    <w:rsid w:val="005935A4"/>
    <w:rsid w:val="00594166"/>
    <w:rsid w:val="00594551"/>
    <w:rsid w:val="005948C2"/>
    <w:rsid w:val="005952B2"/>
    <w:rsid w:val="00595DCA"/>
    <w:rsid w:val="00595EC8"/>
    <w:rsid w:val="0059779B"/>
    <w:rsid w:val="005A0A5B"/>
    <w:rsid w:val="005A209A"/>
    <w:rsid w:val="005A453E"/>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71C"/>
    <w:rsid w:val="00613257"/>
    <w:rsid w:val="0061380C"/>
    <w:rsid w:val="00615AEA"/>
    <w:rsid w:val="00616DF9"/>
    <w:rsid w:val="00617C2C"/>
    <w:rsid w:val="00617E44"/>
    <w:rsid w:val="00620A71"/>
    <w:rsid w:val="00620D80"/>
    <w:rsid w:val="00621B29"/>
    <w:rsid w:val="006234A6"/>
    <w:rsid w:val="0062409B"/>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4A"/>
    <w:rsid w:val="006655EE"/>
    <w:rsid w:val="00667EE7"/>
    <w:rsid w:val="00670922"/>
    <w:rsid w:val="00670BE1"/>
    <w:rsid w:val="00671B06"/>
    <w:rsid w:val="006720B3"/>
    <w:rsid w:val="0067218F"/>
    <w:rsid w:val="00672E80"/>
    <w:rsid w:val="006741F2"/>
    <w:rsid w:val="00674CC3"/>
    <w:rsid w:val="00675B5F"/>
    <w:rsid w:val="00675C72"/>
    <w:rsid w:val="00676D03"/>
    <w:rsid w:val="006771F9"/>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26F"/>
    <w:rsid w:val="006A152C"/>
    <w:rsid w:val="006A1C7C"/>
    <w:rsid w:val="006A46FB"/>
    <w:rsid w:val="006A5717"/>
    <w:rsid w:val="006A5E28"/>
    <w:rsid w:val="006A697B"/>
    <w:rsid w:val="006A7AFF"/>
    <w:rsid w:val="006B1816"/>
    <w:rsid w:val="006B2099"/>
    <w:rsid w:val="006B2FB3"/>
    <w:rsid w:val="006B32FA"/>
    <w:rsid w:val="006B4B81"/>
    <w:rsid w:val="006B50CF"/>
    <w:rsid w:val="006B5BE6"/>
    <w:rsid w:val="006B6278"/>
    <w:rsid w:val="006B6CE6"/>
    <w:rsid w:val="006C03B8"/>
    <w:rsid w:val="006C3409"/>
    <w:rsid w:val="006C4C7C"/>
    <w:rsid w:val="006C5761"/>
    <w:rsid w:val="006C5EC9"/>
    <w:rsid w:val="006C6059"/>
    <w:rsid w:val="006C7522"/>
    <w:rsid w:val="006D08AD"/>
    <w:rsid w:val="006D158E"/>
    <w:rsid w:val="006D1623"/>
    <w:rsid w:val="006D20E1"/>
    <w:rsid w:val="006D2139"/>
    <w:rsid w:val="006D2CB6"/>
    <w:rsid w:val="006D4414"/>
    <w:rsid w:val="006D52E4"/>
    <w:rsid w:val="006D5CEE"/>
    <w:rsid w:val="006D6F08"/>
    <w:rsid w:val="006D6F3D"/>
    <w:rsid w:val="006E0140"/>
    <w:rsid w:val="006E062C"/>
    <w:rsid w:val="006E0D0D"/>
    <w:rsid w:val="006E23B5"/>
    <w:rsid w:val="006E28B7"/>
    <w:rsid w:val="006E3310"/>
    <w:rsid w:val="006E3F07"/>
    <w:rsid w:val="006E4E39"/>
    <w:rsid w:val="006E4EF7"/>
    <w:rsid w:val="006E565E"/>
    <w:rsid w:val="006E6348"/>
    <w:rsid w:val="006E673D"/>
    <w:rsid w:val="006E7D3B"/>
    <w:rsid w:val="006F03E4"/>
    <w:rsid w:val="006F14F2"/>
    <w:rsid w:val="006F1B70"/>
    <w:rsid w:val="006F341D"/>
    <w:rsid w:val="006F35A1"/>
    <w:rsid w:val="006F3CDE"/>
    <w:rsid w:val="006F58D4"/>
    <w:rsid w:val="006F642D"/>
    <w:rsid w:val="007018A2"/>
    <w:rsid w:val="007032BF"/>
    <w:rsid w:val="0070346E"/>
    <w:rsid w:val="00703C66"/>
    <w:rsid w:val="00704EDB"/>
    <w:rsid w:val="00706101"/>
    <w:rsid w:val="0070655A"/>
    <w:rsid w:val="00707072"/>
    <w:rsid w:val="00707D61"/>
    <w:rsid w:val="00711B0A"/>
    <w:rsid w:val="00712287"/>
    <w:rsid w:val="00712772"/>
    <w:rsid w:val="00712F6D"/>
    <w:rsid w:val="007148D3"/>
    <w:rsid w:val="0071565A"/>
    <w:rsid w:val="00715B9A"/>
    <w:rsid w:val="007168FD"/>
    <w:rsid w:val="00716F2B"/>
    <w:rsid w:val="007204B6"/>
    <w:rsid w:val="00720D98"/>
    <w:rsid w:val="00722CB0"/>
    <w:rsid w:val="00726EA6"/>
    <w:rsid w:val="00727208"/>
    <w:rsid w:val="00727680"/>
    <w:rsid w:val="00730A5D"/>
    <w:rsid w:val="00733A19"/>
    <w:rsid w:val="007348B1"/>
    <w:rsid w:val="007362A6"/>
    <w:rsid w:val="007369A2"/>
    <w:rsid w:val="00736D7D"/>
    <w:rsid w:val="00740E58"/>
    <w:rsid w:val="00742371"/>
    <w:rsid w:val="00742DA4"/>
    <w:rsid w:val="007445A0"/>
    <w:rsid w:val="0074524B"/>
    <w:rsid w:val="0074716A"/>
    <w:rsid w:val="007471F4"/>
    <w:rsid w:val="00747D8B"/>
    <w:rsid w:val="00750455"/>
    <w:rsid w:val="00750E8F"/>
    <w:rsid w:val="00751228"/>
    <w:rsid w:val="007522DF"/>
    <w:rsid w:val="00752412"/>
    <w:rsid w:val="00753ABE"/>
    <w:rsid w:val="00753C5D"/>
    <w:rsid w:val="007557B4"/>
    <w:rsid w:val="007571E1"/>
    <w:rsid w:val="007604B2"/>
    <w:rsid w:val="0076267E"/>
    <w:rsid w:val="00763252"/>
    <w:rsid w:val="00763DD2"/>
    <w:rsid w:val="00765281"/>
    <w:rsid w:val="00765502"/>
    <w:rsid w:val="00766BAD"/>
    <w:rsid w:val="007679E2"/>
    <w:rsid w:val="007705B8"/>
    <w:rsid w:val="007730BD"/>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4B2E"/>
    <w:rsid w:val="00795C92"/>
    <w:rsid w:val="00796231"/>
    <w:rsid w:val="00796C9E"/>
    <w:rsid w:val="00797D7F"/>
    <w:rsid w:val="007A1CB3"/>
    <w:rsid w:val="007A306F"/>
    <w:rsid w:val="007A43A6"/>
    <w:rsid w:val="007A512C"/>
    <w:rsid w:val="007A545E"/>
    <w:rsid w:val="007A58A6"/>
    <w:rsid w:val="007A6B61"/>
    <w:rsid w:val="007A7157"/>
    <w:rsid w:val="007B0111"/>
    <w:rsid w:val="007B1B75"/>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6D8F"/>
    <w:rsid w:val="007D7526"/>
    <w:rsid w:val="007E1602"/>
    <w:rsid w:val="007E3CBA"/>
    <w:rsid w:val="007E4610"/>
    <w:rsid w:val="007E4715"/>
    <w:rsid w:val="007E505B"/>
    <w:rsid w:val="007E7091"/>
    <w:rsid w:val="007F09D8"/>
    <w:rsid w:val="007F09F7"/>
    <w:rsid w:val="007F15FA"/>
    <w:rsid w:val="007F286B"/>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B60"/>
    <w:rsid w:val="00827D6F"/>
    <w:rsid w:val="00830A27"/>
    <w:rsid w:val="008318CE"/>
    <w:rsid w:val="00834F76"/>
    <w:rsid w:val="00836B3D"/>
    <w:rsid w:val="008376AC"/>
    <w:rsid w:val="00840358"/>
    <w:rsid w:val="0084127B"/>
    <w:rsid w:val="00843378"/>
    <w:rsid w:val="0084390D"/>
    <w:rsid w:val="008444E8"/>
    <w:rsid w:val="00844E80"/>
    <w:rsid w:val="0084514A"/>
    <w:rsid w:val="008457DE"/>
    <w:rsid w:val="00846FE7"/>
    <w:rsid w:val="00850D82"/>
    <w:rsid w:val="0085128C"/>
    <w:rsid w:val="00851771"/>
    <w:rsid w:val="008526EF"/>
    <w:rsid w:val="00852D00"/>
    <w:rsid w:val="0085562C"/>
    <w:rsid w:val="00856911"/>
    <w:rsid w:val="00860091"/>
    <w:rsid w:val="00860E7F"/>
    <w:rsid w:val="00860F1D"/>
    <w:rsid w:val="0086172A"/>
    <w:rsid w:val="008632AD"/>
    <w:rsid w:val="008641A8"/>
    <w:rsid w:val="00864766"/>
    <w:rsid w:val="008648B3"/>
    <w:rsid w:val="008649AD"/>
    <w:rsid w:val="00866538"/>
    <w:rsid w:val="008677FD"/>
    <w:rsid w:val="008706D4"/>
    <w:rsid w:val="00870F8A"/>
    <w:rsid w:val="008719A4"/>
    <w:rsid w:val="00871D23"/>
    <w:rsid w:val="008723DE"/>
    <w:rsid w:val="00873E24"/>
    <w:rsid w:val="00874312"/>
    <w:rsid w:val="0087437C"/>
    <w:rsid w:val="00875CD7"/>
    <w:rsid w:val="00876002"/>
    <w:rsid w:val="00876B4D"/>
    <w:rsid w:val="00877F18"/>
    <w:rsid w:val="008806D5"/>
    <w:rsid w:val="00883405"/>
    <w:rsid w:val="008903FE"/>
    <w:rsid w:val="00894A88"/>
    <w:rsid w:val="00894D03"/>
    <w:rsid w:val="00895386"/>
    <w:rsid w:val="00895561"/>
    <w:rsid w:val="00895AD9"/>
    <w:rsid w:val="008961C4"/>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610"/>
    <w:rsid w:val="008B592A"/>
    <w:rsid w:val="008B65BC"/>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5110"/>
    <w:rsid w:val="008F0BA6"/>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57FD"/>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409"/>
    <w:rsid w:val="009B3AC2"/>
    <w:rsid w:val="009B4DF4"/>
    <w:rsid w:val="009B4FF0"/>
    <w:rsid w:val="009B564E"/>
    <w:rsid w:val="009B7E87"/>
    <w:rsid w:val="009C11C1"/>
    <w:rsid w:val="009C1BA6"/>
    <w:rsid w:val="009C2D17"/>
    <w:rsid w:val="009C3017"/>
    <w:rsid w:val="009C403E"/>
    <w:rsid w:val="009C5D6A"/>
    <w:rsid w:val="009C7679"/>
    <w:rsid w:val="009D2E98"/>
    <w:rsid w:val="009D3D14"/>
    <w:rsid w:val="009D48CE"/>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0BBC"/>
    <w:rsid w:val="00A2193B"/>
    <w:rsid w:val="00A220BC"/>
    <w:rsid w:val="00A2351A"/>
    <w:rsid w:val="00A243AC"/>
    <w:rsid w:val="00A25FF3"/>
    <w:rsid w:val="00A264A9"/>
    <w:rsid w:val="00A275C6"/>
    <w:rsid w:val="00A27785"/>
    <w:rsid w:val="00A27C3D"/>
    <w:rsid w:val="00A30187"/>
    <w:rsid w:val="00A3146F"/>
    <w:rsid w:val="00A314B8"/>
    <w:rsid w:val="00A3170D"/>
    <w:rsid w:val="00A3352C"/>
    <w:rsid w:val="00A3448A"/>
    <w:rsid w:val="00A34A8B"/>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42D8"/>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2653"/>
    <w:rsid w:val="00AA3BFA"/>
    <w:rsid w:val="00AA46D1"/>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1FA8"/>
    <w:rsid w:val="00B028C5"/>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16AFB"/>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408D"/>
    <w:rsid w:val="00B45A52"/>
    <w:rsid w:val="00B45E5C"/>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6AF"/>
    <w:rsid w:val="00B739F6"/>
    <w:rsid w:val="00B74A88"/>
    <w:rsid w:val="00B77902"/>
    <w:rsid w:val="00B81687"/>
    <w:rsid w:val="00B81A6C"/>
    <w:rsid w:val="00B81BE4"/>
    <w:rsid w:val="00B81D3A"/>
    <w:rsid w:val="00B842A0"/>
    <w:rsid w:val="00B85DE5"/>
    <w:rsid w:val="00B90F73"/>
    <w:rsid w:val="00B9371D"/>
    <w:rsid w:val="00B93B59"/>
    <w:rsid w:val="00B9406A"/>
    <w:rsid w:val="00B9570E"/>
    <w:rsid w:val="00B95B33"/>
    <w:rsid w:val="00BA01B1"/>
    <w:rsid w:val="00BA2280"/>
    <w:rsid w:val="00BA2A08"/>
    <w:rsid w:val="00BA56D2"/>
    <w:rsid w:val="00BA62FA"/>
    <w:rsid w:val="00BA6C49"/>
    <w:rsid w:val="00BA76E0"/>
    <w:rsid w:val="00BB0976"/>
    <w:rsid w:val="00BB16B5"/>
    <w:rsid w:val="00BB207A"/>
    <w:rsid w:val="00BB2A25"/>
    <w:rsid w:val="00BB51E9"/>
    <w:rsid w:val="00BB5C77"/>
    <w:rsid w:val="00BB6592"/>
    <w:rsid w:val="00BB6E0C"/>
    <w:rsid w:val="00BC0C27"/>
    <w:rsid w:val="00BC0FDC"/>
    <w:rsid w:val="00BC3053"/>
    <w:rsid w:val="00BC4BEA"/>
    <w:rsid w:val="00BC4D2E"/>
    <w:rsid w:val="00BC5E44"/>
    <w:rsid w:val="00BC7064"/>
    <w:rsid w:val="00BD13F2"/>
    <w:rsid w:val="00BD227E"/>
    <w:rsid w:val="00BD351C"/>
    <w:rsid w:val="00BD48AC"/>
    <w:rsid w:val="00BD53A6"/>
    <w:rsid w:val="00BD5C65"/>
    <w:rsid w:val="00BD5F1A"/>
    <w:rsid w:val="00BD762E"/>
    <w:rsid w:val="00BE0237"/>
    <w:rsid w:val="00BE1234"/>
    <w:rsid w:val="00BE17CD"/>
    <w:rsid w:val="00BE2FA6"/>
    <w:rsid w:val="00BE333F"/>
    <w:rsid w:val="00BE3924"/>
    <w:rsid w:val="00BE7406"/>
    <w:rsid w:val="00BE7603"/>
    <w:rsid w:val="00BE7DB5"/>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539"/>
    <w:rsid w:val="00C05706"/>
    <w:rsid w:val="00C05726"/>
    <w:rsid w:val="00C07377"/>
    <w:rsid w:val="00C07E87"/>
    <w:rsid w:val="00C10478"/>
    <w:rsid w:val="00C1093B"/>
    <w:rsid w:val="00C12107"/>
    <w:rsid w:val="00C14D4B"/>
    <w:rsid w:val="00C154BB"/>
    <w:rsid w:val="00C16147"/>
    <w:rsid w:val="00C20166"/>
    <w:rsid w:val="00C21693"/>
    <w:rsid w:val="00C21EE9"/>
    <w:rsid w:val="00C231D0"/>
    <w:rsid w:val="00C244FD"/>
    <w:rsid w:val="00C25F2F"/>
    <w:rsid w:val="00C27565"/>
    <w:rsid w:val="00C27624"/>
    <w:rsid w:val="00C279B5"/>
    <w:rsid w:val="00C27C45"/>
    <w:rsid w:val="00C3719D"/>
    <w:rsid w:val="00C40956"/>
    <w:rsid w:val="00C42BB6"/>
    <w:rsid w:val="00C44578"/>
    <w:rsid w:val="00C5028B"/>
    <w:rsid w:val="00C52D9B"/>
    <w:rsid w:val="00C54995"/>
    <w:rsid w:val="00C54D41"/>
    <w:rsid w:val="00C57B03"/>
    <w:rsid w:val="00C60783"/>
    <w:rsid w:val="00C64672"/>
    <w:rsid w:val="00C6602E"/>
    <w:rsid w:val="00C66FD4"/>
    <w:rsid w:val="00C704D9"/>
    <w:rsid w:val="00C70697"/>
    <w:rsid w:val="00C72EF4"/>
    <w:rsid w:val="00C750B3"/>
    <w:rsid w:val="00C75D2F"/>
    <w:rsid w:val="00C767BE"/>
    <w:rsid w:val="00C76E3C"/>
    <w:rsid w:val="00C77721"/>
    <w:rsid w:val="00C7775C"/>
    <w:rsid w:val="00C80444"/>
    <w:rsid w:val="00C80973"/>
    <w:rsid w:val="00C81568"/>
    <w:rsid w:val="00C829AD"/>
    <w:rsid w:val="00C8763D"/>
    <w:rsid w:val="00C9027A"/>
    <w:rsid w:val="00C9068E"/>
    <w:rsid w:val="00C93C4B"/>
    <w:rsid w:val="00C944AB"/>
    <w:rsid w:val="00C95383"/>
    <w:rsid w:val="00C95B40"/>
    <w:rsid w:val="00C96C36"/>
    <w:rsid w:val="00CA1B65"/>
    <w:rsid w:val="00CA1ED8"/>
    <w:rsid w:val="00CA2D38"/>
    <w:rsid w:val="00CA2FB1"/>
    <w:rsid w:val="00CA424B"/>
    <w:rsid w:val="00CA4F77"/>
    <w:rsid w:val="00CA5B83"/>
    <w:rsid w:val="00CB1BFB"/>
    <w:rsid w:val="00CB1F63"/>
    <w:rsid w:val="00CB456D"/>
    <w:rsid w:val="00CB462A"/>
    <w:rsid w:val="00CB4675"/>
    <w:rsid w:val="00CB4793"/>
    <w:rsid w:val="00CB55A2"/>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2122"/>
    <w:rsid w:val="00D030AB"/>
    <w:rsid w:val="00D033AF"/>
    <w:rsid w:val="00D0344F"/>
    <w:rsid w:val="00D0349B"/>
    <w:rsid w:val="00D05E1C"/>
    <w:rsid w:val="00D0776E"/>
    <w:rsid w:val="00D10249"/>
    <w:rsid w:val="00D115C3"/>
    <w:rsid w:val="00D11897"/>
    <w:rsid w:val="00D13135"/>
    <w:rsid w:val="00D13E4E"/>
    <w:rsid w:val="00D15170"/>
    <w:rsid w:val="00D1644A"/>
    <w:rsid w:val="00D17D6A"/>
    <w:rsid w:val="00D20472"/>
    <w:rsid w:val="00D2323C"/>
    <w:rsid w:val="00D239A7"/>
    <w:rsid w:val="00D23F47"/>
    <w:rsid w:val="00D2450E"/>
    <w:rsid w:val="00D31489"/>
    <w:rsid w:val="00D31A4C"/>
    <w:rsid w:val="00D3299B"/>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4D0B"/>
    <w:rsid w:val="00D76A8B"/>
    <w:rsid w:val="00D77211"/>
    <w:rsid w:val="00D776BA"/>
    <w:rsid w:val="00D77B1D"/>
    <w:rsid w:val="00D8021F"/>
    <w:rsid w:val="00D80383"/>
    <w:rsid w:val="00D81081"/>
    <w:rsid w:val="00D823C6"/>
    <w:rsid w:val="00D85F48"/>
    <w:rsid w:val="00D86CA3"/>
    <w:rsid w:val="00D87123"/>
    <w:rsid w:val="00D871CE"/>
    <w:rsid w:val="00D9196D"/>
    <w:rsid w:val="00D92982"/>
    <w:rsid w:val="00DA1B80"/>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3E32"/>
    <w:rsid w:val="00DD4E79"/>
    <w:rsid w:val="00DD55B9"/>
    <w:rsid w:val="00DD5680"/>
    <w:rsid w:val="00DD6CB5"/>
    <w:rsid w:val="00DE306E"/>
    <w:rsid w:val="00DE5608"/>
    <w:rsid w:val="00DE58D0"/>
    <w:rsid w:val="00DE654F"/>
    <w:rsid w:val="00DF011A"/>
    <w:rsid w:val="00DF0447"/>
    <w:rsid w:val="00DF0B6E"/>
    <w:rsid w:val="00DF15E0"/>
    <w:rsid w:val="00DF1CE4"/>
    <w:rsid w:val="00DF31B7"/>
    <w:rsid w:val="00DF37A0"/>
    <w:rsid w:val="00DF4917"/>
    <w:rsid w:val="00DF5998"/>
    <w:rsid w:val="00E010B9"/>
    <w:rsid w:val="00E01EF3"/>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E5D"/>
    <w:rsid w:val="00E45919"/>
    <w:rsid w:val="00E466DA"/>
    <w:rsid w:val="00E46886"/>
    <w:rsid w:val="00E46F51"/>
    <w:rsid w:val="00E47AEF"/>
    <w:rsid w:val="00E47F28"/>
    <w:rsid w:val="00E52716"/>
    <w:rsid w:val="00E53999"/>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639"/>
    <w:rsid w:val="00E758EC"/>
    <w:rsid w:val="00E76E18"/>
    <w:rsid w:val="00E80385"/>
    <w:rsid w:val="00E81674"/>
    <w:rsid w:val="00E81C64"/>
    <w:rsid w:val="00E8234C"/>
    <w:rsid w:val="00E8262B"/>
    <w:rsid w:val="00E82C4D"/>
    <w:rsid w:val="00E83AA9"/>
    <w:rsid w:val="00E85928"/>
    <w:rsid w:val="00E87822"/>
    <w:rsid w:val="00E90395"/>
    <w:rsid w:val="00E909FD"/>
    <w:rsid w:val="00E90E49"/>
    <w:rsid w:val="00E917F9"/>
    <w:rsid w:val="00E9291C"/>
    <w:rsid w:val="00E93FFE"/>
    <w:rsid w:val="00E94F8A"/>
    <w:rsid w:val="00EA1D4D"/>
    <w:rsid w:val="00EA2530"/>
    <w:rsid w:val="00EA41B8"/>
    <w:rsid w:val="00EA43F7"/>
    <w:rsid w:val="00EA4A9E"/>
    <w:rsid w:val="00EA7703"/>
    <w:rsid w:val="00EA77E9"/>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1033"/>
    <w:rsid w:val="00EE3A7B"/>
    <w:rsid w:val="00EE4928"/>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A3B"/>
    <w:rsid w:val="00F03D6C"/>
    <w:rsid w:val="00F0528D"/>
    <w:rsid w:val="00F06C67"/>
    <w:rsid w:val="00F06DFD"/>
    <w:rsid w:val="00F071D1"/>
    <w:rsid w:val="00F07533"/>
    <w:rsid w:val="00F078E5"/>
    <w:rsid w:val="00F10629"/>
    <w:rsid w:val="00F1318F"/>
    <w:rsid w:val="00F15FA5"/>
    <w:rsid w:val="00F17535"/>
    <w:rsid w:val="00F209B7"/>
    <w:rsid w:val="00F2376F"/>
    <w:rsid w:val="00F23E57"/>
    <w:rsid w:val="00F243D8"/>
    <w:rsid w:val="00F30828"/>
    <w:rsid w:val="00F313D6"/>
    <w:rsid w:val="00F32B3E"/>
    <w:rsid w:val="00F337F9"/>
    <w:rsid w:val="00F40F0C"/>
    <w:rsid w:val="00F43123"/>
    <w:rsid w:val="00F44643"/>
    <w:rsid w:val="00F465F6"/>
    <w:rsid w:val="00F4766C"/>
    <w:rsid w:val="00F507D1"/>
    <w:rsid w:val="00F519CE"/>
    <w:rsid w:val="00F51ADA"/>
    <w:rsid w:val="00F56BBD"/>
    <w:rsid w:val="00F577D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0C72"/>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B77FB"/>
    <w:rsid w:val="00FC7429"/>
    <w:rsid w:val="00FD0620"/>
    <w:rsid w:val="00FD07F6"/>
    <w:rsid w:val="00FD1EC8"/>
    <w:rsid w:val="00FD2256"/>
    <w:rsid w:val="00FD47ED"/>
    <w:rsid w:val="00FD5DD1"/>
    <w:rsid w:val="00FD74DB"/>
    <w:rsid w:val="00FD7660"/>
    <w:rsid w:val="00FE0278"/>
    <w:rsid w:val="00FE0393"/>
    <w:rsid w:val="00FE0655"/>
    <w:rsid w:val="00FE142B"/>
    <w:rsid w:val="00FE1D5E"/>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1B06"/>
    <w:pPr>
      <w:spacing w:after="160" w:line="259" w:lineRule="auto"/>
    </w:pPr>
    <w:rPr>
      <w:rFonts w:asciiTheme="minorHAnsi" w:hAnsi="Times New Roman"/>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71B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B0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aliases w:val="- Bullets Char"/>
    <w:link w:val="ListParagraph"/>
    <w:uiPriority w:val="34"/>
    <w:qFormat/>
    <w:rsid w:val="00513DE3"/>
    <w:rPr>
      <w:rFonts w:ascii="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03256267">
      <w:bodyDiv w:val="1"/>
      <w:marLeft w:val="0"/>
      <w:marRight w:val="0"/>
      <w:marTop w:val="0"/>
      <w:marBottom w:val="0"/>
      <w:divBdr>
        <w:top w:val="none" w:sz="0" w:space="0" w:color="auto"/>
        <w:left w:val="none" w:sz="0" w:space="0" w:color="auto"/>
        <w:bottom w:val="none" w:sz="0" w:space="0" w:color="auto"/>
        <w:right w:val="none" w:sz="0" w:space="0" w:color="auto"/>
      </w:divBdr>
      <w:divsChild>
        <w:div w:id="1057506610">
          <w:marLeft w:val="547"/>
          <w:marRight w:val="0"/>
          <w:marTop w:val="48"/>
          <w:marBottom w:val="0"/>
          <w:divBdr>
            <w:top w:val="none" w:sz="0" w:space="0" w:color="auto"/>
            <w:left w:val="none" w:sz="0" w:space="0" w:color="auto"/>
            <w:bottom w:val="none" w:sz="0" w:space="0" w:color="auto"/>
            <w:right w:val="none" w:sz="0" w:space="0" w:color="auto"/>
          </w:divBdr>
        </w:div>
        <w:div w:id="1355307290">
          <w:marLeft w:val="1166"/>
          <w:marRight w:val="0"/>
          <w:marTop w:val="38"/>
          <w:marBottom w:val="0"/>
          <w:divBdr>
            <w:top w:val="none" w:sz="0" w:space="0" w:color="auto"/>
            <w:left w:val="none" w:sz="0" w:space="0" w:color="auto"/>
            <w:bottom w:val="none" w:sz="0" w:space="0" w:color="auto"/>
            <w:right w:val="none" w:sz="0" w:space="0" w:color="auto"/>
          </w:divBdr>
        </w:div>
        <w:div w:id="468286937">
          <w:marLeft w:val="547"/>
          <w:marRight w:val="0"/>
          <w:marTop w:val="48"/>
          <w:marBottom w:val="160"/>
          <w:divBdr>
            <w:top w:val="none" w:sz="0" w:space="0" w:color="auto"/>
            <w:left w:val="none" w:sz="0" w:space="0" w:color="auto"/>
            <w:bottom w:val="none" w:sz="0" w:space="0" w:color="auto"/>
            <w:right w:val="none" w:sz="0" w:space="0" w:color="auto"/>
          </w:divBdr>
        </w:div>
        <w:div w:id="965158579">
          <w:marLeft w:val="1166"/>
          <w:marRight w:val="0"/>
          <w:marTop w:val="38"/>
          <w:marBottom w:val="160"/>
          <w:divBdr>
            <w:top w:val="none" w:sz="0" w:space="0" w:color="auto"/>
            <w:left w:val="none" w:sz="0" w:space="0" w:color="auto"/>
            <w:bottom w:val="none" w:sz="0" w:space="0" w:color="auto"/>
            <w:right w:val="none" w:sz="0" w:space="0" w:color="auto"/>
          </w:divBdr>
        </w:div>
        <w:div w:id="1644193173">
          <w:marLeft w:val="1800"/>
          <w:marRight w:val="0"/>
          <w:marTop w:val="38"/>
          <w:marBottom w:val="160"/>
          <w:divBdr>
            <w:top w:val="none" w:sz="0" w:space="0" w:color="auto"/>
            <w:left w:val="none" w:sz="0" w:space="0" w:color="auto"/>
            <w:bottom w:val="none" w:sz="0" w:space="0" w:color="auto"/>
            <w:right w:val="none" w:sz="0" w:space="0" w:color="auto"/>
          </w:divBdr>
        </w:div>
        <w:div w:id="71395659">
          <w:marLeft w:val="1800"/>
          <w:marRight w:val="0"/>
          <w:marTop w:val="38"/>
          <w:marBottom w:val="160"/>
          <w:divBdr>
            <w:top w:val="none" w:sz="0" w:space="0" w:color="auto"/>
            <w:left w:val="none" w:sz="0" w:space="0" w:color="auto"/>
            <w:bottom w:val="none" w:sz="0" w:space="0" w:color="auto"/>
            <w:right w:val="none" w:sz="0" w:space="0" w:color="auto"/>
          </w:divBdr>
        </w:div>
        <w:div w:id="1454789769">
          <w:marLeft w:val="547"/>
          <w:marRight w:val="0"/>
          <w:marTop w:val="48"/>
          <w:marBottom w:val="0"/>
          <w:divBdr>
            <w:top w:val="none" w:sz="0" w:space="0" w:color="auto"/>
            <w:left w:val="none" w:sz="0" w:space="0" w:color="auto"/>
            <w:bottom w:val="none" w:sz="0" w:space="0" w:color="auto"/>
            <w:right w:val="none" w:sz="0" w:space="0" w:color="auto"/>
          </w:divBdr>
        </w:div>
        <w:div w:id="585500182">
          <w:marLeft w:val="1166"/>
          <w:marRight w:val="0"/>
          <w:marTop w:val="38"/>
          <w:marBottom w:val="0"/>
          <w:divBdr>
            <w:top w:val="none" w:sz="0" w:space="0" w:color="auto"/>
            <w:left w:val="none" w:sz="0" w:space="0" w:color="auto"/>
            <w:bottom w:val="none" w:sz="0" w:space="0" w:color="auto"/>
            <w:right w:val="none" w:sz="0" w:space="0" w:color="auto"/>
          </w:divBdr>
        </w:div>
        <w:div w:id="1053045773">
          <w:marLeft w:val="274"/>
          <w:marRight w:val="0"/>
          <w:marTop w:val="48"/>
          <w:marBottom w:val="0"/>
          <w:divBdr>
            <w:top w:val="none" w:sz="0" w:space="0" w:color="auto"/>
            <w:left w:val="none" w:sz="0" w:space="0" w:color="auto"/>
            <w:bottom w:val="none" w:sz="0" w:space="0" w:color="auto"/>
            <w:right w:val="none" w:sz="0" w:space="0" w:color="auto"/>
          </w:divBdr>
        </w:div>
        <w:div w:id="1367946030">
          <w:marLeft w:val="547"/>
          <w:marRight w:val="0"/>
          <w:marTop w:val="48"/>
          <w:marBottom w:val="160"/>
          <w:divBdr>
            <w:top w:val="none" w:sz="0" w:space="0" w:color="auto"/>
            <w:left w:val="none" w:sz="0" w:space="0" w:color="auto"/>
            <w:bottom w:val="none" w:sz="0" w:space="0" w:color="auto"/>
            <w:right w:val="none" w:sz="0" w:space="0" w:color="auto"/>
          </w:divBdr>
        </w:div>
        <w:div w:id="1620911477">
          <w:marLeft w:val="1166"/>
          <w:marRight w:val="0"/>
          <w:marTop w:val="38"/>
          <w:marBottom w:val="160"/>
          <w:divBdr>
            <w:top w:val="none" w:sz="0" w:space="0" w:color="auto"/>
            <w:left w:val="none" w:sz="0" w:space="0" w:color="auto"/>
            <w:bottom w:val="none" w:sz="0" w:space="0" w:color="auto"/>
            <w:right w:val="none" w:sz="0" w:space="0" w:color="auto"/>
          </w:divBdr>
        </w:div>
        <w:div w:id="2120449653">
          <w:marLeft w:val="1166"/>
          <w:marRight w:val="0"/>
          <w:marTop w:val="38"/>
          <w:marBottom w:val="160"/>
          <w:divBdr>
            <w:top w:val="none" w:sz="0" w:space="0" w:color="auto"/>
            <w:left w:val="none" w:sz="0" w:space="0" w:color="auto"/>
            <w:bottom w:val="none" w:sz="0" w:space="0" w:color="auto"/>
            <w:right w:val="none" w:sz="0" w:space="0" w:color="auto"/>
          </w:divBdr>
        </w:div>
        <w:div w:id="919293338">
          <w:marLeft w:val="1166"/>
          <w:marRight w:val="0"/>
          <w:marTop w:val="38"/>
          <w:marBottom w:val="160"/>
          <w:divBdr>
            <w:top w:val="none" w:sz="0" w:space="0" w:color="auto"/>
            <w:left w:val="none" w:sz="0" w:space="0" w:color="auto"/>
            <w:bottom w:val="none" w:sz="0" w:space="0" w:color="auto"/>
            <w:right w:val="none" w:sz="0" w:space="0" w:color="auto"/>
          </w:divBdr>
        </w:div>
        <w:div w:id="349649945">
          <w:marLeft w:val="1166"/>
          <w:marRight w:val="0"/>
          <w:marTop w:val="38"/>
          <w:marBottom w:val="160"/>
          <w:divBdr>
            <w:top w:val="none" w:sz="0" w:space="0" w:color="auto"/>
            <w:left w:val="none" w:sz="0" w:space="0" w:color="auto"/>
            <w:bottom w:val="none" w:sz="0" w:space="0" w:color="auto"/>
            <w:right w:val="none" w:sz="0" w:space="0" w:color="auto"/>
          </w:divBdr>
        </w:div>
        <w:div w:id="1262182506">
          <w:marLeft w:val="1166"/>
          <w:marRight w:val="0"/>
          <w:marTop w:val="38"/>
          <w:marBottom w:val="160"/>
          <w:divBdr>
            <w:top w:val="none" w:sz="0" w:space="0" w:color="auto"/>
            <w:left w:val="none" w:sz="0" w:space="0" w:color="auto"/>
            <w:bottom w:val="none" w:sz="0" w:space="0" w:color="auto"/>
            <w:right w:val="none" w:sz="0" w:space="0" w:color="auto"/>
          </w:divBdr>
        </w:div>
        <w:div w:id="647981489">
          <w:marLeft w:val="547"/>
          <w:marRight w:val="0"/>
          <w:marTop w:val="48"/>
          <w:marBottom w:val="120"/>
          <w:divBdr>
            <w:top w:val="none" w:sz="0" w:space="0" w:color="auto"/>
            <w:left w:val="none" w:sz="0" w:space="0" w:color="auto"/>
            <w:bottom w:val="none" w:sz="0" w:space="0" w:color="auto"/>
            <w:right w:val="none" w:sz="0" w:space="0" w:color="auto"/>
          </w:divBdr>
        </w:div>
        <w:div w:id="346103547">
          <w:marLeft w:val="1166"/>
          <w:marRight w:val="0"/>
          <w:marTop w:val="38"/>
          <w:marBottom w:val="12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04713485">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2">
          <w:marLeft w:val="547"/>
          <w:marRight w:val="0"/>
          <w:marTop w:val="48"/>
          <w:marBottom w:val="0"/>
          <w:divBdr>
            <w:top w:val="none" w:sz="0" w:space="0" w:color="auto"/>
            <w:left w:val="none" w:sz="0" w:space="0" w:color="auto"/>
            <w:bottom w:val="none" w:sz="0" w:space="0" w:color="auto"/>
            <w:right w:val="none" w:sz="0" w:space="0" w:color="auto"/>
          </w:divBdr>
        </w:div>
        <w:div w:id="1845509467">
          <w:marLeft w:val="1166"/>
          <w:marRight w:val="0"/>
          <w:marTop w:val="38"/>
          <w:marBottom w:val="0"/>
          <w:divBdr>
            <w:top w:val="none" w:sz="0" w:space="0" w:color="auto"/>
            <w:left w:val="none" w:sz="0" w:space="0" w:color="auto"/>
            <w:bottom w:val="none" w:sz="0" w:space="0" w:color="auto"/>
            <w:right w:val="none" w:sz="0" w:space="0" w:color="auto"/>
          </w:divBdr>
        </w:div>
        <w:div w:id="772021804">
          <w:marLeft w:val="547"/>
          <w:marRight w:val="0"/>
          <w:marTop w:val="48"/>
          <w:marBottom w:val="160"/>
          <w:divBdr>
            <w:top w:val="none" w:sz="0" w:space="0" w:color="auto"/>
            <w:left w:val="none" w:sz="0" w:space="0" w:color="auto"/>
            <w:bottom w:val="none" w:sz="0" w:space="0" w:color="auto"/>
            <w:right w:val="none" w:sz="0" w:space="0" w:color="auto"/>
          </w:divBdr>
        </w:div>
        <w:div w:id="1722711258">
          <w:marLeft w:val="1166"/>
          <w:marRight w:val="0"/>
          <w:marTop w:val="38"/>
          <w:marBottom w:val="160"/>
          <w:divBdr>
            <w:top w:val="none" w:sz="0" w:space="0" w:color="auto"/>
            <w:left w:val="none" w:sz="0" w:space="0" w:color="auto"/>
            <w:bottom w:val="none" w:sz="0" w:space="0" w:color="auto"/>
            <w:right w:val="none" w:sz="0" w:space="0" w:color="auto"/>
          </w:divBdr>
        </w:div>
        <w:div w:id="25984861">
          <w:marLeft w:val="1800"/>
          <w:marRight w:val="0"/>
          <w:marTop w:val="38"/>
          <w:marBottom w:val="160"/>
          <w:divBdr>
            <w:top w:val="none" w:sz="0" w:space="0" w:color="auto"/>
            <w:left w:val="none" w:sz="0" w:space="0" w:color="auto"/>
            <w:bottom w:val="none" w:sz="0" w:space="0" w:color="auto"/>
            <w:right w:val="none" w:sz="0" w:space="0" w:color="auto"/>
          </w:divBdr>
        </w:div>
        <w:div w:id="828062771">
          <w:marLeft w:val="1800"/>
          <w:marRight w:val="0"/>
          <w:marTop w:val="38"/>
          <w:marBottom w:val="160"/>
          <w:divBdr>
            <w:top w:val="none" w:sz="0" w:space="0" w:color="auto"/>
            <w:left w:val="none" w:sz="0" w:space="0" w:color="auto"/>
            <w:bottom w:val="none" w:sz="0" w:space="0" w:color="auto"/>
            <w:right w:val="none" w:sz="0" w:space="0" w:color="auto"/>
          </w:divBdr>
        </w:div>
        <w:div w:id="1275482058">
          <w:marLeft w:val="547"/>
          <w:marRight w:val="0"/>
          <w:marTop w:val="48"/>
          <w:marBottom w:val="0"/>
          <w:divBdr>
            <w:top w:val="none" w:sz="0" w:space="0" w:color="auto"/>
            <w:left w:val="none" w:sz="0" w:space="0" w:color="auto"/>
            <w:bottom w:val="none" w:sz="0" w:space="0" w:color="auto"/>
            <w:right w:val="none" w:sz="0" w:space="0" w:color="auto"/>
          </w:divBdr>
        </w:div>
        <w:div w:id="1645618635">
          <w:marLeft w:val="1166"/>
          <w:marRight w:val="0"/>
          <w:marTop w:val="38"/>
          <w:marBottom w:val="0"/>
          <w:divBdr>
            <w:top w:val="none" w:sz="0" w:space="0" w:color="auto"/>
            <w:left w:val="none" w:sz="0" w:space="0" w:color="auto"/>
            <w:bottom w:val="none" w:sz="0" w:space="0" w:color="auto"/>
            <w:right w:val="none" w:sz="0" w:space="0" w:color="auto"/>
          </w:divBdr>
        </w:div>
        <w:div w:id="1522011142">
          <w:marLeft w:val="274"/>
          <w:marRight w:val="0"/>
          <w:marTop w:val="48"/>
          <w:marBottom w:val="0"/>
          <w:divBdr>
            <w:top w:val="none" w:sz="0" w:space="0" w:color="auto"/>
            <w:left w:val="none" w:sz="0" w:space="0" w:color="auto"/>
            <w:bottom w:val="none" w:sz="0" w:space="0" w:color="auto"/>
            <w:right w:val="none" w:sz="0" w:space="0" w:color="auto"/>
          </w:divBdr>
        </w:div>
        <w:div w:id="802502906">
          <w:marLeft w:val="547"/>
          <w:marRight w:val="0"/>
          <w:marTop w:val="48"/>
          <w:marBottom w:val="160"/>
          <w:divBdr>
            <w:top w:val="none" w:sz="0" w:space="0" w:color="auto"/>
            <w:left w:val="none" w:sz="0" w:space="0" w:color="auto"/>
            <w:bottom w:val="none" w:sz="0" w:space="0" w:color="auto"/>
            <w:right w:val="none" w:sz="0" w:space="0" w:color="auto"/>
          </w:divBdr>
        </w:div>
        <w:div w:id="658461697">
          <w:marLeft w:val="1166"/>
          <w:marRight w:val="0"/>
          <w:marTop w:val="38"/>
          <w:marBottom w:val="160"/>
          <w:divBdr>
            <w:top w:val="none" w:sz="0" w:space="0" w:color="auto"/>
            <w:left w:val="none" w:sz="0" w:space="0" w:color="auto"/>
            <w:bottom w:val="none" w:sz="0" w:space="0" w:color="auto"/>
            <w:right w:val="none" w:sz="0" w:space="0" w:color="auto"/>
          </w:divBdr>
        </w:div>
        <w:div w:id="410002730">
          <w:marLeft w:val="1166"/>
          <w:marRight w:val="0"/>
          <w:marTop w:val="38"/>
          <w:marBottom w:val="160"/>
          <w:divBdr>
            <w:top w:val="none" w:sz="0" w:space="0" w:color="auto"/>
            <w:left w:val="none" w:sz="0" w:space="0" w:color="auto"/>
            <w:bottom w:val="none" w:sz="0" w:space="0" w:color="auto"/>
            <w:right w:val="none" w:sz="0" w:space="0" w:color="auto"/>
          </w:divBdr>
        </w:div>
        <w:div w:id="1408116722">
          <w:marLeft w:val="1166"/>
          <w:marRight w:val="0"/>
          <w:marTop w:val="38"/>
          <w:marBottom w:val="160"/>
          <w:divBdr>
            <w:top w:val="none" w:sz="0" w:space="0" w:color="auto"/>
            <w:left w:val="none" w:sz="0" w:space="0" w:color="auto"/>
            <w:bottom w:val="none" w:sz="0" w:space="0" w:color="auto"/>
            <w:right w:val="none" w:sz="0" w:space="0" w:color="auto"/>
          </w:divBdr>
        </w:div>
        <w:div w:id="1329098595">
          <w:marLeft w:val="1166"/>
          <w:marRight w:val="0"/>
          <w:marTop w:val="38"/>
          <w:marBottom w:val="160"/>
          <w:divBdr>
            <w:top w:val="none" w:sz="0" w:space="0" w:color="auto"/>
            <w:left w:val="none" w:sz="0" w:space="0" w:color="auto"/>
            <w:bottom w:val="none" w:sz="0" w:space="0" w:color="auto"/>
            <w:right w:val="none" w:sz="0" w:space="0" w:color="auto"/>
          </w:divBdr>
        </w:div>
        <w:div w:id="1710446776">
          <w:marLeft w:val="1166"/>
          <w:marRight w:val="0"/>
          <w:marTop w:val="38"/>
          <w:marBottom w:val="160"/>
          <w:divBdr>
            <w:top w:val="none" w:sz="0" w:space="0" w:color="auto"/>
            <w:left w:val="none" w:sz="0" w:space="0" w:color="auto"/>
            <w:bottom w:val="none" w:sz="0" w:space="0" w:color="auto"/>
            <w:right w:val="none" w:sz="0" w:space="0" w:color="auto"/>
          </w:divBdr>
        </w:div>
        <w:div w:id="263732917">
          <w:marLeft w:val="547"/>
          <w:marRight w:val="0"/>
          <w:marTop w:val="48"/>
          <w:marBottom w:val="120"/>
          <w:divBdr>
            <w:top w:val="none" w:sz="0" w:space="0" w:color="auto"/>
            <w:left w:val="none" w:sz="0" w:space="0" w:color="auto"/>
            <w:bottom w:val="none" w:sz="0" w:space="0" w:color="auto"/>
            <w:right w:val="none" w:sz="0" w:space="0" w:color="auto"/>
          </w:divBdr>
        </w:div>
        <w:div w:id="1415973267">
          <w:marLeft w:val="1166"/>
          <w:marRight w:val="0"/>
          <w:marTop w:val="38"/>
          <w:marBottom w:val="120"/>
          <w:divBdr>
            <w:top w:val="none" w:sz="0" w:space="0" w:color="auto"/>
            <w:left w:val="none" w:sz="0" w:space="0" w:color="auto"/>
            <w:bottom w:val="none" w:sz="0" w:space="0" w:color="auto"/>
            <w:right w:val="none" w:sz="0" w:space="0" w:color="auto"/>
          </w:divBdr>
        </w:div>
      </w:divsChild>
    </w:div>
    <w:div w:id="132404139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C854-410F-4D7F-AF23-94020351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4646</Words>
  <Characters>26486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2017-09-01T11:45:00Z</dcterms:created>
  <dcterms:modified xsi:type="dcterms:W3CDTF">2017-11-17T19:44:00Z</dcterms:modified>
</cp:coreProperties>
</file>