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5C7A2498" w14:textId="36BF8BE2" w:rsidR="002E0D6D" w:rsidRPr="002D5B57" w:rsidRDefault="00FB6FD2" w:rsidP="002E0D6D">
      <w:pPr>
        <w:pStyle w:val="Header"/>
        <w:rPr>
          <w:rFonts w:asciiTheme="minorBidi" w:hAnsiTheme="minorBidi" w:cstheme="minorBidi"/>
          <w:b w:val="0"/>
          <w:bCs w:val="0"/>
          <w:sz w:val="22"/>
          <w:szCs w:val="22"/>
          <w:lang w:val="de-DE"/>
        </w:rPr>
      </w:pPr>
      <w:bookmarkStart w:id="0" w:name="_Hlk498415397"/>
      <w:r w:rsidRPr="002D5B57">
        <w:rPr>
          <w:rFonts w:asciiTheme="minorBidi" w:hAnsiTheme="minorBidi" w:cstheme="minorBidi"/>
          <w:b w:val="0"/>
          <w:bCs w:val="0"/>
          <w:sz w:val="22"/>
          <w:szCs w:val="22"/>
          <w:lang w:val="de-DE"/>
        </w:rPr>
        <w:t>3GPP TSG-RAN WG1 Meeting#9</w:t>
      </w:r>
      <w:r w:rsidR="0029709A">
        <w:rPr>
          <w:rFonts w:asciiTheme="minorBidi" w:hAnsiTheme="minorBidi" w:cstheme="minorBidi"/>
          <w:b w:val="0"/>
          <w:bCs w:val="0"/>
          <w:sz w:val="22"/>
          <w:szCs w:val="22"/>
          <w:lang w:val="de-DE"/>
        </w:rPr>
        <w:t>1</w:t>
      </w:r>
      <w:r w:rsidR="002E0D6D" w:rsidRPr="002D5B57">
        <w:rPr>
          <w:rFonts w:asciiTheme="minorBidi" w:hAnsiTheme="minorBidi" w:cstheme="minorBidi"/>
          <w:b w:val="0"/>
          <w:bCs w:val="0"/>
          <w:sz w:val="22"/>
          <w:szCs w:val="22"/>
          <w:lang w:val="de-DE"/>
        </w:rPr>
        <w:tab/>
      </w:r>
      <w:r w:rsidR="002E0D6D" w:rsidRPr="002D5B57">
        <w:rPr>
          <w:rFonts w:asciiTheme="minorBidi" w:hAnsiTheme="minorBidi" w:cstheme="minorBidi"/>
          <w:b w:val="0"/>
          <w:bCs w:val="0"/>
          <w:sz w:val="22"/>
          <w:szCs w:val="22"/>
          <w:lang w:val="de-DE"/>
        </w:rPr>
        <w:tab/>
      </w:r>
      <w:r w:rsidR="002E0D6D" w:rsidRPr="002D5B57">
        <w:rPr>
          <w:rFonts w:asciiTheme="minorBidi" w:hAnsiTheme="minorBidi" w:cstheme="minorBidi"/>
          <w:b w:val="0"/>
          <w:bCs w:val="0"/>
          <w:sz w:val="22"/>
          <w:szCs w:val="22"/>
          <w:lang w:val="de-DE"/>
        </w:rPr>
        <w:tab/>
      </w:r>
      <w:r w:rsidR="002E0D6D" w:rsidRPr="002D5B57">
        <w:rPr>
          <w:rFonts w:asciiTheme="minorBidi" w:hAnsiTheme="minorBidi" w:cstheme="minorBidi"/>
          <w:b w:val="0"/>
          <w:bCs w:val="0"/>
          <w:sz w:val="22"/>
          <w:szCs w:val="22"/>
          <w:lang w:val="de-DE"/>
        </w:rPr>
        <w:tab/>
      </w:r>
      <w:r w:rsidR="002E0D6D" w:rsidRPr="002D5B57">
        <w:rPr>
          <w:rFonts w:asciiTheme="minorBidi" w:hAnsiTheme="minorBidi" w:cstheme="minorBidi"/>
          <w:b w:val="0"/>
          <w:bCs w:val="0"/>
          <w:sz w:val="22"/>
          <w:szCs w:val="22"/>
          <w:lang w:val="de-DE"/>
        </w:rPr>
        <w:tab/>
      </w:r>
      <w:r w:rsidR="002E0D6D" w:rsidRPr="002D5B57">
        <w:rPr>
          <w:rFonts w:asciiTheme="minorBidi" w:hAnsiTheme="minorBidi" w:cstheme="minorBidi"/>
          <w:b w:val="0"/>
          <w:bCs w:val="0"/>
          <w:sz w:val="22"/>
          <w:szCs w:val="22"/>
          <w:lang w:val="de-DE"/>
        </w:rPr>
        <w:tab/>
      </w:r>
      <w:r w:rsidR="002E0D6D"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B66C7D" w:rsidRPr="00B66C7D">
        <w:rPr>
          <w:rFonts w:asciiTheme="minorBidi" w:hAnsiTheme="minorBidi" w:cstheme="minorBidi"/>
          <w:b w:val="0"/>
          <w:bCs w:val="0"/>
          <w:sz w:val="22"/>
          <w:szCs w:val="22"/>
          <w:lang w:val="de-DE"/>
        </w:rPr>
        <w:t>R1-1720994</w:t>
      </w:r>
    </w:p>
    <w:p w14:paraId="2433C5D4" w14:textId="05FDE3F6" w:rsidR="00FB6FD2" w:rsidRPr="002D5B57" w:rsidRDefault="0064063C" w:rsidP="00FB6FD2">
      <w:pPr>
        <w:pStyle w:val="3GPPHeader"/>
        <w:spacing w:after="0"/>
        <w:rPr>
          <w:rFonts w:asciiTheme="minorBidi" w:hAnsiTheme="minorBidi"/>
          <w:b w:val="0"/>
          <w:sz w:val="22"/>
        </w:rPr>
      </w:pPr>
      <w:r>
        <w:rPr>
          <w:rFonts w:asciiTheme="minorBidi" w:hAnsiTheme="minorBidi"/>
          <w:b w:val="0"/>
          <w:sz w:val="22"/>
        </w:rPr>
        <w:t>Reno, NV, USA, 27</w:t>
      </w:r>
      <w:r w:rsidRPr="0064063C">
        <w:rPr>
          <w:rFonts w:asciiTheme="minorBidi" w:hAnsiTheme="minorBidi"/>
          <w:b w:val="0"/>
          <w:sz w:val="22"/>
          <w:vertAlign w:val="superscript"/>
        </w:rPr>
        <w:t>th</w:t>
      </w:r>
      <w:r>
        <w:rPr>
          <w:rFonts w:asciiTheme="minorBidi" w:hAnsiTheme="minorBidi"/>
          <w:b w:val="0"/>
          <w:sz w:val="22"/>
        </w:rPr>
        <w:t>Nov-1</w:t>
      </w:r>
      <w:r w:rsidRPr="0064063C">
        <w:rPr>
          <w:rFonts w:asciiTheme="minorBidi" w:hAnsiTheme="minorBidi"/>
          <w:b w:val="0"/>
          <w:sz w:val="22"/>
          <w:vertAlign w:val="superscript"/>
        </w:rPr>
        <w:t>st</w:t>
      </w:r>
      <w:bookmarkStart w:id="1" w:name="_GoBack"/>
      <w:bookmarkEnd w:id="1"/>
      <w:r>
        <w:rPr>
          <w:rFonts w:asciiTheme="minorBidi" w:hAnsiTheme="minorBidi"/>
          <w:b w:val="0"/>
          <w:sz w:val="22"/>
        </w:rPr>
        <w:t xml:space="preserve">Dec, </w:t>
      </w:r>
      <w:r w:rsidR="00FB6FD2" w:rsidRPr="002D5B57">
        <w:rPr>
          <w:rFonts w:asciiTheme="minorBidi" w:hAnsiTheme="minorBidi"/>
          <w:b w:val="0"/>
          <w:sz w:val="22"/>
        </w:rPr>
        <w:t>2017</w:t>
      </w:r>
    </w:p>
    <w:p w14:paraId="655DF240" w14:textId="77777777" w:rsidR="002E0D6D" w:rsidRPr="002D5B57" w:rsidRDefault="002E0D6D" w:rsidP="002E0D6D">
      <w:pPr>
        <w:pStyle w:val="Header"/>
        <w:rPr>
          <w:rFonts w:asciiTheme="minorBidi" w:hAnsiTheme="minorBidi" w:cstheme="minorBidi"/>
          <w:b w:val="0"/>
          <w:bCs w:val="0"/>
          <w:sz w:val="22"/>
          <w:szCs w:val="22"/>
        </w:rPr>
      </w:pPr>
    </w:p>
    <w:p w14:paraId="60235EC2" w14:textId="77777777" w:rsidR="002E0D6D" w:rsidRPr="002D5B57" w:rsidRDefault="002E0D6D" w:rsidP="002E0D6D">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47F72CB1" w14:textId="4882A5F4" w:rsidR="002E0D6D" w:rsidRPr="002D5B57" w:rsidRDefault="002E0D6D" w:rsidP="002E0D6D">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2" w:name="Title"/>
      <w:bookmarkEnd w:id="2"/>
      <w:r w:rsidRPr="002D5B57">
        <w:rPr>
          <w:rFonts w:asciiTheme="minorBidi" w:hAnsiTheme="minorBidi" w:cstheme="minorBidi"/>
          <w:b w:val="0"/>
          <w:bCs w:val="0"/>
          <w:sz w:val="22"/>
          <w:szCs w:val="22"/>
        </w:rPr>
        <w:tab/>
      </w:r>
      <w:r w:rsidRPr="002D5B57">
        <w:rPr>
          <w:rFonts w:asciiTheme="minorBidi" w:hAnsiTheme="minorBidi" w:cstheme="minorBidi"/>
          <w:b w:val="0"/>
          <w:bCs w:val="0"/>
          <w:iCs/>
          <w:sz w:val="22"/>
          <w:szCs w:val="22"/>
          <w:lang w:eastAsia="ja-JP"/>
        </w:rPr>
        <w:t>On Group-Common PDCCH</w:t>
      </w:r>
    </w:p>
    <w:p w14:paraId="707A5193" w14:textId="22D2EEB8" w:rsidR="002E0D6D" w:rsidRPr="002D5B57" w:rsidRDefault="002E0D6D" w:rsidP="002E0D6D">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3" w:name="Source"/>
      <w:bookmarkEnd w:id="3"/>
      <w:r w:rsidR="00FB6FD2" w:rsidRPr="002D5B57">
        <w:rPr>
          <w:rFonts w:asciiTheme="minorBidi" w:hAnsiTheme="minorBidi" w:cstheme="minorBidi"/>
          <w:b w:val="0"/>
          <w:bCs w:val="0"/>
          <w:sz w:val="22"/>
          <w:szCs w:val="22"/>
        </w:rPr>
        <w:tab/>
        <w:t>7.3.1.3</w:t>
      </w:r>
    </w:p>
    <w:p w14:paraId="1F9854FD" w14:textId="77777777" w:rsidR="002E0D6D" w:rsidRPr="002D5B57" w:rsidRDefault="002E0D6D" w:rsidP="002E0D6D">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4" w:name="DocumentFor"/>
      <w:bookmarkEnd w:id="4"/>
      <w:r w:rsidRPr="002D5B57">
        <w:rPr>
          <w:rFonts w:asciiTheme="minorBidi" w:hAnsiTheme="minorBidi" w:cstheme="minorBidi"/>
          <w:b w:val="0"/>
          <w:bCs w:val="0"/>
          <w:sz w:val="22"/>
          <w:szCs w:val="22"/>
        </w:rPr>
        <w:t>Discussion and Decision</w:t>
      </w:r>
    </w:p>
    <w:bookmarkEnd w:id="0"/>
    <w:p w14:paraId="1406196E" w14:textId="2A94D107" w:rsidR="008E0156" w:rsidRDefault="00E30225" w:rsidP="00D22346">
      <w:pPr>
        <w:pStyle w:val="Heading1"/>
      </w:pPr>
      <w:r w:rsidRPr="00CE0424">
        <w:t>Introduction</w:t>
      </w:r>
    </w:p>
    <w:p w14:paraId="13892F1E" w14:textId="274A25C2" w:rsidR="00410186" w:rsidRPr="004A04F1" w:rsidRDefault="00EA38BD" w:rsidP="004B0509">
      <w:pPr>
        <w:pStyle w:val="BodyText"/>
        <w:rPr>
          <w:rFonts w:eastAsia="MS Mincho"/>
          <w:lang w:eastAsia="ja-JP"/>
        </w:rPr>
      </w:pPr>
      <w:r w:rsidRPr="002B5943">
        <w:rPr>
          <w:rFonts w:eastAsia="MS Mincho"/>
          <w:lang w:eastAsia="ja-JP"/>
        </w:rPr>
        <w:t>In previous meeting</w:t>
      </w:r>
      <w:r w:rsidR="002E0D6D">
        <w:rPr>
          <w:rFonts w:eastAsia="MS Mincho"/>
          <w:lang w:eastAsia="ja-JP"/>
        </w:rPr>
        <w:t>s</w:t>
      </w:r>
      <w:r w:rsidR="00FB705D" w:rsidRPr="002B5943">
        <w:rPr>
          <w:rFonts w:eastAsia="MS Mincho"/>
          <w:lang w:eastAsia="ja-JP"/>
        </w:rPr>
        <w:t>,</w:t>
      </w:r>
      <w:r w:rsidR="009C029B">
        <w:rPr>
          <w:rFonts w:eastAsia="MS Mincho"/>
          <w:lang w:eastAsia="ja-JP"/>
        </w:rPr>
        <w:t xml:space="preserve"> several agreements were reached on the structure of group common PDCCH and the slot format indicator</w:t>
      </w:r>
      <w:r w:rsidR="0004591E">
        <w:rPr>
          <w:rFonts w:eastAsia="MS Mincho"/>
          <w:lang w:eastAsia="ja-JP"/>
        </w:rPr>
        <w:t xml:space="preserve"> </w:t>
      </w:r>
      <w:r w:rsidR="005A176A">
        <w:rPr>
          <w:rFonts w:eastAsia="MS Mincho"/>
          <w:lang w:eastAsia="ja-JP"/>
        </w:rPr>
        <w:fldChar w:fldCharType="begin"/>
      </w:r>
      <w:r w:rsidR="005A176A">
        <w:rPr>
          <w:rFonts w:eastAsia="MS Mincho"/>
          <w:lang w:eastAsia="ja-JP"/>
        </w:rPr>
        <w:instrText xml:space="preserve"> REF _Ref489906952 \r \h </w:instrText>
      </w:r>
      <w:r w:rsidR="005A176A">
        <w:rPr>
          <w:rFonts w:eastAsia="MS Mincho"/>
          <w:lang w:eastAsia="ja-JP"/>
        </w:rPr>
      </w:r>
      <w:r w:rsidR="005A176A">
        <w:rPr>
          <w:rFonts w:eastAsia="MS Mincho"/>
          <w:lang w:eastAsia="ja-JP"/>
        </w:rPr>
        <w:fldChar w:fldCharType="separate"/>
      </w:r>
      <w:r w:rsidR="00417081">
        <w:rPr>
          <w:rFonts w:eastAsia="MS Mincho" w:hint="cs"/>
          <w:cs/>
          <w:lang w:eastAsia="ja-JP"/>
        </w:rPr>
        <w:t>‎</w:t>
      </w:r>
      <w:r w:rsidR="00417081">
        <w:rPr>
          <w:rFonts w:eastAsia="MS Mincho"/>
          <w:lang w:eastAsia="ja-JP"/>
        </w:rPr>
        <w:t>[1]</w:t>
      </w:r>
      <w:r w:rsidR="005A176A">
        <w:rPr>
          <w:rFonts w:eastAsia="MS Mincho"/>
          <w:lang w:eastAsia="ja-JP"/>
        </w:rPr>
        <w:fldChar w:fldCharType="end"/>
      </w:r>
      <w:r w:rsidR="005A176A">
        <w:rPr>
          <w:rFonts w:eastAsia="MS Mincho"/>
          <w:lang w:eastAsia="ja-JP"/>
        </w:rPr>
        <w:fldChar w:fldCharType="begin"/>
      </w:r>
      <w:r w:rsidR="005A176A">
        <w:rPr>
          <w:rFonts w:eastAsia="MS Mincho"/>
          <w:lang w:eastAsia="ja-JP"/>
        </w:rPr>
        <w:instrText xml:space="preserve"> REF _Ref484868330 \r \h </w:instrText>
      </w:r>
      <w:r w:rsidR="005A176A">
        <w:rPr>
          <w:rFonts w:eastAsia="MS Mincho"/>
          <w:lang w:eastAsia="ja-JP"/>
        </w:rPr>
      </w:r>
      <w:r w:rsidR="005A176A">
        <w:rPr>
          <w:rFonts w:eastAsia="MS Mincho"/>
          <w:lang w:eastAsia="ja-JP"/>
        </w:rPr>
        <w:fldChar w:fldCharType="separate"/>
      </w:r>
      <w:r w:rsidR="00417081">
        <w:rPr>
          <w:rFonts w:eastAsia="MS Mincho" w:hint="cs"/>
          <w:cs/>
          <w:lang w:eastAsia="ja-JP"/>
        </w:rPr>
        <w:t>‎</w:t>
      </w:r>
      <w:r w:rsidR="00417081">
        <w:rPr>
          <w:rFonts w:eastAsia="MS Mincho"/>
          <w:lang w:eastAsia="ja-JP"/>
        </w:rPr>
        <w:t>[2]</w:t>
      </w:r>
      <w:r w:rsidR="005A176A">
        <w:rPr>
          <w:rFonts w:eastAsia="MS Mincho"/>
          <w:lang w:eastAsia="ja-JP"/>
        </w:rPr>
        <w:fldChar w:fldCharType="end"/>
      </w:r>
      <w:r w:rsidR="005A176A">
        <w:rPr>
          <w:rFonts w:eastAsia="MS Mincho"/>
          <w:lang w:eastAsia="ja-JP"/>
        </w:rPr>
        <w:fldChar w:fldCharType="begin"/>
      </w:r>
      <w:r w:rsidR="005A176A">
        <w:rPr>
          <w:rFonts w:eastAsia="MS Mincho"/>
          <w:lang w:eastAsia="ja-JP"/>
        </w:rPr>
        <w:instrText xml:space="preserve"> REF _Ref492963688 \r \h </w:instrText>
      </w:r>
      <w:r w:rsidR="005A176A">
        <w:rPr>
          <w:rFonts w:eastAsia="MS Mincho"/>
          <w:lang w:eastAsia="ja-JP"/>
        </w:rPr>
      </w:r>
      <w:r w:rsidR="005A176A">
        <w:rPr>
          <w:rFonts w:eastAsia="MS Mincho"/>
          <w:lang w:eastAsia="ja-JP"/>
        </w:rPr>
        <w:fldChar w:fldCharType="separate"/>
      </w:r>
      <w:r w:rsidR="00417081">
        <w:rPr>
          <w:rFonts w:eastAsia="MS Mincho" w:hint="cs"/>
          <w:cs/>
          <w:lang w:eastAsia="ja-JP"/>
        </w:rPr>
        <w:t>‎</w:t>
      </w:r>
      <w:r w:rsidR="00417081">
        <w:rPr>
          <w:rFonts w:eastAsia="MS Mincho"/>
          <w:lang w:eastAsia="ja-JP"/>
        </w:rPr>
        <w:t>[3]</w:t>
      </w:r>
      <w:r w:rsidR="005A176A">
        <w:rPr>
          <w:rFonts w:eastAsia="MS Mincho"/>
          <w:lang w:eastAsia="ja-JP"/>
        </w:rPr>
        <w:fldChar w:fldCharType="end"/>
      </w:r>
      <w:r w:rsidR="00FB6FD2">
        <w:rPr>
          <w:rFonts w:eastAsia="MS Mincho"/>
          <w:lang w:eastAsia="ja-JP"/>
        </w:rPr>
        <w:fldChar w:fldCharType="begin"/>
      </w:r>
      <w:r w:rsidR="00FB6FD2">
        <w:rPr>
          <w:rFonts w:eastAsia="MS Mincho"/>
          <w:lang w:eastAsia="ja-JP"/>
        </w:rPr>
        <w:instrText xml:space="preserve"> REF _Ref494770539 \n \h </w:instrText>
      </w:r>
      <w:r w:rsidR="00FB6FD2">
        <w:rPr>
          <w:rFonts w:eastAsia="MS Mincho"/>
          <w:lang w:eastAsia="ja-JP"/>
        </w:rPr>
      </w:r>
      <w:r w:rsidR="00FB6FD2">
        <w:rPr>
          <w:rFonts w:eastAsia="MS Mincho"/>
          <w:lang w:eastAsia="ja-JP"/>
        </w:rPr>
        <w:fldChar w:fldCharType="separate"/>
      </w:r>
      <w:r w:rsidR="00417081">
        <w:rPr>
          <w:rFonts w:eastAsia="MS Mincho" w:hint="cs"/>
          <w:cs/>
          <w:lang w:eastAsia="ja-JP"/>
        </w:rPr>
        <w:t>‎</w:t>
      </w:r>
      <w:r w:rsidR="00417081">
        <w:rPr>
          <w:rFonts w:eastAsia="MS Mincho"/>
          <w:lang w:eastAsia="ja-JP"/>
        </w:rPr>
        <w:t>[4]</w:t>
      </w:r>
      <w:r w:rsidR="00FB6FD2">
        <w:rPr>
          <w:rFonts w:eastAsia="MS Mincho"/>
          <w:lang w:eastAsia="ja-JP"/>
        </w:rPr>
        <w:fldChar w:fldCharType="end"/>
      </w:r>
      <w:r w:rsidR="00E0177D">
        <w:rPr>
          <w:rFonts w:eastAsia="MS Mincho"/>
          <w:lang w:eastAsia="ja-JP"/>
        </w:rPr>
        <w:fldChar w:fldCharType="begin"/>
      </w:r>
      <w:r w:rsidR="00E0177D">
        <w:rPr>
          <w:rFonts w:eastAsia="MS Mincho"/>
          <w:lang w:eastAsia="ja-JP"/>
        </w:rPr>
        <w:instrText xml:space="preserve"> REF _Ref498688656 \r \h </w:instrText>
      </w:r>
      <w:r w:rsidR="00E0177D">
        <w:rPr>
          <w:rFonts w:eastAsia="MS Mincho"/>
          <w:lang w:eastAsia="ja-JP"/>
        </w:rPr>
      </w:r>
      <w:r w:rsidR="00E0177D">
        <w:rPr>
          <w:rFonts w:eastAsia="MS Mincho"/>
          <w:lang w:eastAsia="ja-JP"/>
        </w:rPr>
        <w:fldChar w:fldCharType="separate"/>
      </w:r>
      <w:r w:rsidR="00E0177D">
        <w:rPr>
          <w:rFonts w:eastAsia="MS Mincho" w:hint="cs"/>
          <w:cs/>
          <w:lang w:eastAsia="ja-JP"/>
        </w:rPr>
        <w:t>‎</w:t>
      </w:r>
      <w:r w:rsidR="00E0177D">
        <w:rPr>
          <w:rFonts w:eastAsia="MS Mincho"/>
          <w:lang w:eastAsia="ja-JP"/>
        </w:rPr>
        <w:t>[6]</w:t>
      </w:r>
      <w:r w:rsidR="00E0177D">
        <w:rPr>
          <w:rFonts w:eastAsia="MS Mincho"/>
          <w:lang w:eastAsia="ja-JP"/>
        </w:rPr>
        <w:fldChar w:fldCharType="end"/>
      </w:r>
      <w:r w:rsidR="00E0177D">
        <w:rPr>
          <w:rFonts w:eastAsia="MS Mincho"/>
          <w:lang w:eastAsia="ja-JP"/>
        </w:rPr>
        <w:t>.</w:t>
      </w:r>
    </w:p>
    <w:p w14:paraId="207E7440" w14:textId="71FD81F2" w:rsidR="00856434" w:rsidRDefault="00C43FE1" w:rsidP="005261FA">
      <w:r>
        <w:t>In this contribution</w:t>
      </w:r>
      <w:r w:rsidR="00E50017">
        <w:t>,</w:t>
      </w:r>
      <w:r>
        <w:t xml:space="preserve"> we discuss our view on the </w:t>
      </w:r>
      <w:r w:rsidR="00A42A9B">
        <w:t xml:space="preserve">remaining issues with respect to the </w:t>
      </w:r>
      <w:r>
        <w:t>structure</w:t>
      </w:r>
      <w:r w:rsidR="002E0D6D">
        <w:t>, content and related UE procedures</w:t>
      </w:r>
      <w:r>
        <w:t xml:space="preserve"> </w:t>
      </w:r>
      <w:r w:rsidR="00CD4E03">
        <w:t>of the group-c</w:t>
      </w:r>
      <w:r>
        <w:t>ommon PDCCH</w:t>
      </w:r>
      <w:r w:rsidR="00924D26">
        <w:t>.</w:t>
      </w:r>
    </w:p>
    <w:p w14:paraId="623B3C48" w14:textId="30A2C9B1" w:rsidR="005261FA" w:rsidRDefault="005261FA" w:rsidP="005261FA">
      <w:pPr>
        <w:pStyle w:val="Heading1"/>
      </w:pPr>
      <w:r>
        <w:t>Discussion</w:t>
      </w:r>
    </w:p>
    <w:p w14:paraId="6C0B5945" w14:textId="4BB368F4" w:rsidR="002E0D6D" w:rsidRDefault="002E0D6D" w:rsidP="002E0D6D">
      <w:pPr>
        <w:pStyle w:val="Heading2"/>
      </w:pPr>
      <w:r>
        <w:t xml:space="preserve">The </w:t>
      </w:r>
      <w:r w:rsidR="00C45FF0">
        <w:t>structure of slot formats</w:t>
      </w:r>
    </w:p>
    <w:p w14:paraId="2D093219" w14:textId="77777777" w:rsidR="002E0D6D" w:rsidRDefault="002E0D6D" w:rsidP="002E0D6D">
      <w:pPr>
        <w:pStyle w:val="Heading3"/>
      </w:pPr>
      <w:r>
        <w:t>Slot related information</w:t>
      </w:r>
    </w:p>
    <w:p w14:paraId="7833E4EC" w14:textId="11E4B1F1" w:rsidR="004B3EA6" w:rsidRDefault="002E0D6D" w:rsidP="00417081">
      <w:r w:rsidRPr="00E82DDD">
        <w:t>It is agreed that the group-common PDCCH provides the slot related information for one or more slots. The information corresponding a symbol within a slot can be ‘DL’, ‘UL’ or ‘Unknown’ as agreed.</w:t>
      </w:r>
      <w:r w:rsidR="00B20A1F">
        <w:t xml:space="preserve"> Furthermore</w:t>
      </w:r>
      <w:r w:rsidR="00417081">
        <w:t>,</w:t>
      </w:r>
      <w:r w:rsidR="00B20A1F">
        <w:t xml:space="preserve"> it was agreed that the single slot format table can have up to two D/U switching point</w:t>
      </w:r>
      <w:r w:rsidR="00417081">
        <w:t xml:space="preserve">, i.e. zero switching point, one switching point or two switching points as shown in </w:t>
      </w:r>
      <w:r w:rsidR="00417081">
        <w:fldChar w:fldCharType="begin"/>
      </w:r>
      <w:r w:rsidR="00417081">
        <w:instrText xml:space="preserve"> REF _Ref498591987 \h </w:instrText>
      </w:r>
      <w:r w:rsidR="00417081">
        <w:fldChar w:fldCharType="separate"/>
      </w:r>
      <w:r w:rsidR="00417081">
        <w:t xml:space="preserve">Figure </w:t>
      </w:r>
      <w:r w:rsidR="00417081">
        <w:rPr>
          <w:noProof/>
        </w:rPr>
        <w:t>1</w:t>
      </w:r>
      <w:r w:rsidR="00417081">
        <w:fldChar w:fldCharType="end"/>
      </w:r>
      <w:r w:rsidR="00417081">
        <w:t xml:space="preserve">. </w:t>
      </w:r>
    </w:p>
    <w:p w14:paraId="7629AFEE" w14:textId="4B0D150F" w:rsidR="004B3EA6" w:rsidRDefault="00417081" w:rsidP="00900C1C">
      <w:pPr>
        <w:jc w:val="center"/>
      </w:pPr>
      <w:r>
        <w:rPr>
          <w:noProof/>
        </w:rPr>
        <w:drawing>
          <wp:inline distT="0" distB="0" distL="0" distR="0" wp14:anchorId="4FEDCE12" wp14:editId="52A6C1D9">
            <wp:extent cx="5844208" cy="2005062"/>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5846351" cy="2005797"/>
                    </a:xfrm>
                    <a:prstGeom prst="rect">
                      <a:avLst/>
                    </a:prstGeom>
                  </pic:spPr>
                </pic:pic>
              </a:graphicData>
            </a:graphic>
          </wp:inline>
        </w:drawing>
      </w:r>
    </w:p>
    <w:p w14:paraId="21547AD1" w14:textId="70255161" w:rsidR="00417081" w:rsidRPr="00417081" w:rsidRDefault="00417081" w:rsidP="00417081">
      <w:pPr>
        <w:pStyle w:val="Caption"/>
        <w:rPr>
          <w:b w:val="0"/>
          <w:bCs w:val="0"/>
        </w:rPr>
      </w:pPr>
      <w:bookmarkStart w:id="5" w:name="_Ref498591987"/>
      <w:r w:rsidRPr="00417081">
        <w:rPr>
          <w:b w:val="0"/>
          <w:bCs w:val="0"/>
        </w:rPr>
        <w:t xml:space="preserve">Figure </w:t>
      </w:r>
      <w:r w:rsidRPr="00417081">
        <w:rPr>
          <w:b w:val="0"/>
          <w:bCs w:val="0"/>
        </w:rPr>
        <w:fldChar w:fldCharType="begin"/>
      </w:r>
      <w:r w:rsidRPr="00417081">
        <w:rPr>
          <w:b w:val="0"/>
          <w:bCs w:val="0"/>
        </w:rPr>
        <w:instrText xml:space="preserve"> SEQ Figure \* ARABIC </w:instrText>
      </w:r>
      <w:r w:rsidRPr="00417081">
        <w:rPr>
          <w:b w:val="0"/>
          <w:bCs w:val="0"/>
        </w:rPr>
        <w:fldChar w:fldCharType="separate"/>
      </w:r>
      <w:r w:rsidRPr="00417081">
        <w:rPr>
          <w:b w:val="0"/>
          <w:bCs w:val="0"/>
          <w:noProof/>
        </w:rPr>
        <w:t>1</w:t>
      </w:r>
      <w:r w:rsidRPr="00417081">
        <w:rPr>
          <w:b w:val="0"/>
          <w:bCs w:val="0"/>
          <w:noProof/>
        </w:rPr>
        <w:fldChar w:fldCharType="end"/>
      </w:r>
      <w:bookmarkEnd w:id="5"/>
      <w:r w:rsidRPr="00417081">
        <w:rPr>
          <w:b w:val="0"/>
          <w:bCs w:val="0"/>
        </w:rPr>
        <w:t xml:space="preserve">: </w:t>
      </w:r>
      <w:r>
        <w:rPr>
          <w:b w:val="0"/>
          <w:bCs w:val="0"/>
        </w:rPr>
        <w:t>Single slot format with 0, 1, or 2 switching points</w:t>
      </w:r>
      <w:r w:rsidRPr="00417081">
        <w:rPr>
          <w:b w:val="0"/>
          <w:bCs w:val="0"/>
        </w:rPr>
        <w:t xml:space="preserve"> </w:t>
      </w:r>
    </w:p>
    <w:p w14:paraId="5BC0051E" w14:textId="77777777" w:rsidR="00BE4DB8" w:rsidRDefault="0027634E" w:rsidP="00BE4DB8">
      <w:pPr>
        <w:widowControl w:val="0"/>
        <w:spacing w:line="240" w:lineRule="auto"/>
        <w:jc w:val="both"/>
        <w:rPr>
          <w:szCs w:val="20"/>
        </w:rPr>
      </w:pPr>
      <w:r>
        <w:t xml:space="preserve">Also in RAN1#90b it was agreed that up to X&lt;[256] different slot formats based on the above rule will be specified, </w:t>
      </w:r>
      <w:r w:rsidRPr="00BE4DB8">
        <w:rPr>
          <w:szCs w:val="20"/>
        </w:rPr>
        <w:t xml:space="preserve">with only X entries specified in Rel-15 in RAN1. </w:t>
      </w:r>
    </w:p>
    <w:p w14:paraId="27907DE3" w14:textId="6342D9AA" w:rsidR="00BE4DB8" w:rsidRPr="00BE4DB8" w:rsidRDefault="00BE4DB8" w:rsidP="00BE4DB8">
      <w:pPr>
        <w:widowControl w:val="0"/>
        <w:spacing w:line="240" w:lineRule="auto"/>
        <w:jc w:val="both"/>
        <w:rPr>
          <w:szCs w:val="20"/>
        </w:rPr>
      </w:pPr>
      <w:r>
        <w:rPr>
          <w:szCs w:val="20"/>
        </w:rPr>
        <w:t xml:space="preserve">According to RAN1#90b agreement, the higher layer signaling for </w:t>
      </w:r>
      <w:r w:rsidRPr="00BE4DB8">
        <w:rPr>
          <w:szCs w:val="20"/>
        </w:rPr>
        <w:t>the cell-specific DL/UL assignment</w:t>
      </w:r>
      <w:r>
        <w:rPr>
          <w:szCs w:val="20"/>
        </w:rPr>
        <w:t xml:space="preserve"> should have a format </w:t>
      </w:r>
      <w:r w:rsidRPr="00BE4DB8">
        <w:rPr>
          <w:szCs w:val="20"/>
        </w:rPr>
        <w:t xml:space="preserve">DL-unknown-UL. The signaling include: </w:t>
      </w:r>
    </w:p>
    <w:p w14:paraId="6D3A3505" w14:textId="77777777" w:rsidR="00BE4DB8" w:rsidRPr="00BE4DB8" w:rsidRDefault="00BE4DB8" w:rsidP="00BE4DB8">
      <w:pPr>
        <w:pStyle w:val="ListParagraph"/>
        <w:widowControl w:val="0"/>
        <w:numPr>
          <w:ilvl w:val="1"/>
          <w:numId w:val="34"/>
        </w:numPr>
        <w:spacing w:line="240" w:lineRule="auto"/>
        <w:ind w:rightChars="100" w:right="220"/>
        <w:jc w:val="both"/>
        <w:rPr>
          <w:szCs w:val="20"/>
          <w:lang w:val="en-US"/>
        </w:rPr>
      </w:pPr>
      <w:r w:rsidRPr="00BE4DB8">
        <w:rPr>
          <w:szCs w:val="20"/>
          <w:lang w:val="en-US"/>
        </w:rPr>
        <w:t>For DL resources indication, the signaling include:</w:t>
      </w:r>
    </w:p>
    <w:p w14:paraId="6D10EC90" w14:textId="77777777" w:rsidR="00BE4DB8" w:rsidRPr="00BE4DB8" w:rsidRDefault="00BE4DB8" w:rsidP="00BE4DB8">
      <w:pPr>
        <w:pStyle w:val="ListParagraph"/>
        <w:widowControl w:val="0"/>
        <w:numPr>
          <w:ilvl w:val="2"/>
          <w:numId w:val="34"/>
        </w:numPr>
        <w:spacing w:line="240" w:lineRule="auto"/>
        <w:ind w:rightChars="100" w:right="220"/>
        <w:jc w:val="both"/>
        <w:rPr>
          <w:szCs w:val="20"/>
          <w:lang w:val="en-US"/>
        </w:rPr>
      </w:pPr>
      <w:r w:rsidRPr="00BE4DB8">
        <w:rPr>
          <w:szCs w:val="20"/>
          <w:lang w:val="en-US"/>
        </w:rPr>
        <w:lastRenderedPageBreak/>
        <w:t xml:space="preserve">Number of full DL slot(s) (x1) at the beginning of the period. Values for x1 include {0,1,…, (Number of slots in a </w:t>
      </w:r>
      <w:r w:rsidRPr="00BE4DB8">
        <w:rPr>
          <w:rFonts w:eastAsia="MS Mincho"/>
          <w:szCs w:val="20"/>
          <w:lang w:val="en-US"/>
        </w:rPr>
        <w:t>UL-DL switching periodicity)}</w:t>
      </w:r>
    </w:p>
    <w:p w14:paraId="3D5031F2" w14:textId="77777777" w:rsidR="00BE4DB8" w:rsidRPr="00BE7A70" w:rsidRDefault="00BE4DB8" w:rsidP="00BE4DB8">
      <w:pPr>
        <w:pStyle w:val="ListParagraph"/>
        <w:widowControl w:val="0"/>
        <w:numPr>
          <w:ilvl w:val="2"/>
          <w:numId w:val="34"/>
        </w:numPr>
        <w:spacing w:line="240" w:lineRule="auto"/>
        <w:ind w:rightChars="100" w:right="220"/>
        <w:jc w:val="both"/>
        <w:rPr>
          <w:szCs w:val="20"/>
        </w:rPr>
      </w:pPr>
      <w:r w:rsidRPr="00BE4DB8">
        <w:rPr>
          <w:szCs w:val="20"/>
          <w:lang w:val="en-US"/>
        </w:rPr>
        <w:t xml:space="preserve">Number of DL symbol(s) follow the full DL slots (x2). </w:t>
      </w:r>
      <w:r w:rsidRPr="00BE7A70">
        <w:rPr>
          <w:szCs w:val="20"/>
        </w:rPr>
        <w:t>Values for x2 include {0,1,…, 13}</w:t>
      </w:r>
    </w:p>
    <w:p w14:paraId="4898DE77" w14:textId="77777777" w:rsidR="00BE4DB8" w:rsidRPr="00BE4DB8" w:rsidRDefault="00BE4DB8" w:rsidP="00BE4DB8">
      <w:pPr>
        <w:pStyle w:val="ListParagraph"/>
        <w:widowControl w:val="0"/>
        <w:numPr>
          <w:ilvl w:val="1"/>
          <w:numId w:val="34"/>
        </w:numPr>
        <w:spacing w:line="240" w:lineRule="auto"/>
        <w:ind w:rightChars="100" w:right="220"/>
        <w:jc w:val="both"/>
        <w:rPr>
          <w:szCs w:val="20"/>
          <w:lang w:val="en-US"/>
        </w:rPr>
      </w:pPr>
      <w:r w:rsidRPr="00BE4DB8">
        <w:rPr>
          <w:szCs w:val="20"/>
          <w:lang w:val="en-US"/>
        </w:rPr>
        <w:t>For UL resource indication, the signaling include:</w:t>
      </w:r>
    </w:p>
    <w:p w14:paraId="2B9B54FF" w14:textId="77777777" w:rsidR="00BE4DB8" w:rsidRPr="00BE4DB8" w:rsidRDefault="00BE4DB8" w:rsidP="00BE4DB8">
      <w:pPr>
        <w:pStyle w:val="ListParagraph"/>
        <w:widowControl w:val="0"/>
        <w:numPr>
          <w:ilvl w:val="2"/>
          <w:numId w:val="34"/>
        </w:numPr>
        <w:spacing w:line="240" w:lineRule="auto"/>
        <w:ind w:rightChars="100" w:right="220"/>
        <w:jc w:val="both"/>
        <w:rPr>
          <w:szCs w:val="20"/>
          <w:lang w:val="en-US"/>
        </w:rPr>
      </w:pPr>
      <w:r w:rsidRPr="00BE4DB8">
        <w:rPr>
          <w:szCs w:val="20"/>
          <w:lang w:val="en-US"/>
        </w:rPr>
        <w:t xml:space="preserve">Number of full UL slot(s) (y1) at the end of the period. Values for y1 include {0,1,…, (Number of slots in a </w:t>
      </w:r>
      <w:r w:rsidRPr="00BE4DB8">
        <w:rPr>
          <w:rFonts w:eastAsia="MS Mincho"/>
          <w:szCs w:val="20"/>
          <w:lang w:val="en-US"/>
        </w:rPr>
        <w:t>UL-DL switching periodicity)}</w:t>
      </w:r>
      <w:r w:rsidRPr="00BE4DB8">
        <w:rPr>
          <w:szCs w:val="20"/>
          <w:lang w:val="en-US"/>
        </w:rPr>
        <w:t xml:space="preserve"> </w:t>
      </w:r>
    </w:p>
    <w:p w14:paraId="01188558" w14:textId="77777777" w:rsidR="00BE4DB8" w:rsidRPr="00BE7A70" w:rsidRDefault="00BE4DB8" w:rsidP="00BE4DB8">
      <w:pPr>
        <w:pStyle w:val="ListParagraph"/>
        <w:widowControl w:val="0"/>
        <w:numPr>
          <w:ilvl w:val="2"/>
          <w:numId w:val="34"/>
        </w:numPr>
        <w:spacing w:line="240" w:lineRule="auto"/>
        <w:ind w:rightChars="100" w:right="220"/>
        <w:jc w:val="both"/>
        <w:rPr>
          <w:szCs w:val="20"/>
        </w:rPr>
      </w:pPr>
      <w:r w:rsidRPr="00BE4DB8">
        <w:rPr>
          <w:szCs w:val="20"/>
          <w:lang w:val="en-US"/>
        </w:rPr>
        <w:t xml:space="preserve">Number of UL symbol(s) (y2) preceeds full UL slots. </w:t>
      </w:r>
      <w:r w:rsidRPr="00BE7A70">
        <w:rPr>
          <w:szCs w:val="20"/>
        </w:rPr>
        <w:t>Values for y2 include {0,1,…, 13</w:t>
      </w:r>
      <w:r w:rsidRPr="00BE7A70">
        <w:rPr>
          <w:rFonts w:eastAsia="MS Mincho"/>
          <w:szCs w:val="20"/>
        </w:rPr>
        <w:t>}</w:t>
      </w:r>
      <w:r w:rsidRPr="00BE7A70">
        <w:rPr>
          <w:szCs w:val="20"/>
        </w:rPr>
        <w:t xml:space="preserve"> </w:t>
      </w:r>
    </w:p>
    <w:p w14:paraId="5C60613B" w14:textId="77777777" w:rsidR="00BE4DB8" w:rsidRDefault="00BE4DB8" w:rsidP="0027634E">
      <w:pPr>
        <w:rPr>
          <w:szCs w:val="20"/>
        </w:rPr>
      </w:pPr>
    </w:p>
    <w:p w14:paraId="2BD34264" w14:textId="4E81FA11" w:rsidR="007A3B57" w:rsidRDefault="00BE4DB8" w:rsidP="008B7DF5">
      <w:pPr>
        <w:rPr>
          <w:szCs w:val="20"/>
        </w:rPr>
      </w:pPr>
      <w:r>
        <w:rPr>
          <w:szCs w:val="20"/>
        </w:rPr>
        <w:t xml:space="preserve">Regarding the size of the single slot-format </w:t>
      </w:r>
      <w:r w:rsidR="008B7DF5">
        <w:rPr>
          <w:szCs w:val="20"/>
        </w:rPr>
        <w:t xml:space="preserve">it seems that for Rel-15 up to 64 formats is enough. Also for </w:t>
      </w:r>
      <w:r w:rsidR="00313359">
        <w:rPr>
          <w:szCs w:val="20"/>
        </w:rPr>
        <w:t xml:space="preserve">the </w:t>
      </w:r>
      <w:r w:rsidR="008B7DF5">
        <w:rPr>
          <w:szCs w:val="20"/>
        </w:rPr>
        <w:t>purpose</w:t>
      </w:r>
      <w:r w:rsidR="00313359">
        <w:rPr>
          <w:szCs w:val="20"/>
        </w:rPr>
        <w:t xml:space="preserve"> of coexistence with LTE</w:t>
      </w:r>
      <w:r w:rsidR="008B7DF5">
        <w:rPr>
          <w:szCs w:val="20"/>
        </w:rPr>
        <w:t xml:space="preserve">, </w:t>
      </w:r>
      <w:r w:rsidR="00313359">
        <w:rPr>
          <w:szCs w:val="20"/>
        </w:rPr>
        <w:t xml:space="preserve">at least some of the common </w:t>
      </w:r>
      <w:r w:rsidR="006850EB">
        <w:rPr>
          <w:szCs w:val="20"/>
        </w:rPr>
        <w:t>configurations</w:t>
      </w:r>
      <w:r w:rsidR="00313359">
        <w:rPr>
          <w:szCs w:val="20"/>
        </w:rPr>
        <w:t xml:space="preserve"> formats from LTE should be adopted.</w:t>
      </w:r>
    </w:p>
    <w:p w14:paraId="1323AFBB" w14:textId="2CC73D67" w:rsidR="00171B7D" w:rsidRDefault="00171B7D" w:rsidP="00171B7D">
      <w:pPr>
        <w:rPr>
          <w:szCs w:val="20"/>
        </w:rPr>
      </w:pPr>
      <w:r w:rsidRPr="00B8558E">
        <w:rPr>
          <w:b/>
          <w:bCs/>
          <w:szCs w:val="20"/>
        </w:rPr>
        <w:t>Proposal:</w:t>
      </w:r>
      <w:r w:rsidR="00313359">
        <w:rPr>
          <w:szCs w:val="20"/>
        </w:rPr>
        <w:t xml:space="preserve"> It is proposed that in Rel-15 up to 64 slot formats specified. Also for coexistence with LTE, at least some of the common </w:t>
      </w:r>
      <w:r w:rsidR="006850EB">
        <w:rPr>
          <w:szCs w:val="20"/>
        </w:rPr>
        <w:t>configurations from LTE should be adopted</w:t>
      </w:r>
    </w:p>
    <w:p w14:paraId="1A89F7B0" w14:textId="6330A05A" w:rsidR="002E0D6D" w:rsidRDefault="005A176A" w:rsidP="002E0D6D">
      <w:pPr>
        <w:pStyle w:val="Heading3"/>
      </w:pPr>
      <w:r>
        <w:t>Reserved bits</w:t>
      </w:r>
    </w:p>
    <w:p w14:paraId="39EFD113" w14:textId="57FE977B" w:rsidR="002E0D6D" w:rsidRDefault="002E0D6D" w:rsidP="002E0D6D">
      <w:pPr>
        <w:rPr>
          <w:b/>
          <w:u w:val="single"/>
        </w:rPr>
      </w:pPr>
      <w:r>
        <w:t>Different functionalities such as UE’s processing time improvement, cross-link interference mitigations, reduction of number of blind decodes and UE’s power saving are claimed to be beneficial to be enabled by means of a group-common PDCCH. Depending on the functionality, diverse views were expressed on whether the group-common PDCCH should be considered as enablers for such functionalities.</w:t>
      </w:r>
      <w:r w:rsidRPr="00CC1E96">
        <w:t xml:space="preserve"> </w:t>
      </w:r>
      <w:r>
        <w:t>In the following,</w:t>
      </w:r>
      <w:r w:rsidRPr="00BE3726">
        <w:t xml:space="preserve"> we discuss our view on the </w:t>
      </w:r>
      <w:r>
        <w:t>fields</w:t>
      </w:r>
      <w:r w:rsidRPr="00BE3726">
        <w:t xml:space="preserve"> </w:t>
      </w:r>
      <w:r>
        <w:t>in</w:t>
      </w:r>
      <w:r w:rsidRPr="00BE3726">
        <w:t xml:space="preserve"> the group</w:t>
      </w:r>
      <w:r>
        <w:t>-</w:t>
      </w:r>
      <w:r w:rsidRPr="00BE3726">
        <w:t>common PDCCH.</w:t>
      </w:r>
    </w:p>
    <w:p w14:paraId="40349597" w14:textId="77777777" w:rsidR="002E0D6D" w:rsidRDefault="002E0D6D" w:rsidP="002E0D6D">
      <w:r w:rsidRPr="000A58F9">
        <w:rPr>
          <w:b/>
          <w:u w:val="single"/>
        </w:rPr>
        <w:t>Reserved bits:</w:t>
      </w:r>
      <w:r>
        <w:t xml:space="preserve"> </w:t>
      </w:r>
    </w:p>
    <w:p w14:paraId="3C5B8F2F" w14:textId="77777777" w:rsidR="002E0D6D" w:rsidRDefault="002E0D6D" w:rsidP="002E0D6D">
      <w:r>
        <w:t>In our view in addition to the number of bits for the specified fields, it is important to allocate a few bits as the reserved bits while keeping the total number of payload bits constant. Such consideration ensures a forward compatible design for the group-common PDCCH signal which does not to be changed with new releases and introduction of potentially new fields.</w:t>
      </w:r>
    </w:p>
    <w:p w14:paraId="1F90C2F0" w14:textId="77777777" w:rsidR="002E0D6D" w:rsidRDefault="002E0D6D" w:rsidP="002E0D6D">
      <w:pPr>
        <w:pStyle w:val="BodyText"/>
        <w:rPr>
          <w:b/>
        </w:rPr>
      </w:pPr>
      <w:r>
        <w:t xml:space="preserve"> </w:t>
      </w:r>
      <w:r w:rsidRPr="003631C4">
        <w:rPr>
          <w:b/>
        </w:rPr>
        <w:t>Proposal:</w:t>
      </w:r>
    </w:p>
    <w:p w14:paraId="0F9321E5" w14:textId="05D51FA6" w:rsidR="002E0D6D" w:rsidRDefault="002E0D6D" w:rsidP="000C05D4">
      <w:pPr>
        <w:pStyle w:val="BodyText"/>
        <w:numPr>
          <w:ilvl w:val="0"/>
          <w:numId w:val="24"/>
        </w:numPr>
      </w:pPr>
      <w:r>
        <w:t>Reserve a few bits in the payload of</w:t>
      </w:r>
      <w:r w:rsidRPr="001A6252">
        <w:t xml:space="preserve"> the group</w:t>
      </w:r>
      <w:r>
        <w:t>-</w:t>
      </w:r>
      <w:r w:rsidRPr="001A6252">
        <w:t xml:space="preserve">common PDCCH </w:t>
      </w:r>
      <w:r>
        <w:t>for future compatibility purposes in the current release of NR.</w:t>
      </w:r>
    </w:p>
    <w:p w14:paraId="5C2BDF52" w14:textId="409E3B50" w:rsidR="005A176A" w:rsidRDefault="005A176A" w:rsidP="000C05D4">
      <w:pPr>
        <w:pStyle w:val="BodyText"/>
        <w:numPr>
          <w:ilvl w:val="0"/>
          <w:numId w:val="24"/>
        </w:numPr>
      </w:pPr>
      <w:r>
        <w:t>The reserved bits do not require any action from the UE.</w:t>
      </w:r>
    </w:p>
    <w:p w14:paraId="1A880438" w14:textId="43592386" w:rsidR="002E0D6D" w:rsidRDefault="005A176A" w:rsidP="002E0D6D">
      <w:pPr>
        <w:pStyle w:val="BodyText"/>
      </w:pPr>
      <w:r>
        <w:t xml:space="preserve">Other fields that might be beneficial, can be introduced in future releases of NR if necessary as we discussed in our previous contribution </w:t>
      </w:r>
      <w:r>
        <w:fldChar w:fldCharType="begin"/>
      </w:r>
      <w:r>
        <w:instrText xml:space="preserve"> REF _Ref484943694 \n \h </w:instrText>
      </w:r>
      <w:r>
        <w:fldChar w:fldCharType="separate"/>
      </w:r>
      <w:r w:rsidR="00417081">
        <w:rPr>
          <w:rFonts w:hint="cs"/>
          <w:cs/>
        </w:rPr>
        <w:t>‎</w:t>
      </w:r>
      <w:r w:rsidR="00417081">
        <w:t>[5]</w:t>
      </w:r>
      <w:r>
        <w:fldChar w:fldCharType="end"/>
      </w:r>
      <w:r>
        <w:t>.</w:t>
      </w:r>
    </w:p>
    <w:p w14:paraId="3DE8C4D3" w14:textId="6D895A52" w:rsidR="002E0D6D" w:rsidRPr="00D57ABB" w:rsidRDefault="002E0D6D" w:rsidP="00576CCC">
      <w:pPr>
        <w:pStyle w:val="Heading3"/>
      </w:pPr>
      <w:r w:rsidRPr="00D57ABB">
        <w:t xml:space="preserve">General rules with respect to UE </w:t>
      </w:r>
      <w:r w:rsidR="0001501A" w:rsidRPr="00D57ABB">
        <w:t>behaviour</w:t>
      </w:r>
      <w:r w:rsidRPr="00D57ABB">
        <w:t>:</w:t>
      </w:r>
    </w:p>
    <w:p w14:paraId="25D39DBB" w14:textId="216EFE63" w:rsidR="002E0D6D" w:rsidRDefault="002E0D6D" w:rsidP="002E0D6D">
      <w:r>
        <w:t>In the previous meetings, extensive discussions took place to clarify the UE behavior in case the UE receives conflicting information about a slot or multiple slots where each information affects the corresponding behavior differently. First of all, it should be clear that it is the gNB responsibility not to transmit conflicting information. However, if the situation occurs, the information received from the UE-specific PDCCH has the highest priority. After that the information received in the common PD</w:t>
      </w:r>
      <w:r w:rsidR="00781699">
        <w:t>C</w:t>
      </w:r>
      <w:r>
        <w:t>CH has the highest priority followed by the inf</w:t>
      </w:r>
      <w:r w:rsidR="00781699">
        <w:t>ormation in the group common PDC</w:t>
      </w:r>
      <w:r>
        <w:t>CH. Also, the information obtained from RRC configurations holds if it is not overridden by any other information. However, it should be noted that the UE is not expected to receive conflicting information in the same slot.</w:t>
      </w:r>
    </w:p>
    <w:p w14:paraId="54C78A80" w14:textId="6BCFC5D8" w:rsidR="00781699" w:rsidRDefault="00781699" w:rsidP="002E0D6D"/>
    <w:p w14:paraId="4256E8EC" w14:textId="77777777" w:rsidR="002E0D6D" w:rsidRPr="00697904" w:rsidRDefault="002E0D6D" w:rsidP="002E0D6D">
      <w:pPr>
        <w:rPr>
          <w:b/>
        </w:rPr>
      </w:pPr>
      <w:r w:rsidRPr="00697904">
        <w:rPr>
          <w:b/>
        </w:rPr>
        <w:t>Proposal:</w:t>
      </w:r>
    </w:p>
    <w:p w14:paraId="1B328558" w14:textId="2353529D" w:rsidR="002E0D6D" w:rsidRDefault="002E0D6D" w:rsidP="000C05D4">
      <w:pPr>
        <w:pStyle w:val="BodyText"/>
        <w:numPr>
          <w:ilvl w:val="0"/>
          <w:numId w:val="21"/>
        </w:numPr>
      </w:pPr>
      <w:r>
        <w:t>The information received from the UE-specific PDCCH has the highest priority. After that the information received in the common PD</w:t>
      </w:r>
      <w:r w:rsidR="00922EB0">
        <w:t>C</w:t>
      </w:r>
      <w:r>
        <w:t>CH has the highest priority.</w:t>
      </w:r>
    </w:p>
    <w:p w14:paraId="318517E0" w14:textId="259DC05F" w:rsidR="002E0D6D" w:rsidRDefault="002E0D6D" w:rsidP="000C05D4">
      <w:pPr>
        <w:pStyle w:val="BodyText"/>
        <w:numPr>
          <w:ilvl w:val="0"/>
          <w:numId w:val="21"/>
        </w:numPr>
      </w:pPr>
      <w:r>
        <w:t>The information obtained from RRC configurations holds if it is not overridden by any other information.</w:t>
      </w:r>
    </w:p>
    <w:p w14:paraId="2FE9B276" w14:textId="77777777" w:rsidR="00781699" w:rsidRDefault="00781699" w:rsidP="00781699">
      <w:pPr>
        <w:pStyle w:val="BodyText"/>
      </w:pPr>
    </w:p>
    <w:p w14:paraId="52194F8F" w14:textId="0EAB3294" w:rsidR="00AE553B" w:rsidRDefault="00AE553B" w:rsidP="00AE553B">
      <w:pPr>
        <w:pStyle w:val="Heading1"/>
      </w:pPr>
      <w:r>
        <w:t>Conclusion</w:t>
      </w:r>
    </w:p>
    <w:p w14:paraId="0F884490" w14:textId="0B225CC1" w:rsidR="00A635A6" w:rsidRDefault="00A635A6" w:rsidP="00A635A6">
      <w:r w:rsidRPr="006850EB">
        <w:t>In this contribution</w:t>
      </w:r>
      <w:r w:rsidR="00777B1E" w:rsidRPr="006850EB">
        <w:t>,</w:t>
      </w:r>
      <w:r w:rsidRPr="006850EB">
        <w:t xml:space="preserve"> we discussed our view on the </w:t>
      </w:r>
      <w:r w:rsidR="00576CCC" w:rsidRPr="006850EB">
        <w:t xml:space="preserve">remaining issues </w:t>
      </w:r>
      <w:r w:rsidRPr="006850EB">
        <w:t>of the ‘group common PDCCH’. Based on the discu</w:t>
      </w:r>
      <w:r w:rsidR="0073321A" w:rsidRPr="006850EB">
        <w:t>ssion we proposed the following</w:t>
      </w:r>
      <w:r w:rsidRPr="006850EB">
        <w:t>:</w:t>
      </w:r>
    </w:p>
    <w:p w14:paraId="3E60193D" w14:textId="599858D4" w:rsidR="000C4B7F" w:rsidRDefault="005D14A0" w:rsidP="005B0B28">
      <w:pPr>
        <w:pStyle w:val="ListParagraph"/>
        <w:numPr>
          <w:ilvl w:val="0"/>
          <w:numId w:val="42"/>
        </w:numPr>
      </w:pPr>
      <w:r w:rsidRPr="005D14A0">
        <w:rPr>
          <w:szCs w:val="20"/>
        </w:rPr>
        <w:t>It is proposed that in Rel-15 up to 64 slot formats specified. Also for coexistence with LTE, at least some of the common configurations from LTE should be adopted</w:t>
      </w:r>
    </w:p>
    <w:p w14:paraId="6630387E" w14:textId="7E14C39C" w:rsidR="005D14A0" w:rsidRDefault="005D14A0" w:rsidP="005D14A0">
      <w:pPr>
        <w:pStyle w:val="BodyText"/>
        <w:numPr>
          <w:ilvl w:val="0"/>
          <w:numId w:val="42"/>
        </w:numPr>
      </w:pPr>
      <w:r>
        <w:t>Reserve a few bits in the payload of</w:t>
      </w:r>
      <w:r w:rsidRPr="001A6252">
        <w:t xml:space="preserve"> the group</w:t>
      </w:r>
      <w:r>
        <w:t>-</w:t>
      </w:r>
      <w:r w:rsidRPr="001A6252">
        <w:t xml:space="preserve">common PDCCH </w:t>
      </w:r>
      <w:r>
        <w:t>for future compatibility purpos</w:t>
      </w:r>
      <w:r>
        <w:t>es in the current release of NR</w:t>
      </w:r>
    </w:p>
    <w:p w14:paraId="4494B2E1" w14:textId="66FAC86C" w:rsidR="005D14A0" w:rsidRDefault="005D14A0" w:rsidP="005D14A0">
      <w:pPr>
        <w:pStyle w:val="ListParagraph"/>
        <w:numPr>
          <w:ilvl w:val="0"/>
          <w:numId w:val="42"/>
        </w:numPr>
        <w:rPr>
          <w:lang w:val="en-US"/>
        </w:rPr>
      </w:pPr>
      <w:r w:rsidRPr="005D14A0">
        <w:rPr>
          <w:lang w:val="en-US"/>
        </w:rPr>
        <w:t>The reserved bits do not require any action from the UE</w:t>
      </w:r>
    </w:p>
    <w:p w14:paraId="7DC2E916" w14:textId="7692249A" w:rsidR="005D14A0" w:rsidRDefault="005D14A0" w:rsidP="005D14A0">
      <w:pPr>
        <w:pStyle w:val="BodyText"/>
        <w:numPr>
          <w:ilvl w:val="0"/>
          <w:numId w:val="42"/>
        </w:numPr>
      </w:pPr>
      <w:r>
        <w:t>The information received from the UE-specific PDCCH has the highest priority. After that the information received in the common PDC</w:t>
      </w:r>
      <w:r>
        <w:t>CH has the highest priority</w:t>
      </w:r>
    </w:p>
    <w:p w14:paraId="3DE7B977" w14:textId="3CFB9D69" w:rsidR="005D14A0" w:rsidRPr="005D14A0" w:rsidRDefault="005D14A0" w:rsidP="005D14A0">
      <w:pPr>
        <w:pStyle w:val="ListParagraph"/>
        <w:numPr>
          <w:ilvl w:val="0"/>
          <w:numId w:val="42"/>
        </w:numPr>
        <w:rPr>
          <w:lang w:val="en-US"/>
        </w:rPr>
      </w:pPr>
      <w:r w:rsidRPr="005D14A0">
        <w:rPr>
          <w:lang w:val="en-US"/>
        </w:rPr>
        <w:t>The information obtained from RRC configurations holds if it is not over</w:t>
      </w:r>
      <w:r>
        <w:rPr>
          <w:lang w:val="en-US"/>
        </w:rPr>
        <w:t>ridden by any other information</w:t>
      </w:r>
    </w:p>
    <w:p w14:paraId="3CA25FCB" w14:textId="67E15E7F" w:rsidR="00F507D1" w:rsidRPr="004471B1" w:rsidRDefault="00F507D1" w:rsidP="0009033B">
      <w:pPr>
        <w:pStyle w:val="Heading1"/>
      </w:pPr>
      <w:bookmarkStart w:id="6" w:name="_In-sequence_SDU_delivery"/>
      <w:bookmarkEnd w:id="6"/>
      <w:r w:rsidRPr="004471B1">
        <w:t>References</w:t>
      </w:r>
    </w:p>
    <w:p w14:paraId="1BC5AC79" w14:textId="77777777" w:rsidR="002E0D6D" w:rsidRDefault="002E0D6D" w:rsidP="002E0D6D">
      <w:pPr>
        <w:pStyle w:val="Reference"/>
      </w:pPr>
      <w:bookmarkStart w:id="7" w:name="_Ref489906952"/>
      <w:bookmarkStart w:id="8" w:name="_Ref473637092"/>
      <w:bookmarkStart w:id="9" w:name="_Ref470613638"/>
      <w:bookmarkStart w:id="10" w:name="_Ref465931227"/>
      <w:bookmarkStart w:id="11" w:name="_Ref458515583"/>
      <w:bookmarkStart w:id="12" w:name="_Ref174151459"/>
      <w:bookmarkStart w:id="13" w:name="_Ref189809556"/>
      <w:bookmarkStart w:id="14" w:name="_Ref458165837"/>
      <w:r>
        <w:t>Chairman’s Notes, 3GPP TSG RAN WG1 NR Ad-Hoc Meeting #1</w:t>
      </w:r>
      <w:bookmarkEnd w:id="7"/>
    </w:p>
    <w:p w14:paraId="097671F5" w14:textId="77777777" w:rsidR="002E0D6D" w:rsidRDefault="002E0D6D" w:rsidP="002E0D6D">
      <w:pPr>
        <w:pStyle w:val="Reference"/>
      </w:pPr>
      <w:bookmarkStart w:id="15" w:name="_Ref484868330"/>
      <w:r w:rsidRPr="0072681E">
        <w:t>Chairman’s Notes, 3GPP TSG RAN WG1 Meeting #89</w:t>
      </w:r>
      <w:bookmarkEnd w:id="15"/>
    </w:p>
    <w:p w14:paraId="4F50FD99" w14:textId="68D843A1" w:rsidR="004C7B04" w:rsidRDefault="0059685C" w:rsidP="00A42A9B">
      <w:pPr>
        <w:pStyle w:val="Reference"/>
      </w:pPr>
      <w:bookmarkStart w:id="16" w:name="_Ref492963688"/>
      <w:r w:rsidRPr="004471B1">
        <w:t>C</w:t>
      </w:r>
      <w:r w:rsidR="004C5E10" w:rsidRPr="004471B1">
        <w:t>hairman</w:t>
      </w:r>
      <w:r w:rsidR="007F26F5" w:rsidRPr="004471B1">
        <w:t>’s</w:t>
      </w:r>
      <w:r w:rsidR="004C5E10" w:rsidRPr="004471B1">
        <w:t xml:space="preserve"> </w:t>
      </w:r>
      <w:r w:rsidR="007F26F5" w:rsidRPr="004471B1">
        <w:t>N</w:t>
      </w:r>
      <w:r w:rsidR="004C5E10" w:rsidRPr="004471B1">
        <w:t xml:space="preserve">otes, 3GPP TSG RAN WG1 </w:t>
      </w:r>
      <w:r w:rsidR="004C7B04" w:rsidRPr="004471B1">
        <w:t xml:space="preserve">NR Ad-Hoc </w:t>
      </w:r>
      <w:r w:rsidR="004C5E10" w:rsidRPr="004471B1">
        <w:t xml:space="preserve">Meeting </w:t>
      </w:r>
      <w:r w:rsidR="004C7B04" w:rsidRPr="004471B1">
        <w:t>#</w:t>
      </w:r>
      <w:r w:rsidR="00A42A9B" w:rsidRPr="004471B1">
        <w:t>2</w:t>
      </w:r>
      <w:bookmarkEnd w:id="8"/>
      <w:bookmarkEnd w:id="16"/>
    </w:p>
    <w:p w14:paraId="4BA7737F" w14:textId="672B5E6C" w:rsidR="00FB6FD2" w:rsidRPr="004471B1" w:rsidRDefault="00FB6FD2" w:rsidP="00FB6FD2">
      <w:pPr>
        <w:pStyle w:val="Reference"/>
      </w:pPr>
      <w:bookmarkStart w:id="17" w:name="_Ref494770539"/>
      <w:r w:rsidRPr="004471B1">
        <w:t>Chairman’s Notes, 3GPP TSG RAN WG1 NR Ad-Hoc Meeting #</w:t>
      </w:r>
      <w:r>
        <w:t>3</w:t>
      </w:r>
      <w:bookmarkEnd w:id="17"/>
    </w:p>
    <w:p w14:paraId="5430F3FB" w14:textId="5978962F" w:rsidR="00E50017" w:rsidRDefault="00E50017" w:rsidP="003B365D">
      <w:pPr>
        <w:pStyle w:val="Reference"/>
      </w:pPr>
      <w:bookmarkStart w:id="18" w:name="_Ref484943694"/>
      <w:r w:rsidRPr="004471B1">
        <w:t>R1-17</w:t>
      </w:r>
      <w:r w:rsidR="004471B1" w:rsidRPr="004471B1">
        <w:t>14415</w:t>
      </w:r>
      <w:r w:rsidRPr="004471B1">
        <w:tab/>
      </w:r>
      <w:r w:rsidR="00723C12">
        <w:tab/>
      </w:r>
      <w:r w:rsidRPr="004471B1">
        <w:t>On the Contents of Group-Common PDCCH, Ericsson</w:t>
      </w:r>
      <w:bookmarkEnd w:id="18"/>
    </w:p>
    <w:p w14:paraId="02266D2F" w14:textId="627B7690" w:rsidR="00B82772" w:rsidRPr="004471B1" w:rsidRDefault="00B82772" w:rsidP="00B82772">
      <w:pPr>
        <w:pStyle w:val="Reference"/>
      </w:pPr>
      <w:bookmarkStart w:id="19" w:name="_Ref498688656"/>
      <w:r w:rsidRPr="0072681E">
        <w:t>Chairman’s Not</w:t>
      </w:r>
      <w:r>
        <w:t>es, 3GPP TSG RAN WG1 Meeting #90bis</w:t>
      </w:r>
      <w:bookmarkEnd w:id="19"/>
    </w:p>
    <w:bookmarkEnd w:id="9"/>
    <w:bookmarkEnd w:id="10"/>
    <w:bookmarkEnd w:id="11"/>
    <w:bookmarkEnd w:id="12"/>
    <w:bookmarkEnd w:id="13"/>
    <w:bookmarkEnd w:id="14"/>
    <w:p w14:paraId="7BD1958E" w14:textId="7B8C751D" w:rsidR="002F43C5" w:rsidRPr="004471B1" w:rsidRDefault="002F43C5" w:rsidP="00576CCC">
      <w:pPr>
        <w:pStyle w:val="Reference"/>
        <w:numPr>
          <w:ilvl w:val="0"/>
          <w:numId w:val="0"/>
        </w:numPr>
        <w:ind w:left="567"/>
      </w:pPr>
    </w:p>
    <w:sectPr w:rsidR="002F43C5" w:rsidRPr="004471B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5C250" w14:textId="77777777" w:rsidR="009B386A" w:rsidRDefault="009B386A">
      <w:r>
        <w:separator/>
      </w:r>
    </w:p>
  </w:endnote>
  <w:endnote w:type="continuationSeparator" w:id="0">
    <w:p w14:paraId="0381B24A" w14:textId="77777777" w:rsidR="009B386A" w:rsidRDefault="009B386A">
      <w:r>
        <w:continuationSeparator/>
      </w:r>
    </w:p>
  </w:endnote>
  <w:endnote w:type="continuationNotice" w:id="1">
    <w:p w14:paraId="4A8978A1" w14:textId="77777777" w:rsidR="009B386A" w:rsidRDefault="009B3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61DFB" w14:textId="77777777" w:rsidR="00684A88" w:rsidRDefault="00684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83321C6" w:rsidR="00562566" w:rsidRPr="00684A88" w:rsidRDefault="00562566" w:rsidP="00684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5688" w14:textId="77777777" w:rsidR="00684A88" w:rsidRDefault="00684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D5305" w14:textId="77777777" w:rsidR="009B386A" w:rsidRDefault="009B386A">
      <w:r>
        <w:separator/>
      </w:r>
    </w:p>
  </w:footnote>
  <w:footnote w:type="continuationSeparator" w:id="0">
    <w:p w14:paraId="0258AF65" w14:textId="77777777" w:rsidR="009B386A" w:rsidRDefault="009B386A">
      <w:r>
        <w:continuationSeparator/>
      </w:r>
    </w:p>
  </w:footnote>
  <w:footnote w:type="continuationNotice" w:id="1">
    <w:p w14:paraId="775E0D14" w14:textId="77777777" w:rsidR="009B386A" w:rsidRDefault="009B3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CA3840B" w:rsidR="00562566" w:rsidRPr="00684A88" w:rsidRDefault="00562566" w:rsidP="00684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B44B6" w14:textId="77777777" w:rsidR="00684A88" w:rsidRDefault="00684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9ECD" w14:textId="77777777" w:rsidR="00684A88" w:rsidRDefault="00684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7CB"/>
    <w:multiLevelType w:val="hybridMultilevel"/>
    <w:tmpl w:val="5654326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811435"/>
    <w:multiLevelType w:val="hybridMultilevel"/>
    <w:tmpl w:val="DA580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714EF"/>
    <w:multiLevelType w:val="hybridMultilevel"/>
    <w:tmpl w:val="9586994E"/>
    <w:lvl w:ilvl="0" w:tplc="AD1A2B86">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145B0D"/>
    <w:multiLevelType w:val="hybridMultilevel"/>
    <w:tmpl w:val="AC62E1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444AE"/>
    <w:multiLevelType w:val="hybridMultilevel"/>
    <w:tmpl w:val="2C341244"/>
    <w:lvl w:ilvl="0" w:tplc="AD1A2B86">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B50BD"/>
    <w:multiLevelType w:val="hybridMultilevel"/>
    <w:tmpl w:val="2D100D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786296"/>
    <w:multiLevelType w:val="hybridMultilevel"/>
    <w:tmpl w:val="C77A2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B7264"/>
    <w:multiLevelType w:val="hybridMultilevel"/>
    <w:tmpl w:val="7482F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5E900362"/>
    <w:multiLevelType w:val="multilevel"/>
    <w:tmpl w:val="DDEE7B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E4389"/>
    <w:multiLevelType w:val="hybridMultilevel"/>
    <w:tmpl w:val="3384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961856"/>
    <w:multiLevelType w:val="multilevel"/>
    <w:tmpl w:val="8B92F4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0"/>
  </w:num>
  <w:num w:numId="4">
    <w:abstractNumId w:val="22"/>
  </w:num>
  <w:num w:numId="5">
    <w:abstractNumId w:val="16"/>
  </w:num>
  <w:num w:numId="6">
    <w:abstractNumId w:val="24"/>
  </w:num>
  <w:num w:numId="7">
    <w:abstractNumId w:val="31"/>
  </w:num>
  <w:num w:numId="8">
    <w:abstractNumId w:val="17"/>
  </w:num>
  <w:num w:numId="9">
    <w:abstractNumId w:val="29"/>
  </w:num>
  <w:num w:numId="10">
    <w:abstractNumId w:val="14"/>
  </w:num>
  <w:num w:numId="11">
    <w:abstractNumId w:val="11"/>
  </w:num>
  <w:num w:numId="12">
    <w:abstractNumId w:val="18"/>
  </w:num>
  <w:num w:numId="13">
    <w:abstractNumId w:val="4"/>
  </w:num>
  <w:num w:numId="14">
    <w:abstractNumId w:val="34"/>
  </w:num>
  <w:num w:numId="15">
    <w:abstractNumId w:val="7"/>
  </w:num>
  <w:num w:numId="16">
    <w:abstractNumId w:val="5"/>
  </w:num>
  <w:num w:numId="17">
    <w:abstractNumId w:val="8"/>
  </w:num>
  <w:num w:numId="18">
    <w:abstractNumId w:val="37"/>
  </w:num>
  <w:num w:numId="19">
    <w:abstractNumId w:val="0"/>
  </w:num>
  <w:num w:numId="20">
    <w:abstractNumId w:val="10"/>
  </w:num>
  <w:num w:numId="21">
    <w:abstractNumId w:val="35"/>
  </w:num>
  <w:num w:numId="22">
    <w:abstractNumId w:val="26"/>
  </w:num>
  <w:num w:numId="23">
    <w:abstractNumId w:val="23"/>
  </w:num>
  <w:num w:numId="24">
    <w:abstractNumId w:val="3"/>
  </w:num>
  <w:num w:numId="25">
    <w:abstractNumId w:val="21"/>
  </w:num>
  <w:num w:numId="26">
    <w:abstractNumId w:val="15"/>
  </w:num>
  <w:num w:numId="27">
    <w:abstractNumId w:val="28"/>
  </w:num>
  <w:num w:numId="28">
    <w:abstractNumId w:val="19"/>
  </w:num>
  <w:num w:numId="29">
    <w:abstractNumId w:val="13"/>
  </w:num>
  <w:num w:numId="30">
    <w:abstractNumId w:val="32"/>
  </w:num>
  <w:num w:numId="31">
    <w:abstractNumId w:val="9"/>
  </w:num>
  <w:num w:numId="32">
    <w:abstractNumId w:val="36"/>
  </w:num>
  <w:num w:numId="33">
    <w:abstractNumId w:val="30"/>
  </w:num>
  <w:num w:numId="34">
    <w:abstractNumId w:val="40"/>
  </w:num>
  <w:num w:numId="35">
    <w:abstractNumId w:val="38"/>
  </w:num>
  <w:num w:numId="36">
    <w:abstractNumId w:val="12"/>
  </w:num>
  <w:num w:numId="37">
    <w:abstractNumId w:val="13"/>
  </w:num>
  <w:num w:numId="38">
    <w:abstractNumId w:val="33"/>
  </w:num>
  <w:num w:numId="39">
    <w:abstractNumId w:val="39"/>
  </w:num>
  <w:num w:numId="40">
    <w:abstractNumId w:val="25"/>
  </w:num>
  <w:num w:numId="41">
    <w:abstractNumId w:val="6"/>
  </w:num>
  <w:num w:numId="42">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01A"/>
    <w:rsid w:val="00015154"/>
    <w:rsid w:val="00015D15"/>
    <w:rsid w:val="00015F6F"/>
    <w:rsid w:val="000211D9"/>
    <w:rsid w:val="0002564D"/>
    <w:rsid w:val="0002576F"/>
    <w:rsid w:val="00025ECA"/>
    <w:rsid w:val="000266D4"/>
    <w:rsid w:val="0003178D"/>
    <w:rsid w:val="000325B8"/>
    <w:rsid w:val="00032982"/>
    <w:rsid w:val="000340C8"/>
    <w:rsid w:val="00034C15"/>
    <w:rsid w:val="00036BA1"/>
    <w:rsid w:val="000370CC"/>
    <w:rsid w:val="00040B82"/>
    <w:rsid w:val="00040DF6"/>
    <w:rsid w:val="000422E2"/>
    <w:rsid w:val="00042F22"/>
    <w:rsid w:val="000444EF"/>
    <w:rsid w:val="00045529"/>
    <w:rsid w:val="0004591E"/>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8ED"/>
    <w:rsid w:val="00081AE6"/>
    <w:rsid w:val="000855EB"/>
    <w:rsid w:val="00085B52"/>
    <w:rsid w:val="000866F2"/>
    <w:rsid w:val="0008736E"/>
    <w:rsid w:val="000879C4"/>
    <w:rsid w:val="0009009F"/>
    <w:rsid w:val="0009012F"/>
    <w:rsid w:val="0009033B"/>
    <w:rsid w:val="00091557"/>
    <w:rsid w:val="000924C1"/>
    <w:rsid w:val="000924F0"/>
    <w:rsid w:val="00092B4B"/>
    <w:rsid w:val="00093474"/>
    <w:rsid w:val="0009457B"/>
    <w:rsid w:val="0009468E"/>
    <w:rsid w:val="0009510F"/>
    <w:rsid w:val="000A006F"/>
    <w:rsid w:val="000A1B7B"/>
    <w:rsid w:val="000A27B7"/>
    <w:rsid w:val="000A3EEC"/>
    <w:rsid w:val="000A56F2"/>
    <w:rsid w:val="000A6900"/>
    <w:rsid w:val="000A77B7"/>
    <w:rsid w:val="000B2719"/>
    <w:rsid w:val="000B3A8F"/>
    <w:rsid w:val="000B4AB9"/>
    <w:rsid w:val="000B58C3"/>
    <w:rsid w:val="000B61E9"/>
    <w:rsid w:val="000B66A8"/>
    <w:rsid w:val="000B7B33"/>
    <w:rsid w:val="000C05D4"/>
    <w:rsid w:val="000C165A"/>
    <w:rsid w:val="000C2E19"/>
    <w:rsid w:val="000C4B7F"/>
    <w:rsid w:val="000D0D07"/>
    <w:rsid w:val="000D45FD"/>
    <w:rsid w:val="000D4797"/>
    <w:rsid w:val="000E0527"/>
    <w:rsid w:val="000E17AD"/>
    <w:rsid w:val="000E1A1F"/>
    <w:rsid w:val="000E1E92"/>
    <w:rsid w:val="000E462D"/>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44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3A3F"/>
    <w:rsid w:val="001551B5"/>
    <w:rsid w:val="00156F68"/>
    <w:rsid w:val="0016360E"/>
    <w:rsid w:val="00164D4A"/>
    <w:rsid w:val="001659C1"/>
    <w:rsid w:val="00166E7F"/>
    <w:rsid w:val="00167763"/>
    <w:rsid w:val="00167AA3"/>
    <w:rsid w:val="00170546"/>
    <w:rsid w:val="00170C0D"/>
    <w:rsid w:val="00171B7D"/>
    <w:rsid w:val="001723CF"/>
    <w:rsid w:val="00173A8E"/>
    <w:rsid w:val="00174693"/>
    <w:rsid w:val="001748BD"/>
    <w:rsid w:val="00177795"/>
    <w:rsid w:val="0018129E"/>
    <w:rsid w:val="0018143F"/>
    <w:rsid w:val="00181E9F"/>
    <w:rsid w:val="001826FE"/>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9C3"/>
    <w:rsid w:val="001C1CE5"/>
    <w:rsid w:val="001C2C68"/>
    <w:rsid w:val="001C3D2A"/>
    <w:rsid w:val="001C7626"/>
    <w:rsid w:val="001D51BA"/>
    <w:rsid w:val="001D6342"/>
    <w:rsid w:val="001D6D53"/>
    <w:rsid w:val="001E1C24"/>
    <w:rsid w:val="001E58E2"/>
    <w:rsid w:val="001E6E7C"/>
    <w:rsid w:val="001E7AED"/>
    <w:rsid w:val="001F1728"/>
    <w:rsid w:val="001F2354"/>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475C4"/>
    <w:rsid w:val="002500C8"/>
    <w:rsid w:val="002512D7"/>
    <w:rsid w:val="00253903"/>
    <w:rsid w:val="00253A56"/>
    <w:rsid w:val="00254C0C"/>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7634E"/>
    <w:rsid w:val="00280173"/>
    <w:rsid w:val="002805F5"/>
    <w:rsid w:val="00280751"/>
    <w:rsid w:val="0028280A"/>
    <w:rsid w:val="00283372"/>
    <w:rsid w:val="00286ACD"/>
    <w:rsid w:val="00286C66"/>
    <w:rsid w:val="00287838"/>
    <w:rsid w:val="002901B1"/>
    <w:rsid w:val="002907B5"/>
    <w:rsid w:val="00290F51"/>
    <w:rsid w:val="00292EB7"/>
    <w:rsid w:val="002944FD"/>
    <w:rsid w:val="0029606A"/>
    <w:rsid w:val="002960E4"/>
    <w:rsid w:val="00296227"/>
    <w:rsid w:val="00296F44"/>
    <w:rsid w:val="0029709A"/>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29C"/>
    <w:rsid w:val="002D071A"/>
    <w:rsid w:val="002D1464"/>
    <w:rsid w:val="002D34B2"/>
    <w:rsid w:val="002D4A15"/>
    <w:rsid w:val="002D565F"/>
    <w:rsid w:val="002D5B57"/>
    <w:rsid w:val="002D7225"/>
    <w:rsid w:val="002D7637"/>
    <w:rsid w:val="002E01DD"/>
    <w:rsid w:val="002E0CF4"/>
    <w:rsid w:val="002E0D6D"/>
    <w:rsid w:val="002E17F2"/>
    <w:rsid w:val="002E3672"/>
    <w:rsid w:val="002E6D28"/>
    <w:rsid w:val="002E6DDB"/>
    <w:rsid w:val="002E7CAE"/>
    <w:rsid w:val="002F05A6"/>
    <w:rsid w:val="002F2771"/>
    <w:rsid w:val="002F37A9"/>
    <w:rsid w:val="002F43C5"/>
    <w:rsid w:val="002F5BBD"/>
    <w:rsid w:val="00300635"/>
    <w:rsid w:val="00301CE6"/>
    <w:rsid w:val="0030256B"/>
    <w:rsid w:val="00302CA2"/>
    <w:rsid w:val="003042A8"/>
    <w:rsid w:val="0030501F"/>
    <w:rsid w:val="0030638C"/>
    <w:rsid w:val="00307BA1"/>
    <w:rsid w:val="00310A30"/>
    <w:rsid w:val="003110D0"/>
    <w:rsid w:val="00311702"/>
    <w:rsid w:val="00311CC7"/>
    <w:rsid w:val="00311E82"/>
    <w:rsid w:val="00313359"/>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3F10"/>
    <w:rsid w:val="00357024"/>
    <w:rsid w:val="00357380"/>
    <w:rsid w:val="003602D9"/>
    <w:rsid w:val="003604CE"/>
    <w:rsid w:val="003639EA"/>
    <w:rsid w:val="00365F79"/>
    <w:rsid w:val="00367094"/>
    <w:rsid w:val="00370E47"/>
    <w:rsid w:val="00373E1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691A"/>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186"/>
    <w:rsid w:val="00410B72"/>
    <w:rsid w:val="00410F18"/>
    <w:rsid w:val="0041263E"/>
    <w:rsid w:val="00413AAC"/>
    <w:rsid w:val="00417081"/>
    <w:rsid w:val="00421105"/>
    <w:rsid w:val="004242F4"/>
    <w:rsid w:val="00427248"/>
    <w:rsid w:val="004314DE"/>
    <w:rsid w:val="00437447"/>
    <w:rsid w:val="00441A92"/>
    <w:rsid w:val="00444DE6"/>
    <w:rsid w:val="00444F56"/>
    <w:rsid w:val="00446488"/>
    <w:rsid w:val="00446AFF"/>
    <w:rsid w:val="004471B1"/>
    <w:rsid w:val="00447DDB"/>
    <w:rsid w:val="004517AA"/>
    <w:rsid w:val="00452B53"/>
    <w:rsid w:val="00452CAC"/>
    <w:rsid w:val="00453CFC"/>
    <w:rsid w:val="00457565"/>
    <w:rsid w:val="00457B71"/>
    <w:rsid w:val="00464C4C"/>
    <w:rsid w:val="004669E2"/>
    <w:rsid w:val="00470C31"/>
    <w:rsid w:val="0047205C"/>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0509"/>
    <w:rsid w:val="004B0EE9"/>
    <w:rsid w:val="004B2CAA"/>
    <w:rsid w:val="004B3EA6"/>
    <w:rsid w:val="004B6991"/>
    <w:rsid w:val="004B774B"/>
    <w:rsid w:val="004B7C0C"/>
    <w:rsid w:val="004C3898"/>
    <w:rsid w:val="004C4D69"/>
    <w:rsid w:val="004C5E10"/>
    <w:rsid w:val="004C6818"/>
    <w:rsid w:val="004C691A"/>
    <w:rsid w:val="004C6FA5"/>
    <w:rsid w:val="004C7B04"/>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56C"/>
    <w:rsid w:val="004F4DA3"/>
    <w:rsid w:val="00500B4A"/>
    <w:rsid w:val="00503653"/>
    <w:rsid w:val="0050591F"/>
    <w:rsid w:val="00506557"/>
    <w:rsid w:val="0050677A"/>
    <w:rsid w:val="005108D8"/>
    <w:rsid w:val="005116F9"/>
    <w:rsid w:val="005153A7"/>
    <w:rsid w:val="005219CF"/>
    <w:rsid w:val="00523C2C"/>
    <w:rsid w:val="005261FA"/>
    <w:rsid w:val="00526976"/>
    <w:rsid w:val="005301C5"/>
    <w:rsid w:val="00531F95"/>
    <w:rsid w:val="00533841"/>
    <w:rsid w:val="00534B59"/>
    <w:rsid w:val="00536759"/>
    <w:rsid w:val="00537C62"/>
    <w:rsid w:val="00543986"/>
    <w:rsid w:val="00544D5B"/>
    <w:rsid w:val="00545E72"/>
    <w:rsid w:val="00545FC4"/>
    <w:rsid w:val="00546970"/>
    <w:rsid w:val="00546C74"/>
    <w:rsid w:val="00546EF0"/>
    <w:rsid w:val="00552685"/>
    <w:rsid w:val="00554E19"/>
    <w:rsid w:val="00554E73"/>
    <w:rsid w:val="00555435"/>
    <w:rsid w:val="00557D7C"/>
    <w:rsid w:val="0056121F"/>
    <w:rsid w:val="00561B10"/>
    <w:rsid w:val="00562566"/>
    <w:rsid w:val="00566E2B"/>
    <w:rsid w:val="0057036A"/>
    <w:rsid w:val="00572505"/>
    <w:rsid w:val="00576CCC"/>
    <w:rsid w:val="00582809"/>
    <w:rsid w:val="00585F85"/>
    <w:rsid w:val="0058798C"/>
    <w:rsid w:val="005900FA"/>
    <w:rsid w:val="00590EC2"/>
    <w:rsid w:val="005935A4"/>
    <w:rsid w:val="005948C2"/>
    <w:rsid w:val="00595DCA"/>
    <w:rsid w:val="00595EC8"/>
    <w:rsid w:val="0059685C"/>
    <w:rsid w:val="0059779B"/>
    <w:rsid w:val="005A0A5B"/>
    <w:rsid w:val="005A176A"/>
    <w:rsid w:val="005A1DFC"/>
    <w:rsid w:val="005A209A"/>
    <w:rsid w:val="005A2E25"/>
    <w:rsid w:val="005A481D"/>
    <w:rsid w:val="005A61E5"/>
    <w:rsid w:val="005A662D"/>
    <w:rsid w:val="005B35D7"/>
    <w:rsid w:val="005B392A"/>
    <w:rsid w:val="005B3AA3"/>
    <w:rsid w:val="005B3F59"/>
    <w:rsid w:val="005B6F83"/>
    <w:rsid w:val="005C0B51"/>
    <w:rsid w:val="005C0C58"/>
    <w:rsid w:val="005C2997"/>
    <w:rsid w:val="005C74FB"/>
    <w:rsid w:val="005D14A0"/>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A0B"/>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063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04BF"/>
    <w:rsid w:val="00681003"/>
    <w:rsid w:val="006817C9"/>
    <w:rsid w:val="00683ECE"/>
    <w:rsid w:val="00684A88"/>
    <w:rsid w:val="006850EB"/>
    <w:rsid w:val="00685147"/>
    <w:rsid w:val="006876D5"/>
    <w:rsid w:val="006902E1"/>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A7F"/>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3C12"/>
    <w:rsid w:val="00726EA6"/>
    <w:rsid w:val="00727208"/>
    <w:rsid w:val="00727680"/>
    <w:rsid w:val="00730A5D"/>
    <w:rsid w:val="0073321A"/>
    <w:rsid w:val="007348B1"/>
    <w:rsid w:val="007362A6"/>
    <w:rsid w:val="007368AF"/>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4783"/>
    <w:rsid w:val="00765281"/>
    <w:rsid w:val="00766BAD"/>
    <w:rsid w:val="00766DB1"/>
    <w:rsid w:val="007705B8"/>
    <w:rsid w:val="007730BD"/>
    <w:rsid w:val="007755F2"/>
    <w:rsid w:val="0077585D"/>
    <w:rsid w:val="00776971"/>
    <w:rsid w:val="00776B8E"/>
    <w:rsid w:val="00777130"/>
    <w:rsid w:val="00777B1E"/>
    <w:rsid w:val="00781699"/>
    <w:rsid w:val="0078177E"/>
    <w:rsid w:val="0078304C"/>
    <w:rsid w:val="00783673"/>
    <w:rsid w:val="00785490"/>
    <w:rsid w:val="0079075E"/>
    <w:rsid w:val="00791306"/>
    <w:rsid w:val="007925EA"/>
    <w:rsid w:val="00793CD8"/>
    <w:rsid w:val="007948A5"/>
    <w:rsid w:val="007958FA"/>
    <w:rsid w:val="00795C92"/>
    <w:rsid w:val="00796231"/>
    <w:rsid w:val="00797D7F"/>
    <w:rsid w:val="007A1CB3"/>
    <w:rsid w:val="007A306F"/>
    <w:rsid w:val="007A3B57"/>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3B2F"/>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4AC1"/>
    <w:rsid w:val="00875CD7"/>
    <w:rsid w:val="00876A4D"/>
    <w:rsid w:val="00876B4D"/>
    <w:rsid w:val="00877F18"/>
    <w:rsid w:val="008812F1"/>
    <w:rsid w:val="00883405"/>
    <w:rsid w:val="008903FE"/>
    <w:rsid w:val="00891193"/>
    <w:rsid w:val="00894A88"/>
    <w:rsid w:val="00895386"/>
    <w:rsid w:val="00895561"/>
    <w:rsid w:val="00895AD9"/>
    <w:rsid w:val="008967DC"/>
    <w:rsid w:val="008A21FF"/>
    <w:rsid w:val="008A2CE2"/>
    <w:rsid w:val="008A2FFC"/>
    <w:rsid w:val="008A30AC"/>
    <w:rsid w:val="008A44B8"/>
    <w:rsid w:val="008A51A8"/>
    <w:rsid w:val="008A54C7"/>
    <w:rsid w:val="008A76DA"/>
    <w:rsid w:val="008A77D8"/>
    <w:rsid w:val="008A7A95"/>
    <w:rsid w:val="008B0483"/>
    <w:rsid w:val="008B120C"/>
    <w:rsid w:val="008B3562"/>
    <w:rsid w:val="008B51A0"/>
    <w:rsid w:val="008B592A"/>
    <w:rsid w:val="008B73A9"/>
    <w:rsid w:val="008B7B5C"/>
    <w:rsid w:val="008B7DF5"/>
    <w:rsid w:val="008C0C99"/>
    <w:rsid w:val="008C2017"/>
    <w:rsid w:val="008C48E6"/>
    <w:rsid w:val="008C4958"/>
    <w:rsid w:val="008C4BAA"/>
    <w:rsid w:val="008C5A7F"/>
    <w:rsid w:val="008C6AE8"/>
    <w:rsid w:val="008C7573"/>
    <w:rsid w:val="008D018B"/>
    <w:rsid w:val="008D04DE"/>
    <w:rsid w:val="008D1A14"/>
    <w:rsid w:val="008D34F1"/>
    <w:rsid w:val="008D39D8"/>
    <w:rsid w:val="008D6D1A"/>
    <w:rsid w:val="008E0156"/>
    <w:rsid w:val="008E065E"/>
    <w:rsid w:val="008E0927"/>
    <w:rsid w:val="008E1909"/>
    <w:rsid w:val="008E2568"/>
    <w:rsid w:val="008E5110"/>
    <w:rsid w:val="008F1EAB"/>
    <w:rsid w:val="008F33DC"/>
    <w:rsid w:val="008F477F"/>
    <w:rsid w:val="008F7E54"/>
    <w:rsid w:val="00900C1C"/>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2EB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86A"/>
    <w:rsid w:val="009B3AC2"/>
    <w:rsid w:val="009B4DF4"/>
    <w:rsid w:val="009B4FF0"/>
    <w:rsid w:val="009B564E"/>
    <w:rsid w:val="009B7E87"/>
    <w:rsid w:val="009C029B"/>
    <w:rsid w:val="009C11C1"/>
    <w:rsid w:val="009C2D17"/>
    <w:rsid w:val="009C403E"/>
    <w:rsid w:val="009C5872"/>
    <w:rsid w:val="009C5D6A"/>
    <w:rsid w:val="009D475A"/>
    <w:rsid w:val="009D4FF0"/>
    <w:rsid w:val="009D60A6"/>
    <w:rsid w:val="009D6F94"/>
    <w:rsid w:val="009D703C"/>
    <w:rsid w:val="009D718F"/>
    <w:rsid w:val="009E068F"/>
    <w:rsid w:val="009E14E0"/>
    <w:rsid w:val="009E35DB"/>
    <w:rsid w:val="009E47A3"/>
    <w:rsid w:val="009E58DD"/>
    <w:rsid w:val="009E6849"/>
    <w:rsid w:val="009F08F3"/>
    <w:rsid w:val="009F18A9"/>
    <w:rsid w:val="009F344F"/>
    <w:rsid w:val="00A00394"/>
    <w:rsid w:val="00A02E75"/>
    <w:rsid w:val="00A0362C"/>
    <w:rsid w:val="00A048A8"/>
    <w:rsid w:val="00A04F49"/>
    <w:rsid w:val="00A13E54"/>
    <w:rsid w:val="00A17F63"/>
    <w:rsid w:val="00A207DD"/>
    <w:rsid w:val="00A20F0B"/>
    <w:rsid w:val="00A2193B"/>
    <w:rsid w:val="00A220BC"/>
    <w:rsid w:val="00A2351A"/>
    <w:rsid w:val="00A2445A"/>
    <w:rsid w:val="00A264A9"/>
    <w:rsid w:val="00A275C6"/>
    <w:rsid w:val="00A27785"/>
    <w:rsid w:val="00A30187"/>
    <w:rsid w:val="00A305E7"/>
    <w:rsid w:val="00A3448A"/>
    <w:rsid w:val="00A35D15"/>
    <w:rsid w:val="00A36297"/>
    <w:rsid w:val="00A40019"/>
    <w:rsid w:val="00A41B97"/>
    <w:rsid w:val="00A41E2B"/>
    <w:rsid w:val="00A42A9B"/>
    <w:rsid w:val="00A45B74"/>
    <w:rsid w:val="00A52E1D"/>
    <w:rsid w:val="00A54210"/>
    <w:rsid w:val="00A54B08"/>
    <w:rsid w:val="00A55FCB"/>
    <w:rsid w:val="00A570F2"/>
    <w:rsid w:val="00A5758B"/>
    <w:rsid w:val="00A57B21"/>
    <w:rsid w:val="00A61499"/>
    <w:rsid w:val="00A62A77"/>
    <w:rsid w:val="00A63483"/>
    <w:rsid w:val="00A635A6"/>
    <w:rsid w:val="00A653DB"/>
    <w:rsid w:val="00A65525"/>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AC3"/>
    <w:rsid w:val="00AA1ED6"/>
    <w:rsid w:val="00AA3BFA"/>
    <w:rsid w:val="00AA4801"/>
    <w:rsid w:val="00AA4AE0"/>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D7CB8"/>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A1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8F8"/>
    <w:rsid w:val="00B57F52"/>
    <w:rsid w:val="00B60EF1"/>
    <w:rsid w:val="00B6188F"/>
    <w:rsid w:val="00B63302"/>
    <w:rsid w:val="00B646F3"/>
    <w:rsid w:val="00B64E41"/>
    <w:rsid w:val="00B664C7"/>
    <w:rsid w:val="00B66C7D"/>
    <w:rsid w:val="00B66D9B"/>
    <w:rsid w:val="00B739F6"/>
    <w:rsid w:val="00B81A6C"/>
    <w:rsid w:val="00B81BE4"/>
    <w:rsid w:val="00B8228C"/>
    <w:rsid w:val="00B82772"/>
    <w:rsid w:val="00B842A0"/>
    <w:rsid w:val="00B8558E"/>
    <w:rsid w:val="00B85DE5"/>
    <w:rsid w:val="00B90F73"/>
    <w:rsid w:val="00B9371D"/>
    <w:rsid w:val="00B93B59"/>
    <w:rsid w:val="00B9406A"/>
    <w:rsid w:val="00BA2280"/>
    <w:rsid w:val="00BA2A08"/>
    <w:rsid w:val="00BA3606"/>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C6EA9"/>
    <w:rsid w:val="00BD436A"/>
    <w:rsid w:val="00BD48AC"/>
    <w:rsid w:val="00BD5C65"/>
    <w:rsid w:val="00BD5F1A"/>
    <w:rsid w:val="00BD762E"/>
    <w:rsid w:val="00BE1234"/>
    <w:rsid w:val="00BE17CD"/>
    <w:rsid w:val="00BE2FA6"/>
    <w:rsid w:val="00BE333F"/>
    <w:rsid w:val="00BE3726"/>
    <w:rsid w:val="00BE4DB8"/>
    <w:rsid w:val="00BE7406"/>
    <w:rsid w:val="00BE7603"/>
    <w:rsid w:val="00BF3279"/>
    <w:rsid w:val="00BF74C7"/>
    <w:rsid w:val="00C015F1"/>
    <w:rsid w:val="00C01F33"/>
    <w:rsid w:val="00C02CC6"/>
    <w:rsid w:val="00C040F7"/>
    <w:rsid w:val="00C041B0"/>
    <w:rsid w:val="00C044AB"/>
    <w:rsid w:val="00C05248"/>
    <w:rsid w:val="00C05706"/>
    <w:rsid w:val="00C06F67"/>
    <w:rsid w:val="00C07377"/>
    <w:rsid w:val="00C07E87"/>
    <w:rsid w:val="00C10478"/>
    <w:rsid w:val="00C1093B"/>
    <w:rsid w:val="00C12107"/>
    <w:rsid w:val="00C1414B"/>
    <w:rsid w:val="00C14D4B"/>
    <w:rsid w:val="00C154BB"/>
    <w:rsid w:val="00C20166"/>
    <w:rsid w:val="00C21C56"/>
    <w:rsid w:val="00C25F2F"/>
    <w:rsid w:val="00C27624"/>
    <w:rsid w:val="00C279B5"/>
    <w:rsid w:val="00C27C45"/>
    <w:rsid w:val="00C348C6"/>
    <w:rsid w:val="00C3719D"/>
    <w:rsid w:val="00C43FE1"/>
    <w:rsid w:val="00C45F3F"/>
    <w:rsid w:val="00C45FF0"/>
    <w:rsid w:val="00C47B3C"/>
    <w:rsid w:val="00C5028B"/>
    <w:rsid w:val="00C54995"/>
    <w:rsid w:val="00C54D41"/>
    <w:rsid w:val="00C57688"/>
    <w:rsid w:val="00C57B03"/>
    <w:rsid w:val="00C60783"/>
    <w:rsid w:val="00C64672"/>
    <w:rsid w:val="00C6600C"/>
    <w:rsid w:val="00C66FD4"/>
    <w:rsid w:val="00C704D9"/>
    <w:rsid w:val="00C70697"/>
    <w:rsid w:val="00C72EF4"/>
    <w:rsid w:val="00C75D2F"/>
    <w:rsid w:val="00C767BE"/>
    <w:rsid w:val="00C76E3C"/>
    <w:rsid w:val="00C77721"/>
    <w:rsid w:val="00C7775C"/>
    <w:rsid w:val="00C80444"/>
    <w:rsid w:val="00C80973"/>
    <w:rsid w:val="00C81568"/>
    <w:rsid w:val="00C81C3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0EA0"/>
    <w:rsid w:val="00CD1188"/>
    <w:rsid w:val="00CD2ED1"/>
    <w:rsid w:val="00CD337B"/>
    <w:rsid w:val="00CD4E03"/>
    <w:rsid w:val="00CD582F"/>
    <w:rsid w:val="00CD60E3"/>
    <w:rsid w:val="00CD676E"/>
    <w:rsid w:val="00CD7A35"/>
    <w:rsid w:val="00CE0424"/>
    <w:rsid w:val="00CE1295"/>
    <w:rsid w:val="00CE227E"/>
    <w:rsid w:val="00CE2C58"/>
    <w:rsid w:val="00CE36CF"/>
    <w:rsid w:val="00CE6967"/>
    <w:rsid w:val="00CE7561"/>
    <w:rsid w:val="00CF010C"/>
    <w:rsid w:val="00CF1354"/>
    <w:rsid w:val="00CF1735"/>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25AC5"/>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561"/>
    <w:rsid w:val="00D71D2F"/>
    <w:rsid w:val="00D73712"/>
    <w:rsid w:val="00D7684B"/>
    <w:rsid w:val="00D76A8B"/>
    <w:rsid w:val="00D77B1D"/>
    <w:rsid w:val="00D8021F"/>
    <w:rsid w:val="00D80383"/>
    <w:rsid w:val="00D823C6"/>
    <w:rsid w:val="00D86CA3"/>
    <w:rsid w:val="00D871CE"/>
    <w:rsid w:val="00D9196D"/>
    <w:rsid w:val="00D92982"/>
    <w:rsid w:val="00D9416B"/>
    <w:rsid w:val="00DA305E"/>
    <w:rsid w:val="00DA5417"/>
    <w:rsid w:val="00DA55EB"/>
    <w:rsid w:val="00DA56E8"/>
    <w:rsid w:val="00DB0A9F"/>
    <w:rsid w:val="00DB2E53"/>
    <w:rsid w:val="00DB377D"/>
    <w:rsid w:val="00DB6E61"/>
    <w:rsid w:val="00DC015E"/>
    <w:rsid w:val="00DC260E"/>
    <w:rsid w:val="00DC2D36"/>
    <w:rsid w:val="00DC2D80"/>
    <w:rsid w:val="00DC3716"/>
    <w:rsid w:val="00DC53EF"/>
    <w:rsid w:val="00DD41B5"/>
    <w:rsid w:val="00DD5680"/>
    <w:rsid w:val="00DD6CB5"/>
    <w:rsid w:val="00DE306E"/>
    <w:rsid w:val="00DE5608"/>
    <w:rsid w:val="00DE56D3"/>
    <w:rsid w:val="00DE58D0"/>
    <w:rsid w:val="00DE654F"/>
    <w:rsid w:val="00DF0B6E"/>
    <w:rsid w:val="00DF15E0"/>
    <w:rsid w:val="00DF2666"/>
    <w:rsid w:val="00DF31B7"/>
    <w:rsid w:val="00DF37A0"/>
    <w:rsid w:val="00DF4917"/>
    <w:rsid w:val="00E0177D"/>
    <w:rsid w:val="00E110E7"/>
    <w:rsid w:val="00E11B20"/>
    <w:rsid w:val="00E17BAF"/>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167"/>
    <w:rsid w:val="00E446F1"/>
    <w:rsid w:val="00E45919"/>
    <w:rsid w:val="00E46886"/>
    <w:rsid w:val="00E47AEF"/>
    <w:rsid w:val="00E47FC5"/>
    <w:rsid w:val="00E50017"/>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2DDD"/>
    <w:rsid w:val="00E83AA9"/>
    <w:rsid w:val="00E85928"/>
    <w:rsid w:val="00E8609F"/>
    <w:rsid w:val="00E87822"/>
    <w:rsid w:val="00E90395"/>
    <w:rsid w:val="00E90E49"/>
    <w:rsid w:val="00E917F9"/>
    <w:rsid w:val="00E9291C"/>
    <w:rsid w:val="00E93FFE"/>
    <w:rsid w:val="00E94F8A"/>
    <w:rsid w:val="00E979C8"/>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026D"/>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07B"/>
    <w:rsid w:val="00EF7623"/>
    <w:rsid w:val="00F02322"/>
    <w:rsid w:val="00F02DB2"/>
    <w:rsid w:val="00F02EAC"/>
    <w:rsid w:val="00F0320F"/>
    <w:rsid w:val="00F03D6C"/>
    <w:rsid w:val="00F0528D"/>
    <w:rsid w:val="00F06C67"/>
    <w:rsid w:val="00F06DFD"/>
    <w:rsid w:val="00F071D1"/>
    <w:rsid w:val="00F07533"/>
    <w:rsid w:val="00F078E5"/>
    <w:rsid w:val="00F07A32"/>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A7A"/>
    <w:rsid w:val="00F72B72"/>
    <w:rsid w:val="00F74BB9"/>
    <w:rsid w:val="00F75582"/>
    <w:rsid w:val="00F76CA5"/>
    <w:rsid w:val="00F76EFA"/>
    <w:rsid w:val="00F7725E"/>
    <w:rsid w:val="00F804BE"/>
    <w:rsid w:val="00F814C2"/>
    <w:rsid w:val="00F817CE"/>
    <w:rsid w:val="00F84440"/>
    <w:rsid w:val="00F8456C"/>
    <w:rsid w:val="00F859D8"/>
    <w:rsid w:val="00F868F5"/>
    <w:rsid w:val="00F86F6B"/>
    <w:rsid w:val="00F87E89"/>
    <w:rsid w:val="00F9056A"/>
    <w:rsid w:val="00F90F8D"/>
    <w:rsid w:val="00F92782"/>
    <w:rsid w:val="00F93AA9"/>
    <w:rsid w:val="00F96985"/>
    <w:rsid w:val="00F97838"/>
    <w:rsid w:val="00FA2BB3"/>
    <w:rsid w:val="00FA46B8"/>
    <w:rsid w:val="00FA5448"/>
    <w:rsid w:val="00FA6F0B"/>
    <w:rsid w:val="00FB0938"/>
    <w:rsid w:val="00FB387D"/>
    <w:rsid w:val="00FB40B5"/>
    <w:rsid w:val="00FB4C80"/>
    <w:rsid w:val="00FB6A6A"/>
    <w:rsid w:val="00FB6FD2"/>
    <w:rsid w:val="00FB705D"/>
    <w:rsid w:val="00FC05A1"/>
    <w:rsid w:val="00FC7429"/>
    <w:rsid w:val="00FD0620"/>
    <w:rsid w:val="00FD07F6"/>
    <w:rsid w:val="00FD1EC8"/>
    <w:rsid w:val="00FD1F20"/>
    <w:rsid w:val="00FD47ED"/>
    <w:rsid w:val="00FD5DD1"/>
    <w:rsid w:val="00FD74DB"/>
    <w:rsid w:val="00FD7660"/>
    <w:rsid w:val="00FE0655"/>
    <w:rsid w:val="00FE2365"/>
    <w:rsid w:val="00FE2FBD"/>
    <w:rsid w:val="00FE4C7B"/>
    <w:rsid w:val="00FE6989"/>
    <w:rsid w:val="00FE7336"/>
    <w:rsid w:val="00FE787C"/>
    <w:rsid w:val="00FF1171"/>
    <w:rsid w:val="00FF12BE"/>
    <w:rsid w:val="00FF45A5"/>
    <w:rsid w:val="00FF5502"/>
    <w:rsid w:val="00FF5C91"/>
    <w:rsid w:val="00FF7E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66C7D"/>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66C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6C7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uiPriority w:val="99"/>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aliases w:val="- Bullets Char,목록 단락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paragraph" w:customStyle="1" w:styleId="bullet">
    <w:name w:val="bullet"/>
    <w:basedOn w:val="ListParagraph"/>
    <w:link w:val="bulletChar"/>
    <w:qFormat/>
    <w:rsid w:val="00C05248"/>
    <w:pPr>
      <w:numPr>
        <w:numId w:val="29"/>
      </w:numPr>
      <w:spacing w:line="240" w:lineRule="auto"/>
      <w:contextualSpacing/>
    </w:pPr>
    <w:rPr>
      <w:rFonts w:ascii="Times New Roman" w:eastAsia="Times New Roman" w:hAnsi="Times New Roman" w:cs="Times New Roman"/>
      <w:sz w:val="20"/>
      <w:szCs w:val="24"/>
      <w:lang w:val="en-US" w:eastAsia="en-US"/>
    </w:rPr>
  </w:style>
  <w:style w:type="character" w:customStyle="1" w:styleId="bulletChar">
    <w:name w:val="bullet Char"/>
    <w:link w:val="bullet"/>
    <w:rsid w:val="00C05248"/>
    <w:rPr>
      <w:rFonts w:ascii="Times New Roman" w:hAnsi="Times New Roman"/>
      <w:szCs w:val="24"/>
    </w:rPr>
  </w:style>
  <w:style w:type="table" w:styleId="TableGrid">
    <w:name w:val="Table Grid"/>
    <w:basedOn w:val="TableNormal"/>
    <w:rsid w:val="00B20A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71B7D"/>
    <w:rPr>
      <w:rFonts w:asciiTheme="minorHAnsi" w:eastAsiaTheme="minorHAnsi" w:hAnsiTheme="minorHAnsi" w:cstheme="minorBidi"/>
      <w:b/>
      <w:sz w:val="22"/>
      <w:szCs w:val="22"/>
    </w:rPr>
  </w:style>
  <w:style w:type="character" w:customStyle="1" w:styleId="TACChar">
    <w:name w:val="TAC Char"/>
    <w:link w:val="TAC"/>
    <w:locked/>
    <w:rsid w:val="00171B7D"/>
    <w:rPr>
      <w:rFonts w:asciiTheme="minorHAnsi" w:eastAsiaTheme="minorHAnsi" w:hAnsiTheme="minorHAnsi" w:cstheme="minorBidi"/>
      <w:sz w:val="18"/>
      <w:szCs w:val="22"/>
    </w:rPr>
  </w:style>
  <w:style w:type="character" w:customStyle="1" w:styleId="TAHCar">
    <w:name w:val="TAH Car"/>
    <w:link w:val="TAH"/>
    <w:rsid w:val="00171B7D"/>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75671737">
      <w:bodyDiv w:val="1"/>
      <w:marLeft w:val="0"/>
      <w:marRight w:val="0"/>
      <w:marTop w:val="0"/>
      <w:marBottom w:val="0"/>
      <w:divBdr>
        <w:top w:val="none" w:sz="0" w:space="0" w:color="auto"/>
        <w:left w:val="none" w:sz="0" w:space="0" w:color="auto"/>
        <w:bottom w:val="none" w:sz="0" w:space="0" w:color="auto"/>
        <w:right w:val="none" w:sz="0" w:space="0" w:color="auto"/>
      </w:divBdr>
    </w:div>
    <w:div w:id="760643259">
      <w:bodyDiv w:val="1"/>
      <w:marLeft w:val="0"/>
      <w:marRight w:val="0"/>
      <w:marTop w:val="0"/>
      <w:marBottom w:val="0"/>
      <w:divBdr>
        <w:top w:val="none" w:sz="0" w:space="0" w:color="auto"/>
        <w:left w:val="none" w:sz="0" w:space="0" w:color="auto"/>
        <w:bottom w:val="none" w:sz="0" w:space="0" w:color="auto"/>
        <w:right w:val="none" w:sz="0" w:space="0" w:color="auto"/>
      </w:divBdr>
    </w:div>
    <w:div w:id="913511518">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97378610">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5015A-8A4D-4761-919F-9C3FB5C1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2017-11-14T08:29:00Z</dcterms:created>
  <dcterms:modified xsi:type="dcterms:W3CDTF">2017-11-17T21:50:00Z</dcterms:modified>
</cp:coreProperties>
</file>