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470" w:rsidRPr="002C5CDC" w:rsidRDefault="00394470" w:rsidP="00394470">
      <w:pPr>
        <w:tabs>
          <w:tab w:val="center" w:pos="4536"/>
          <w:tab w:val="left" w:pos="6804"/>
          <w:tab w:val="right" w:pos="8280"/>
          <w:tab w:val="right" w:pos="9639"/>
        </w:tabs>
        <w:ind w:right="2"/>
        <w:rPr>
          <w:rFonts w:ascii="Arial" w:hAnsi="Arial" w:cs="Arial"/>
          <w:b/>
          <w:bCs/>
          <w:sz w:val="24"/>
        </w:rPr>
      </w:pPr>
      <w:bookmarkStart w:id="0" w:name="OLE_LINK87"/>
      <w:bookmarkStart w:id="1" w:name="OLE_LINK88"/>
      <w:bookmarkStart w:id="2" w:name="OLE_LINK3"/>
      <w:r w:rsidRPr="002C5CDC">
        <w:rPr>
          <w:rFonts w:ascii="Arial" w:hAnsi="Arial" w:cs="Arial"/>
          <w:b/>
          <w:bCs/>
          <w:sz w:val="24"/>
        </w:rPr>
        <w:t>3GPP TSG RAN WG1 Meeting #91</w:t>
      </w:r>
      <w:r w:rsidRPr="002C5CDC">
        <w:rPr>
          <w:rFonts w:ascii="Arial" w:eastAsia="MS Mincho" w:hAnsi="Arial" w:cs="Arial"/>
          <w:b/>
          <w:bCs/>
          <w:sz w:val="24"/>
          <w:lang w:eastAsia="ja-JP"/>
        </w:rPr>
        <w:tab/>
      </w:r>
      <w:r w:rsidRPr="002C5CDC">
        <w:rPr>
          <w:rFonts w:ascii="Arial" w:hAnsi="Arial" w:cs="Arial"/>
          <w:b/>
          <w:bCs/>
          <w:sz w:val="24"/>
        </w:rPr>
        <w:tab/>
      </w:r>
      <w:r w:rsidRPr="006F5324">
        <w:rPr>
          <w:rFonts w:ascii="Arial" w:eastAsia="MS Mincho" w:hAnsi="Arial" w:cs="Arial"/>
          <w:b/>
          <w:bCs/>
          <w:sz w:val="24"/>
          <w:lang w:eastAsia="ja-JP"/>
        </w:rPr>
        <w:t>R1-17</w:t>
      </w:r>
      <w:r w:rsidR="006F5324" w:rsidRPr="006F5324">
        <w:rPr>
          <w:rFonts w:ascii="Arial" w:eastAsia="MS Mincho" w:hAnsi="Arial" w:cs="Arial" w:hint="eastAsia"/>
          <w:b/>
          <w:bCs/>
          <w:sz w:val="24"/>
          <w:lang w:eastAsia="ja-JP"/>
        </w:rPr>
        <w:t>20749</w:t>
      </w:r>
    </w:p>
    <w:p w:rsidR="00CB62B1" w:rsidRPr="00BA772C" w:rsidRDefault="00394470" w:rsidP="002C5CDC">
      <w:pPr>
        <w:tabs>
          <w:tab w:val="center" w:pos="4536"/>
          <w:tab w:val="right" w:pos="9072"/>
        </w:tabs>
        <w:rPr>
          <w:b/>
          <w:sz w:val="20"/>
        </w:rPr>
      </w:pPr>
      <w:r w:rsidRPr="002C5CDC">
        <w:rPr>
          <w:rFonts w:ascii="Arial" w:eastAsia="MS Mincho" w:hAnsi="Arial" w:cs="Arial"/>
          <w:b/>
          <w:bCs/>
          <w:sz w:val="24"/>
          <w:lang w:eastAsia="ja-JP"/>
        </w:rPr>
        <w:t>RENO, USA, November 27</w:t>
      </w:r>
      <w:r w:rsidRPr="002C5CDC">
        <w:rPr>
          <w:rFonts w:ascii="Arial" w:eastAsia="MS Mincho" w:hAnsi="Arial" w:cs="Arial"/>
          <w:b/>
          <w:bCs/>
          <w:sz w:val="24"/>
          <w:vertAlign w:val="superscript"/>
          <w:lang w:eastAsia="ja-JP"/>
        </w:rPr>
        <w:t>th</w:t>
      </w:r>
      <w:r w:rsidRPr="002C5CDC">
        <w:rPr>
          <w:rFonts w:ascii="Arial" w:eastAsia="MS Mincho" w:hAnsi="Arial" w:cs="Arial"/>
          <w:b/>
          <w:bCs/>
          <w:sz w:val="24"/>
          <w:lang w:eastAsia="ja-JP"/>
        </w:rPr>
        <w:t xml:space="preserve"> –</w:t>
      </w:r>
      <w:r w:rsidRPr="002C5CDC">
        <w:rPr>
          <w:rFonts w:ascii="Arial" w:hAnsi="Arial" w:cs="Arial"/>
          <w:b/>
          <w:bCs/>
          <w:sz w:val="24"/>
        </w:rPr>
        <w:t>December 1</w:t>
      </w:r>
      <w:r w:rsidRPr="002C5CDC">
        <w:rPr>
          <w:rFonts w:ascii="Arial" w:hAnsi="Arial" w:cs="Arial"/>
          <w:b/>
          <w:bCs/>
          <w:sz w:val="24"/>
          <w:vertAlign w:val="superscript"/>
        </w:rPr>
        <w:t>st</w:t>
      </w:r>
      <w:r w:rsidRPr="002C5CDC">
        <w:rPr>
          <w:rFonts w:ascii="Arial" w:hAnsi="Arial" w:cs="Arial"/>
          <w:b/>
          <w:bCs/>
          <w:sz w:val="24"/>
        </w:rPr>
        <w:t xml:space="preserve"> , 201</w:t>
      </w:r>
      <w:r w:rsidRPr="002C5CDC">
        <w:rPr>
          <w:rFonts w:ascii="Arial" w:eastAsia="MS Mincho" w:hAnsi="Arial" w:cs="Arial" w:hint="eastAsia"/>
          <w:b/>
          <w:bCs/>
          <w:sz w:val="24"/>
          <w:lang w:eastAsia="ja-JP"/>
        </w:rPr>
        <w:t>7</w:t>
      </w:r>
    </w:p>
    <w:p w:rsidR="00CB62B1" w:rsidRDefault="00CB62B1" w:rsidP="00CB62B1">
      <w:pPr>
        <w:tabs>
          <w:tab w:val="left" w:pos="1843"/>
        </w:tabs>
        <w:rPr>
          <w:rFonts w:ascii="Arial" w:hAnsi="Arial" w:cs="Arial"/>
          <w:b/>
          <w:sz w:val="20"/>
        </w:rPr>
      </w:pPr>
      <w:r>
        <w:rPr>
          <w:rFonts w:ascii="Arial" w:hAnsi="Arial" w:cs="Arial"/>
          <w:b/>
          <w:sz w:val="20"/>
        </w:rPr>
        <w:t xml:space="preserve">Source </w:t>
      </w:r>
      <w:r>
        <w:rPr>
          <w:rFonts w:ascii="Arial" w:hAnsi="Arial" w:cs="Arial"/>
          <w:b/>
          <w:sz w:val="20"/>
        </w:rPr>
        <w:tab/>
        <w:t xml:space="preserve">: </w:t>
      </w:r>
      <w:r>
        <w:rPr>
          <w:rFonts w:ascii="Arial" w:hAnsi="Arial" w:cs="Arial" w:hint="eastAsia"/>
          <w:b/>
          <w:sz w:val="20"/>
        </w:rPr>
        <w:t>CATR</w:t>
      </w:r>
    </w:p>
    <w:p w:rsidR="00CB62B1" w:rsidRPr="002B2D1F" w:rsidRDefault="00CB62B1" w:rsidP="00CB62B1">
      <w:pPr>
        <w:tabs>
          <w:tab w:val="left" w:pos="1843"/>
        </w:tabs>
        <w:rPr>
          <w:rFonts w:ascii="Arial" w:hAnsi="Arial" w:cs="Arial"/>
          <w:b/>
          <w:sz w:val="20"/>
        </w:rPr>
      </w:pPr>
      <w:r>
        <w:rPr>
          <w:rFonts w:ascii="Arial" w:hAnsi="Arial" w:cs="Arial"/>
          <w:b/>
          <w:sz w:val="20"/>
        </w:rPr>
        <w:t xml:space="preserve">Title </w:t>
      </w:r>
      <w:r>
        <w:rPr>
          <w:rFonts w:ascii="Arial" w:hAnsi="Arial" w:cs="Arial"/>
          <w:b/>
          <w:sz w:val="20"/>
        </w:rPr>
        <w:tab/>
      </w:r>
      <w:r>
        <w:rPr>
          <w:rFonts w:ascii="Arial" w:hAnsi="Arial" w:cs="Arial" w:hint="eastAsia"/>
          <w:b/>
          <w:sz w:val="20"/>
        </w:rPr>
        <w:t xml:space="preserve">: </w:t>
      </w:r>
      <w:r w:rsidR="00394470" w:rsidRPr="00394470">
        <w:rPr>
          <w:rFonts w:ascii="Arial" w:hAnsi="Arial" w:cs="Arial"/>
          <w:b/>
          <w:sz w:val="20"/>
        </w:rPr>
        <w:t>HARQ-ACK transmission for DL transmission in NR</w:t>
      </w:r>
    </w:p>
    <w:p w:rsidR="00CB62B1" w:rsidRDefault="00CB62B1" w:rsidP="00CB62B1">
      <w:pPr>
        <w:tabs>
          <w:tab w:val="left" w:pos="1843"/>
        </w:tabs>
        <w:rPr>
          <w:rFonts w:ascii="Arial" w:hAnsi="Arial" w:cs="Arial"/>
          <w:b/>
          <w:sz w:val="20"/>
        </w:rPr>
      </w:pPr>
      <w:r>
        <w:rPr>
          <w:rFonts w:ascii="Arial" w:hAnsi="Arial" w:cs="Arial"/>
          <w:b/>
          <w:sz w:val="20"/>
        </w:rPr>
        <w:t>Agenda Item</w:t>
      </w:r>
      <w:bookmarkStart w:id="3" w:name="Source"/>
      <w:bookmarkEnd w:id="3"/>
      <w:r>
        <w:rPr>
          <w:rFonts w:ascii="Arial" w:hAnsi="Arial" w:cs="Arial"/>
          <w:b/>
          <w:sz w:val="20"/>
        </w:rPr>
        <w:tab/>
        <w:t>:</w:t>
      </w:r>
      <w:r>
        <w:rPr>
          <w:rFonts w:ascii="Arial" w:hAnsi="Arial" w:cs="Arial" w:hint="eastAsia"/>
          <w:b/>
          <w:sz w:val="20"/>
        </w:rPr>
        <w:t xml:space="preserve"> 7.3.3.</w:t>
      </w:r>
      <w:r w:rsidR="00620630">
        <w:rPr>
          <w:rFonts w:ascii="Arial" w:hAnsi="Arial" w:cs="Arial"/>
          <w:b/>
          <w:sz w:val="20"/>
        </w:rPr>
        <w:t>2</w:t>
      </w:r>
    </w:p>
    <w:p w:rsidR="00CB62B1" w:rsidRDefault="00CB62B1" w:rsidP="00CB62B1">
      <w:pPr>
        <w:widowControl/>
        <w:tabs>
          <w:tab w:val="left" w:pos="1843"/>
        </w:tabs>
        <w:rPr>
          <w:rFonts w:ascii="Arial" w:eastAsia="MS Mincho" w:hAnsi="Arial" w:cs="Arial"/>
          <w:b/>
          <w:kern w:val="0"/>
          <w:sz w:val="20"/>
          <w:lang w:val="en-GB" w:eastAsia="en-US"/>
        </w:rPr>
      </w:pPr>
      <w:r>
        <w:rPr>
          <w:rFonts w:ascii="Arial" w:eastAsia="MS Mincho" w:hAnsi="Arial" w:cs="Arial"/>
          <w:b/>
          <w:kern w:val="0"/>
          <w:sz w:val="20"/>
          <w:lang w:val="en-GB" w:eastAsia="en-US"/>
        </w:rPr>
        <w:t>Document for</w:t>
      </w:r>
      <w:r>
        <w:rPr>
          <w:rFonts w:ascii="Arial" w:eastAsia="MS Mincho" w:hAnsi="Arial" w:cs="Arial"/>
          <w:b/>
          <w:kern w:val="0"/>
          <w:sz w:val="20"/>
          <w:lang w:val="en-GB" w:eastAsia="en-US"/>
        </w:rPr>
        <w:tab/>
        <w:t xml:space="preserve">: </w:t>
      </w:r>
      <w:r>
        <w:rPr>
          <w:rFonts w:ascii="Arial" w:eastAsia="MS Mincho" w:hAnsi="Arial" w:cs="Arial" w:hint="eastAsia"/>
          <w:b/>
          <w:kern w:val="0"/>
          <w:sz w:val="20"/>
          <w:lang w:val="en-GB" w:eastAsia="en-US"/>
        </w:rPr>
        <w:t>Discussion / Decision</w:t>
      </w:r>
    </w:p>
    <w:bookmarkEnd w:id="0"/>
    <w:bookmarkEnd w:id="1"/>
    <w:bookmarkEnd w:id="2"/>
    <w:p w:rsidR="00CB62B1" w:rsidRDefault="00CB62B1" w:rsidP="00CB62B1">
      <w:pPr>
        <w:pStyle w:val="1"/>
        <w:keepLines/>
        <w:pBdr>
          <w:top w:val="single" w:sz="12" w:space="3" w:color="auto"/>
        </w:pBdr>
        <w:tabs>
          <w:tab w:val="clear" w:pos="0"/>
          <w:tab w:val="left" w:pos="446"/>
          <w:tab w:val="left" w:pos="858"/>
        </w:tabs>
        <w:spacing w:before="120" w:after="120"/>
        <w:ind w:left="432" w:hanging="432"/>
        <w:rPr>
          <w:sz w:val="30"/>
          <w:szCs w:val="30"/>
        </w:rPr>
      </w:pPr>
      <w:r>
        <w:rPr>
          <w:sz w:val="30"/>
          <w:szCs w:val="30"/>
        </w:rPr>
        <w:t>Introduction</w:t>
      </w:r>
    </w:p>
    <w:p w:rsidR="00CB62B1" w:rsidRPr="00B717D3" w:rsidRDefault="00CB62B1" w:rsidP="00CB62B1">
      <w:pPr>
        <w:ind w:right="-1"/>
        <w:rPr>
          <w:sz w:val="22"/>
        </w:rPr>
      </w:pPr>
      <w:r w:rsidRPr="00B717D3">
        <w:rPr>
          <w:rFonts w:hint="eastAsia"/>
          <w:sz w:val="22"/>
        </w:rPr>
        <w:t xml:space="preserve">In </w:t>
      </w:r>
      <w:r w:rsidR="00742D41" w:rsidRPr="00B717D3">
        <w:rPr>
          <w:sz w:val="22"/>
        </w:rPr>
        <w:t xml:space="preserve">the </w:t>
      </w:r>
      <w:r w:rsidRPr="00B717D3">
        <w:rPr>
          <w:rFonts w:hint="eastAsia"/>
          <w:sz w:val="22"/>
        </w:rPr>
        <w:t>last meeting, the</w:t>
      </w:r>
      <w:r w:rsidR="00F31327" w:rsidRPr="00B717D3">
        <w:rPr>
          <w:sz w:val="22"/>
        </w:rPr>
        <w:t xml:space="preserve">re are the </w:t>
      </w:r>
      <w:r w:rsidRPr="00B717D3">
        <w:rPr>
          <w:rFonts w:hint="eastAsia"/>
          <w:sz w:val="22"/>
        </w:rPr>
        <w:t>following agreements</w:t>
      </w:r>
      <w:r w:rsidR="00F31327" w:rsidRPr="00B717D3">
        <w:rPr>
          <w:sz w:val="22"/>
        </w:rPr>
        <w:t xml:space="preserve"> about DL HARQ transmission</w:t>
      </w:r>
      <w:fldSimple w:instr="REF _Ref498543007 \r \h \* MERGEFORMAT ">
        <w:r w:rsidR="001A123D">
          <w:rPr>
            <w:sz w:val="22"/>
          </w:rPr>
          <w:t>[1]</w:t>
        </w:r>
      </w:fldSimple>
      <w:r w:rsidRPr="00B717D3">
        <w:rPr>
          <w:rFonts w:hint="eastAsia"/>
          <w:sz w:val="22"/>
        </w:rPr>
        <w:t>:</w:t>
      </w:r>
    </w:p>
    <w:p w:rsidR="00F31327" w:rsidRPr="00B717D3" w:rsidRDefault="00F31327" w:rsidP="00F31327">
      <w:pPr>
        <w:rPr>
          <w:sz w:val="22"/>
        </w:rPr>
      </w:pPr>
      <w:r w:rsidRPr="00B717D3">
        <w:rPr>
          <w:sz w:val="22"/>
          <w:highlight w:val="green"/>
        </w:rPr>
        <w:t>Agreements</w:t>
      </w:r>
      <w:r w:rsidRPr="00B717D3">
        <w:rPr>
          <w:sz w:val="22"/>
        </w:rPr>
        <w:t>:</w:t>
      </w:r>
    </w:p>
    <w:p w:rsidR="00F31327" w:rsidRPr="00B717D3" w:rsidRDefault="00F31327" w:rsidP="00F31327">
      <w:pPr>
        <w:widowControl/>
        <w:numPr>
          <w:ilvl w:val="0"/>
          <w:numId w:val="4"/>
        </w:numPr>
        <w:jc w:val="left"/>
        <w:rPr>
          <w:i/>
          <w:sz w:val="22"/>
        </w:rPr>
      </w:pPr>
      <w:r w:rsidRPr="00B717D3">
        <w:rPr>
          <w:i/>
          <w:sz w:val="22"/>
        </w:rPr>
        <w:t xml:space="preserve">The timing between DL data transmission and acknowledgement is determined based on 0 or [2] bits in DCI </w:t>
      </w:r>
    </w:p>
    <w:p w:rsidR="00F31327" w:rsidRPr="00B717D3" w:rsidRDefault="00F31327" w:rsidP="00F31327">
      <w:pPr>
        <w:widowControl/>
        <w:numPr>
          <w:ilvl w:val="1"/>
          <w:numId w:val="4"/>
        </w:numPr>
        <w:jc w:val="left"/>
        <w:rPr>
          <w:i/>
          <w:sz w:val="22"/>
        </w:rPr>
      </w:pPr>
      <w:r w:rsidRPr="00B717D3">
        <w:rPr>
          <w:i/>
          <w:sz w:val="22"/>
        </w:rPr>
        <w:t>For both slot and non-slot scheduling, the timing provides the indication to determine the slot and the symbol(s) for the HARQ-ACK transmission</w:t>
      </w:r>
    </w:p>
    <w:p w:rsidR="00F31327" w:rsidRPr="00B717D3" w:rsidRDefault="00F31327" w:rsidP="00F31327">
      <w:pPr>
        <w:pStyle w:val="a6"/>
        <w:widowControl/>
        <w:numPr>
          <w:ilvl w:val="1"/>
          <w:numId w:val="4"/>
        </w:numPr>
        <w:ind w:firstLineChars="0"/>
        <w:jc w:val="left"/>
        <w:rPr>
          <w:i/>
          <w:sz w:val="22"/>
        </w:rPr>
      </w:pPr>
      <w:r w:rsidRPr="00B717D3">
        <w:rPr>
          <w:i/>
          <w:sz w:val="22"/>
        </w:rPr>
        <w:t>In case of [2]-bits, FFS the actual set of values for slot-based scheduling and non-slot based scheduling, respectively</w:t>
      </w:r>
    </w:p>
    <w:p w:rsidR="00F31327" w:rsidRPr="00B717D3" w:rsidRDefault="00F31327" w:rsidP="00F31327">
      <w:pPr>
        <w:pStyle w:val="a6"/>
        <w:widowControl/>
        <w:numPr>
          <w:ilvl w:val="1"/>
          <w:numId w:val="4"/>
        </w:numPr>
        <w:ind w:firstLineChars="0"/>
        <w:jc w:val="left"/>
        <w:rPr>
          <w:i/>
          <w:sz w:val="22"/>
        </w:rPr>
      </w:pPr>
      <w:r w:rsidRPr="00B717D3">
        <w:rPr>
          <w:i/>
          <w:sz w:val="22"/>
        </w:rPr>
        <w:t>In case of 0-bit, FFS how to determine the single timing (e.g., UE capability dependent, whether or not to have RRC configuration, the interactions with different cases (e.g., initial access), etc.)</w:t>
      </w:r>
    </w:p>
    <w:p w:rsidR="00CB62B1" w:rsidRPr="00B717D3" w:rsidRDefault="00F31327" w:rsidP="00F31327">
      <w:pPr>
        <w:pStyle w:val="a6"/>
        <w:widowControl/>
        <w:numPr>
          <w:ilvl w:val="1"/>
          <w:numId w:val="4"/>
        </w:numPr>
        <w:ind w:firstLineChars="0"/>
        <w:jc w:val="left"/>
        <w:rPr>
          <w:i/>
          <w:sz w:val="22"/>
        </w:rPr>
      </w:pPr>
      <w:r w:rsidRPr="00B717D3">
        <w:rPr>
          <w:i/>
          <w:sz w:val="22"/>
        </w:rPr>
        <w:t>FFS whether or not to have separate information fields or a same information field for HARQ-ACK resource determation and HARQ-timing determination</w:t>
      </w:r>
    </w:p>
    <w:p w:rsidR="00800F60" w:rsidRPr="00B717D3" w:rsidRDefault="00800F60" w:rsidP="00800F60">
      <w:pPr>
        <w:rPr>
          <w:i/>
          <w:sz w:val="22"/>
        </w:rPr>
      </w:pPr>
      <w:r w:rsidRPr="00B717D3">
        <w:rPr>
          <w:i/>
          <w:sz w:val="22"/>
          <w:highlight w:val="green"/>
        </w:rPr>
        <w:t>Agreements</w:t>
      </w:r>
      <w:r w:rsidRPr="00B717D3">
        <w:rPr>
          <w:i/>
          <w:sz w:val="22"/>
        </w:rPr>
        <w:t>:</w:t>
      </w:r>
    </w:p>
    <w:p w:rsidR="00800F60" w:rsidRPr="00B717D3" w:rsidRDefault="00800F60" w:rsidP="00800F60">
      <w:pPr>
        <w:widowControl/>
        <w:numPr>
          <w:ilvl w:val="0"/>
          <w:numId w:val="5"/>
        </w:numPr>
        <w:jc w:val="left"/>
        <w:rPr>
          <w:i/>
          <w:sz w:val="22"/>
        </w:rPr>
      </w:pPr>
      <w:r w:rsidRPr="00B717D3">
        <w:rPr>
          <w:i/>
          <w:sz w:val="22"/>
        </w:rPr>
        <w:t>For NR non-CA, both semi-static and dynamic HARQ-ACK codebook are supported by configuration</w:t>
      </w:r>
    </w:p>
    <w:p w:rsidR="00800F60" w:rsidRPr="00B717D3" w:rsidRDefault="00800F60" w:rsidP="00800F60">
      <w:pPr>
        <w:widowControl/>
        <w:numPr>
          <w:ilvl w:val="1"/>
          <w:numId w:val="5"/>
        </w:numPr>
        <w:jc w:val="left"/>
        <w:rPr>
          <w:i/>
          <w:sz w:val="22"/>
        </w:rPr>
      </w:pPr>
      <w:r w:rsidRPr="00B717D3">
        <w:rPr>
          <w:i/>
          <w:sz w:val="22"/>
        </w:rPr>
        <w:t>Note: the “by-configuration” is also applicable to the CA case</w:t>
      </w:r>
    </w:p>
    <w:p w:rsidR="00800F60" w:rsidRPr="00B717D3" w:rsidRDefault="00800F60" w:rsidP="00800F60">
      <w:pPr>
        <w:rPr>
          <w:i/>
          <w:sz w:val="22"/>
        </w:rPr>
      </w:pPr>
      <w:r w:rsidRPr="00B717D3">
        <w:rPr>
          <w:i/>
          <w:sz w:val="22"/>
          <w:highlight w:val="green"/>
        </w:rPr>
        <w:t>Agreements</w:t>
      </w:r>
      <w:r w:rsidRPr="00B717D3">
        <w:rPr>
          <w:i/>
          <w:sz w:val="22"/>
        </w:rPr>
        <w:t>:</w:t>
      </w:r>
    </w:p>
    <w:p w:rsidR="00800F60" w:rsidRPr="00B717D3" w:rsidRDefault="00800F60" w:rsidP="00800F60">
      <w:pPr>
        <w:widowControl/>
        <w:numPr>
          <w:ilvl w:val="0"/>
          <w:numId w:val="6"/>
        </w:numPr>
        <w:spacing w:after="160" w:line="259" w:lineRule="auto"/>
        <w:jc w:val="left"/>
        <w:rPr>
          <w:i/>
          <w:sz w:val="22"/>
        </w:rPr>
      </w:pPr>
      <w:r w:rsidRPr="00B717D3">
        <w:rPr>
          <w:i/>
          <w:sz w:val="22"/>
        </w:rPr>
        <w:t>Dynamic HARQ-ACK codebook (per PUCCH group) for the case without CBG configuration</w:t>
      </w:r>
    </w:p>
    <w:p w:rsidR="00800F60" w:rsidRPr="00B717D3" w:rsidRDefault="00800F60" w:rsidP="00800F60">
      <w:pPr>
        <w:widowControl/>
        <w:numPr>
          <w:ilvl w:val="1"/>
          <w:numId w:val="6"/>
        </w:numPr>
        <w:spacing w:after="160" w:line="259" w:lineRule="auto"/>
        <w:jc w:val="left"/>
        <w:rPr>
          <w:i/>
          <w:sz w:val="22"/>
        </w:rPr>
      </w:pPr>
      <w:r w:rsidRPr="00B717D3">
        <w:rPr>
          <w:i/>
          <w:sz w:val="22"/>
        </w:rPr>
        <w:t>HARQ-ACK codebook determination based on counter DAI and total DAI</w:t>
      </w:r>
    </w:p>
    <w:p w:rsidR="00800F60" w:rsidRPr="00B717D3" w:rsidRDefault="00800F60" w:rsidP="00800F60">
      <w:pPr>
        <w:widowControl/>
        <w:numPr>
          <w:ilvl w:val="2"/>
          <w:numId w:val="6"/>
        </w:numPr>
        <w:spacing w:after="160" w:line="259" w:lineRule="auto"/>
        <w:jc w:val="left"/>
        <w:rPr>
          <w:i/>
          <w:sz w:val="22"/>
        </w:rPr>
      </w:pPr>
      <w:r w:rsidRPr="00B717D3">
        <w:rPr>
          <w:i/>
          <w:sz w:val="22"/>
        </w:rPr>
        <w:t>Use LTE as starting point</w:t>
      </w:r>
    </w:p>
    <w:p w:rsidR="00F31327" w:rsidRPr="00B717D3" w:rsidRDefault="00800F60" w:rsidP="00800F60">
      <w:pPr>
        <w:widowControl/>
        <w:numPr>
          <w:ilvl w:val="2"/>
          <w:numId w:val="6"/>
        </w:numPr>
        <w:spacing w:after="160" w:line="259" w:lineRule="auto"/>
        <w:jc w:val="left"/>
        <w:rPr>
          <w:i/>
          <w:sz w:val="22"/>
        </w:rPr>
      </w:pPr>
      <w:r w:rsidRPr="00B717D3">
        <w:rPr>
          <w:i/>
          <w:sz w:val="22"/>
        </w:rPr>
        <w:t>FFS details</w:t>
      </w:r>
    </w:p>
    <w:p w:rsidR="000E1BB4" w:rsidRDefault="00CB62B1" w:rsidP="0081042C">
      <w:pPr>
        <w:ind w:right="-1"/>
        <w:rPr>
          <w:sz w:val="22"/>
        </w:rPr>
      </w:pPr>
      <w:r w:rsidRPr="00B717D3">
        <w:rPr>
          <w:rFonts w:hint="eastAsia"/>
          <w:sz w:val="22"/>
        </w:rPr>
        <w:t xml:space="preserve">In this </w:t>
      </w:r>
      <w:r w:rsidR="004D0DAB">
        <w:rPr>
          <w:sz w:val="22"/>
        </w:rPr>
        <w:t>contribution</w:t>
      </w:r>
      <w:r w:rsidRPr="00B717D3">
        <w:rPr>
          <w:rFonts w:hint="eastAsia"/>
          <w:sz w:val="22"/>
        </w:rPr>
        <w:t xml:space="preserve">, we will </w:t>
      </w:r>
      <w:r w:rsidR="00B717D3">
        <w:rPr>
          <w:sz w:val="22"/>
        </w:rPr>
        <w:t xml:space="preserve">discuss the remaining issues about </w:t>
      </w:r>
      <w:r w:rsidR="00B717D3" w:rsidRPr="00B717D3">
        <w:rPr>
          <w:sz w:val="22"/>
        </w:rPr>
        <w:t>HARQ-ACK transmission for DL transmission in NR</w:t>
      </w:r>
      <w:r w:rsidRPr="00B717D3">
        <w:rPr>
          <w:rFonts w:hint="eastAsia"/>
          <w:sz w:val="22"/>
        </w:rPr>
        <w:t>.</w:t>
      </w:r>
    </w:p>
    <w:p w:rsidR="00CB62B1" w:rsidRPr="000E1BB4" w:rsidRDefault="00051AD0" w:rsidP="000E1BB4">
      <w:pPr>
        <w:pStyle w:val="1"/>
        <w:keepLines/>
        <w:pBdr>
          <w:top w:val="single" w:sz="12" w:space="3" w:color="auto"/>
        </w:pBdr>
        <w:tabs>
          <w:tab w:val="clear" w:pos="0"/>
          <w:tab w:val="left" w:pos="446"/>
          <w:tab w:val="left" w:pos="858"/>
        </w:tabs>
        <w:spacing w:before="120" w:after="120"/>
        <w:ind w:left="432" w:hanging="432"/>
        <w:rPr>
          <w:sz w:val="30"/>
          <w:szCs w:val="30"/>
        </w:rPr>
      </w:pPr>
      <w:r w:rsidRPr="000E1BB4">
        <w:rPr>
          <w:rFonts w:hint="eastAsia"/>
          <w:sz w:val="30"/>
          <w:szCs w:val="30"/>
        </w:rPr>
        <w:t>Discussion</w:t>
      </w:r>
    </w:p>
    <w:p w:rsidR="00051AD0" w:rsidRPr="00051AD0" w:rsidRDefault="00051AD0" w:rsidP="00051AD0">
      <w:pPr>
        <w:pStyle w:val="2"/>
        <w:rPr>
          <w:rFonts w:ascii="Arial" w:hAnsi="Arial" w:cs="Arial"/>
          <w:b w:val="0"/>
          <w:sz w:val="24"/>
          <w:szCs w:val="28"/>
        </w:rPr>
      </w:pPr>
      <w:r w:rsidRPr="00051AD0">
        <w:rPr>
          <w:rFonts w:ascii="Arial" w:hAnsi="Arial" w:cs="Arial"/>
          <w:b w:val="0"/>
          <w:sz w:val="24"/>
          <w:szCs w:val="28"/>
        </w:rPr>
        <w:t xml:space="preserve">2.1 </w:t>
      </w:r>
      <w:r>
        <w:rPr>
          <w:rFonts w:ascii="Arial" w:hAnsi="Arial" w:cs="Arial"/>
          <w:b w:val="0"/>
          <w:sz w:val="24"/>
          <w:szCs w:val="28"/>
        </w:rPr>
        <w:t xml:space="preserve">HARQ-ACK window </w:t>
      </w:r>
    </w:p>
    <w:p w:rsidR="003F797E" w:rsidRPr="003F797E" w:rsidRDefault="003F797E" w:rsidP="00CB62B1">
      <w:r>
        <w:rPr>
          <w:rFonts w:hint="eastAsia"/>
        </w:rPr>
        <w:t xml:space="preserve">With </w:t>
      </w:r>
      <w:r w:rsidR="005822A5">
        <w:t>fixed</w:t>
      </w:r>
      <w:r>
        <w:rPr>
          <w:rFonts w:hint="eastAsia"/>
        </w:rPr>
        <w:t xml:space="preserve"> timing </w:t>
      </w:r>
      <w:r w:rsidR="005822A5">
        <w:t xml:space="preserve">gap </w:t>
      </w:r>
      <w:r>
        <w:t xml:space="preserve">between DL data transmission and </w:t>
      </w:r>
      <w:r w:rsidR="001F1A18" w:rsidRPr="001F1A18">
        <w:t>acknowledgement</w:t>
      </w:r>
      <w:r>
        <w:t xml:space="preserve">, the HARQ-ACK codebook transmitted in one slot is corresponding to the DL channel(s) </w:t>
      </w:r>
      <w:r w:rsidR="005822A5">
        <w:t>which the timing gap with the uplink channel equals to the single value.  W</w:t>
      </w:r>
      <w:r>
        <w:t>hen the timing is flexible with</w:t>
      </w:r>
      <w:r w:rsidR="00E143B5">
        <w:t xml:space="preserve"> “</w:t>
      </w:r>
      <w:r w:rsidR="00E143B5" w:rsidRPr="003F797E">
        <w:t>[2]bits</w:t>
      </w:r>
      <w:r w:rsidR="00E143B5">
        <w:t xml:space="preserve">” </w:t>
      </w:r>
      <w:r>
        <w:t>indication in the DCI, it is possible</w:t>
      </w:r>
      <w:r w:rsidR="005822A5">
        <w:t xml:space="preserve"> that</w:t>
      </w:r>
      <w:r>
        <w:t xml:space="preserve"> the HARQ-ACK </w:t>
      </w:r>
      <w:r>
        <w:lastRenderedPageBreak/>
        <w:t xml:space="preserve">transmitted in the uplink channel relates to the DL channels within </w:t>
      </w:r>
      <w:r w:rsidR="005822A5">
        <w:t xml:space="preserve">a </w:t>
      </w:r>
      <w:r w:rsidR="0042735D">
        <w:t>HARQ</w:t>
      </w:r>
      <w:r w:rsidR="005822A5">
        <w:t xml:space="preserve"> window. </w:t>
      </w:r>
    </w:p>
    <w:p w:rsidR="003F797E" w:rsidRDefault="00771485" w:rsidP="00992D88">
      <w:pPr>
        <w:jc w:val="center"/>
      </w:pPr>
      <w:r w:rsidRPr="00771485">
        <w:rPr>
          <w:noProof/>
        </w:rPr>
        <w:drawing>
          <wp:inline distT="0" distB="0" distL="0" distR="0">
            <wp:extent cx="3385181" cy="1111426"/>
            <wp:effectExtent l="0" t="0" r="635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8"/>
                    <a:stretch>
                      <a:fillRect/>
                    </a:stretch>
                  </pic:blipFill>
                  <pic:spPr>
                    <a:xfrm>
                      <a:off x="0" y="0"/>
                      <a:ext cx="3413725" cy="1120798"/>
                    </a:xfrm>
                    <a:prstGeom prst="rect">
                      <a:avLst/>
                    </a:prstGeom>
                  </pic:spPr>
                </pic:pic>
              </a:graphicData>
            </a:graphic>
          </wp:inline>
        </w:drawing>
      </w:r>
    </w:p>
    <w:p w:rsidR="003F797E" w:rsidRPr="007108AC" w:rsidRDefault="005822A5" w:rsidP="005822A5">
      <w:pPr>
        <w:pStyle w:val="a7"/>
        <w:jc w:val="center"/>
        <w:rPr>
          <w:rFonts w:ascii="Times New Roman" w:eastAsia="宋体" w:hAnsi="Times New Roman" w:cs="Times New Roman"/>
          <w:sz w:val="21"/>
        </w:rPr>
      </w:pPr>
      <w:bookmarkStart w:id="4" w:name="_Ref498545254"/>
      <w:r w:rsidRPr="007108AC">
        <w:rPr>
          <w:rFonts w:ascii="Times New Roman" w:eastAsia="宋体" w:hAnsi="Times New Roman" w:cs="Times New Roman"/>
          <w:sz w:val="21"/>
        </w:rPr>
        <w:t xml:space="preserve">Figure </w:t>
      </w:r>
      <w:r w:rsidR="00936E42" w:rsidRPr="007108AC">
        <w:rPr>
          <w:rFonts w:ascii="Times New Roman" w:eastAsia="宋体" w:hAnsi="Times New Roman" w:cs="Times New Roman"/>
          <w:sz w:val="21"/>
        </w:rPr>
        <w:fldChar w:fldCharType="begin"/>
      </w:r>
      <w:r w:rsidRPr="007108AC">
        <w:rPr>
          <w:rFonts w:ascii="Times New Roman" w:eastAsia="宋体" w:hAnsi="Times New Roman" w:cs="Times New Roman"/>
          <w:sz w:val="21"/>
        </w:rPr>
        <w:instrText xml:space="preserve"> SEQ Figure \* ARABIC </w:instrText>
      </w:r>
      <w:r w:rsidR="00936E42" w:rsidRPr="007108AC">
        <w:rPr>
          <w:rFonts w:ascii="Times New Roman" w:eastAsia="宋体" w:hAnsi="Times New Roman" w:cs="Times New Roman"/>
          <w:sz w:val="21"/>
        </w:rPr>
        <w:fldChar w:fldCharType="separate"/>
      </w:r>
      <w:r w:rsidR="001A123D">
        <w:rPr>
          <w:rFonts w:ascii="Times New Roman" w:eastAsia="宋体" w:hAnsi="Times New Roman" w:cs="Times New Roman"/>
          <w:noProof/>
          <w:sz w:val="21"/>
        </w:rPr>
        <w:t>1</w:t>
      </w:r>
      <w:r w:rsidR="00936E42" w:rsidRPr="007108AC">
        <w:rPr>
          <w:rFonts w:ascii="Times New Roman" w:eastAsia="宋体" w:hAnsi="Times New Roman" w:cs="Times New Roman"/>
          <w:sz w:val="21"/>
        </w:rPr>
        <w:fldChar w:fldCharType="end"/>
      </w:r>
      <w:bookmarkEnd w:id="4"/>
      <w:r w:rsidRPr="007108AC">
        <w:rPr>
          <w:rFonts w:ascii="Times New Roman" w:eastAsia="宋体" w:hAnsi="Times New Roman" w:cs="Times New Roman"/>
          <w:sz w:val="21"/>
        </w:rPr>
        <w:t xml:space="preserve"> Timing relationship about DL control, DL data, and HARQ transmission</w:t>
      </w:r>
    </w:p>
    <w:p w:rsidR="005822A5" w:rsidRPr="005822A5" w:rsidRDefault="005822A5" w:rsidP="00CB62B1"/>
    <w:p w:rsidR="0005029B" w:rsidRDefault="00992D88" w:rsidP="00CB62B1">
      <w:r>
        <w:t xml:space="preserve">As can be seen in the above </w:t>
      </w:r>
      <w:fldSimple w:instr=" REF _Ref498545254 \h  \* MERGEFORMAT ">
        <w:r w:rsidR="001A123D" w:rsidRPr="007108AC">
          <w:t xml:space="preserve">Figure </w:t>
        </w:r>
        <w:r w:rsidR="001A123D">
          <w:t>1</w:t>
        </w:r>
      </w:fldSimple>
      <w:r>
        <w:t xml:space="preserve">, </w:t>
      </w:r>
      <w:r w:rsidR="00DE7B88">
        <w:t xml:space="preserve">the timing gap between PDCCH-A and the corresponding indicated PDSCH-A is T1, between PDCCH-B and the corresponding indicated PDSCH-B is T1’, and between PDCCH-C and the corresponding indicated PDSCH-C is T1’’. </w:t>
      </w:r>
      <w:r w:rsidR="001F1A18">
        <w:t xml:space="preserve">The HARQ-ACK for PDSCH-A, PDSCH-B and PDSCH-C </w:t>
      </w:r>
      <w:r w:rsidR="00557EF6">
        <w:t xml:space="preserve">respectively </w:t>
      </w:r>
      <w:r w:rsidR="001F1A18">
        <w:t>are all indicated to be transmitted in the same uplink channel.</w:t>
      </w:r>
      <w:r w:rsidR="0042735D">
        <w:t xml:space="preserve">So PDSCH-A, PDSCH-B, and PDSCH-C are within the HARQ window which relates to the uplink channel. Without the HARQ window defined, the UE may not sure when the HARQ-ACK codebook in one uplink channel is completely </w:t>
      </w:r>
      <w:r w:rsidR="007860E8">
        <w:t>collected</w:t>
      </w:r>
      <w:r w:rsidR="00EC18E2">
        <w:t xml:space="preserve">and </w:t>
      </w:r>
      <w:r w:rsidR="00E143B5">
        <w:t xml:space="preserve">at which time </w:t>
      </w:r>
      <w:r w:rsidR="001F1A18">
        <w:t>HARQ-ACK processing procedure</w:t>
      </w:r>
      <w:r w:rsidR="00A1108A">
        <w:t xml:space="preserve"> can be started</w:t>
      </w:r>
      <w:r w:rsidR="00DE7B88">
        <w:t xml:space="preserve">. </w:t>
      </w:r>
      <w:r w:rsidR="00EC18E2">
        <w:t>As a result, it is proposed to d</w:t>
      </w:r>
      <w:r w:rsidR="00EC18E2" w:rsidRPr="0005029B">
        <w:t xml:space="preserve">efine </w:t>
      </w:r>
      <w:r w:rsidR="00EC18E2" w:rsidRPr="0005029B">
        <w:rPr>
          <w:lang w:val="en-GB"/>
        </w:rPr>
        <w:t>the HARQ window based on the supported value of timing gap between PDSCH and HARQ-ACK.</w:t>
      </w:r>
    </w:p>
    <w:p w:rsidR="0005029B" w:rsidRDefault="007860E8" w:rsidP="0005029B">
      <w:pPr>
        <w:jc w:val="center"/>
      </w:pPr>
      <w:r w:rsidRPr="007860E8">
        <w:rPr>
          <w:noProof/>
        </w:rPr>
        <w:drawing>
          <wp:inline distT="0" distB="0" distL="0" distR="0">
            <wp:extent cx="2854342" cy="1286759"/>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67494" cy="1292688"/>
                    </a:xfrm>
                    <a:prstGeom prst="rect">
                      <a:avLst/>
                    </a:prstGeom>
                    <a:noFill/>
                    <a:ln>
                      <a:noFill/>
                    </a:ln>
                  </pic:spPr>
                </pic:pic>
              </a:graphicData>
            </a:graphic>
          </wp:inline>
        </w:drawing>
      </w:r>
    </w:p>
    <w:p w:rsidR="0005029B" w:rsidRPr="00507149" w:rsidRDefault="0005029B" w:rsidP="0005029B">
      <w:pPr>
        <w:pStyle w:val="a7"/>
        <w:jc w:val="center"/>
        <w:rPr>
          <w:rFonts w:ascii="Times New Roman" w:eastAsia="宋体" w:hAnsi="Times New Roman" w:cs="Times New Roman"/>
          <w:sz w:val="21"/>
        </w:rPr>
      </w:pPr>
      <w:bookmarkStart w:id="5" w:name="_Ref498546870"/>
      <w:r w:rsidRPr="00507149">
        <w:rPr>
          <w:rFonts w:ascii="Times New Roman" w:eastAsia="宋体" w:hAnsi="Times New Roman" w:cs="Times New Roman"/>
          <w:sz w:val="21"/>
        </w:rPr>
        <w:t xml:space="preserve">Figure </w:t>
      </w:r>
      <w:r w:rsidR="00936E42" w:rsidRPr="00507149">
        <w:rPr>
          <w:rFonts w:ascii="Times New Roman" w:eastAsia="宋体" w:hAnsi="Times New Roman" w:cs="Times New Roman"/>
          <w:sz w:val="21"/>
        </w:rPr>
        <w:fldChar w:fldCharType="begin"/>
      </w:r>
      <w:r w:rsidRPr="00507149">
        <w:rPr>
          <w:rFonts w:ascii="Times New Roman" w:eastAsia="宋体" w:hAnsi="Times New Roman" w:cs="Times New Roman"/>
          <w:sz w:val="21"/>
        </w:rPr>
        <w:instrText xml:space="preserve"> SEQ Figure \* ARABIC </w:instrText>
      </w:r>
      <w:r w:rsidR="00936E42" w:rsidRPr="00507149">
        <w:rPr>
          <w:rFonts w:ascii="Times New Roman" w:eastAsia="宋体" w:hAnsi="Times New Roman" w:cs="Times New Roman"/>
          <w:sz w:val="21"/>
        </w:rPr>
        <w:fldChar w:fldCharType="separate"/>
      </w:r>
      <w:r w:rsidR="001A123D">
        <w:rPr>
          <w:rFonts w:ascii="Times New Roman" w:eastAsia="宋体" w:hAnsi="Times New Roman" w:cs="Times New Roman"/>
          <w:noProof/>
          <w:sz w:val="21"/>
        </w:rPr>
        <w:t>2</w:t>
      </w:r>
      <w:r w:rsidR="00936E42" w:rsidRPr="00507149">
        <w:rPr>
          <w:rFonts w:ascii="Times New Roman" w:eastAsia="宋体" w:hAnsi="Times New Roman" w:cs="Times New Roman"/>
          <w:sz w:val="21"/>
        </w:rPr>
        <w:fldChar w:fldCharType="end"/>
      </w:r>
      <w:bookmarkEnd w:id="5"/>
      <w:r w:rsidRPr="00507149">
        <w:rPr>
          <w:rFonts w:ascii="Times New Roman" w:eastAsia="宋体" w:hAnsi="Times New Roman" w:cs="Times New Roman"/>
          <w:sz w:val="21"/>
        </w:rPr>
        <w:t xml:space="preserve"> HARQ window corresponds to one uplink channel</w:t>
      </w:r>
    </w:p>
    <w:p w:rsidR="0005029B" w:rsidRDefault="0005029B" w:rsidP="00CB62B1"/>
    <w:p w:rsidR="005822A5" w:rsidRDefault="0005029B" w:rsidP="005822A5">
      <w:r>
        <w:t xml:space="preserve">The boundary of HARQ window relates to the range of the actual value of the </w:t>
      </w:r>
      <w:r w:rsidRPr="0005029B">
        <w:t>[2] bits in DCI</w:t>
      </w:r>
      <w:r>
        <w:t xml:space="preserve"> for indicating t</w:t>
      </w:r>
      <w:r w:rsidRPr="0005029B">
        <w:t>he timing between DL data transmission and acknowledgement</w:t>
      </w:r>
      <w:r>
        <w:t xml:space="preserve">. </w:t>
      </w:r>
      <w:r w:rsidR="007108AC">
        <w:t xml:space="preserve">This is illustrated in the above </w:t>
      </w:r>
      <w:fldSimple w:instr=" REF _Ref498546870 \h  \* MERGEFORMAT ">
        <w:r w:rsidR="001A123D" w:rsidRPr="00507149">
          <w:t xml:space="preserve">Figure </w:t>
        </w:r>
        <w:r w:rsidR="001A123D">
          <w:t>2</w:t>
        </w:r>
      </w:fldSimple>
      <w:r w:rsidR="007108AC">
        <w:t>.</w:t>
      </w:r>
      <w:r w:rsidR="00B84F7F">
        <w:t>From</w:t>
      </w:r>
      <w:r w:rsidR="00AA2C62">
        <w:t xml:space="preserve"> the UE perspective, only the HARQ-ACK </w:t>
      </w:r>
      <w:r w:rsidR="00F024D0">
        <w:t>relates to</w:t>
      </w:r>
      <w:r w:rsidR="00AA2C62">
        <w:t xml:space="preserve"> DL data transmission within the HARQ window </w:t>
      </w:r>
      <w:r w:rsidR="00F024D0">
        <w:t>is</w:t>
      </w:r>
      <w:r w:rsidR="00AA2C62">
        <w:t xml:space="preserve"> transmitted in the certain uplink channel.</w:t>
      </w:r>
    </w:p>
    <w:p w:rsidR="0005029B" w:rsidRPr="00CC112F" w:rsidRDefault="0005029B" w:rsidP="006F5324">
      <w:pPr>
        <w:spacing w:beforeLines="50" w:afterLines="50"/>
        <w:rPr>
          <w:b/>
          <w:i/>
          <w:lang w:val="en-GB"/>
        </w:rPr>
      </w:pPr>
      <w:r w:rsidRPr="004D64EE">
        <w:rPr>
          <w:b/>
          <w:i/>
        </w:rPr>
        <w:t>P</w:t>
      </w:r>
      <w:r w:rsidRPr="004D64EE">
        <w:rPr>
          <w:rFonts w:hint="eastAsia"/>
          <w:b/>
          <w:i/>
        </w:rPr>
        <w:t xml:space="preserve">roposal 1: </w:t>
      </w:r>
      <w:r>
        <w:rPr>
          <w:b/>
          <w:i/>
        </w:rPr>
        <w:t>To d</w:t>
      </w:r>
      <w:r w:rsidRPr="0005029B">
        <w:rPr>
          <w:b/>
          <w:i/>
        </w:rPr>
        <w:t xml:space="preserve">efine </w:t>
      </w:r>
      <w:r w:rsidR="00CC112F">
        <w:rPr>
          <w:b/>
          <w:i/>
          <w:lang w:val="en-GB"/>
        </w:rPr>
        <w:t>the HARQ window with</w:t>
      </w:r>
      <w:r w:rsidRPr="0005029B">
        <w:rPr>
          <w:b/>
          <w:i/>
          <w:lang w:val="en-GB"/>
        </w:rPr>
        <w:t xml:space="preserve"> the</w:t>
      </w:r>
      <w:r w:rsidR="00CC112F" w:rsidRPr="00CC112F">
        <w:rPr>
          <w:b/>
          <w:i/>
          <w:lang w:val="en-GB"/>
        </w:rPr>
        <w:t xml:space="preserve"> range of actual value of the [2] bits in DCI </w:t>
      </w:r>
      <w:r w:rsidR="003F09B6">
        <w:rPr>
          <w:b/>
          <w:i/>
          <w:lang w:val="en-GB"/>
        </w:rPr>
        <w:t>which</w:t>
      </w:r>
      <w:r w:rsidR="00CC112F" w:rsidRPr="00CC112F">
        <w:rPr>
          <w:b/>
          <w:i/>
          <w:lang w:val="en-GB"/>
        </w:rPr>
        <w:t xml:space="preserve"> indicat</w:t>
      </w:r>
      <w:r w:rsidR="003F09B6">
        <w:rPr>
          <w:b/>
          <w:i/>
          <w:lang w:val="en-GB"/>
        </w:rPr>
        <w:t>es</w:t>
      </w:r>
      <w:r w:rsidR="00CC112F" w:rsidRPr="00CC112F">
        <w:rPr>
          <w:b/>
          <w:i/>
          <w:lang w:val="en-GB"/>
        </w:rPr>
        <w:t xml:space="preserve"> the timing between DL data t</w:t>
      </w:r>
      <w:r w:rsidR="00CC112F">
        <w:rPr>
          <w:b/>
          <w:i/>
          <w:lang w:val="en-GB"/>
        </w:rPr>
        <w:t>ransmission and acknowledgement</w:t>
      </w:r>
      <w:r w:rsidRPr="0005029B">
        <w:rPr>
          <w:b/>
          <w:i/>
          <w:lang w:val="en-GB"/>
        </w:rPr>
        <w:t>.</w:t>
      </w:r>
    </w:p>
    <w:p w:rsidR="00051AD0" w:rsidRPr="00051AD0" w:rsidRDefault="00051AD0" w:rsidP="00051AD0">
      <w:pPr>
        <w:pStyle w:val="2"/>
        <w:rPr>
          <w:rFonts w:ascii="Arial" w:hAnsi="Arial" w:cs="Arial"/>
          <w:b w:val="0"/>
          <w:sz w:val="24"/>
          <w:szCs w:val="28"/>
        </w:rPr>
      </w:pPr>
      <w:r w:rsidRPr="00051AD0">
        <w:rPr>
          <w:rFonts w:ascii="Arial" w:hAnsi="Arial" w:cs="Arial"/>
          <w:b w:val="0"/>
          <w:sz w:val="24"/>
          <w:szCs w:val="28"/>
        </w:rPr>
        <w:t>2.</w:t>
      </w:r>
      <w:r>
        <w:rPr>
          <w:rFonts w:ascii="Arial" w:hAnsi="Arial" w:cs="Arial"/>
          <w:b w:val="0"/>
          <w:sz w:val="24"/>
          <w:szCs w:val="28"/>
        </w:rPr>
        <w:t>2</w:t>
      </w:r>
      <w:r w:rsidR="008A4180">
        <w:rPr>
          <w:rFonts w:ascii="Arial" w:hAnsi="Arial" w:cs="Arial"/>
          <w:b w:val="0"/>
          <w:sz w:val="24"/>
          <w:szCs w:val="28"/>
        </w:rPr>
        <w:t xml:space="preserve">Dynamic </w:t>
      </w:r>
      <w:r w:rsidRPr="00051AD0">
        <w:rPr>
          <w:rFonts w:ascii="Arial" w:hAnsi="Arial" w:cs="Arial"/>
          <w:b w:val="0"/>
          <w:sz w:val="24"/>
          <w:szCs w:val="28"/>
        </w:rPr>
        <w:t>HARQ-ACK codebook determination in NR</w:t>
      </w:r>
    </w:p>
    <w:p w:rsidR="003F09B6" w:rsidRDefault="00BF5A99" w:rsidP="006F5324">
      <w:pPr>
        <w:spacing w:beforeLines="50" w:afterLines="50"/>
      </w:pPr>
      <w:r w:rsidRPr="00BF5A99">
        <w:rPr>
          <w:rFonts w:hint="eastAsia"/>
        </w:rPr>
        <w:t xml:space="preserve">According to the current agreements, dynamic HARQ-ACK codebook is supported for NR non-CA case and for </w:t>
      </w:r>
      <w:r>
        <w:t xml:space="preserve">NR </w:t>
      </w:r>
      <w:r>
        <w:rPr>
          <w:rFonts w:hint="eastAsia"/>
        </w:rPr>
        <w:t xml:space="preserve">CA case without </w:t>
      </w:r>
      <w:r w:rsidRPr="00BF5A99">
        <w:rPr>
          <w:rFonts w:hint="eastAsia"/>
        </w:rPr>
        <w:t>CBG configuration</w:t>
      </w:r>
      <w:r>
        <w:t xml:space="preserve">. Within the HARQ window </w:t>
      </w:r>
      <w:r w:rsidR="003F09B6">
        <w:t>corresponding</w:t>
      </w:r>
      <w:r>
        <w:t xml:space="preserve"> to one uplink channel, there may be two kind of DL data transmissions. One is the corresponding HARQ-ACK is indicated to be transmitted in the uplink channel</w:t>
      </w:r>
      <w:r w:rsidR="00410993">
        <w:t xml:space="preserve"> and t</w:t>
      </w:r>
      <w:r>
        <w:t xml:space="preserve">he other is the corresponding HARQ-ACK is indicated to be transmitted in </w:t>
      </w:r>
      <w:r w:rsidR="003F09B6">
        <w:t>other uplink channels</w:t>
      </w:r>
      <w:r>
        <w:t>.</w:t>
      </w:r>
      <w:r w:rsidR="00A62BF0">
        <w:t>Then d</w:t>
      </w:r>
      <w:r w:rsidR="00A62BF0" w:rsidRPr="00A62BF0">
        <w:rPr>
          <w:rFonts w:hint="eastAsia"/>
        </w:rPr>
        <w:t xml:space="preserve">ynamic HARQ-ACK codebook only relates to </w:t>
      </w:r>
      <w:r w:rsidR="00A62BF0" w:rsidRPr="00A62BF0">
        <w:t>the data channels whose corresponding DCI indicates the feedback is exactly in this uplink channel</w:t>
      </w:r>
      <w:r w:rsidR="003F09B6">
        <w:t>.</w:t>
      </w:r>
    </w:p>
    <w:p w:rsidR="001C0109" w:rsidRDefault="001C0109" w:rsidP="006F5324">
      <w:pPr>
        <w:spacing w:beforeLines="50" w:afterLines="50"/>
      </w:pPr>
      <w:r>
        <w:rPr>
          <w:rFonts w:hint="eastAsia"/>
        </w:rPr>
        <w:t xml:space="preserve">Moreover, </w:t>
      </w:r>
      <w:r>
        <w:t xml:space="preserve">according to the current agreements, </w:t>
      </w:r>
      <w:r w:rsidRPr="00F533F7">
        <w:t>HARQ-ACK codebook determination is based on counter DAI and total DAI</w:t>
      </w:r>
      <w:r>
        <w:t xml:space="preserve">. The counter DAI and total DAI in </w:t>
      </w:r>
      <w:r w:rsidRPr="00F533F7">
        <w:t>LTE is as the starting point.</w:t>
      </w:r>
      <w:r>
        <w:t xml:space="preserve"> As per the above discussion, </w:t>
      </w:r>
      <w:r w:rsidR="00E27419">
        <w:t>a</w:t>
      </w:r>
      <w:r>
        <w:t xml:space="preserve"> set of counter </w:t>
      </w:r>
      <w:r>
        <w:lastRenderedPageBreak/>
        <w:t xml:space="preserve">DAI and </w:t>
      </w:r>
      <w:r w:rsidR="00E27419">
        <w:t>t</w:t>
      </w:r>
      <w:r>
        <w:t xml:space="preserve">otal DAI values </w:t>
      </w:r>
      <w:r w:rsidR="00E27419">
        <w:t xml:space="preserve">also </w:t>
      </w:r>
      <w:r>
        <w:t xml:space="preserve">relate to the </w:t>
      </w:r>
      <w:r w:rsidR="00E27419" w:rsidRPr="00E27419">
        <w:t>data channels whose corresponding DCI indicates the feedback is exactly in this uplink channel</w:t>
      </w:r>
      <w:r w:rsidR="00E27419">
        <w:t>.</w:t>
      </w:r>
    </w:p>
    <w:p w:rsidR="001C0109" w:rsidRDefault="00051AD0" w:rsidP="006F5324">
      <w:pPr>
        <w:spacing w:beforeLines="50" w:afterLines="50"/>
      </w:pPr>
      <w:r>
        <w:rPr>
          <w:b/>
          <w:i/>
        </w:rPr>
        <w:t>Observation</w:t>
      </w:r>
      <w:r w:rsidR="00E91AC9">
        <w:rPr>
          <w:rFonts w:hint="eastAsia"/>
          <w:b/>
          <w:i/>
        </w:rPr>
        <w:t xml:space="preserve"> 1: Dynamic HARQ-ACK codebook only relates to </w:t>
      </w:r>
      <w:r w:rsidR="00E91AC9">
        <w:rPr>
          <w:b/>
          <w:i/>
        </w:rPr>
        <w:t xml:space="preserve">the </w:t>
      </w:r>
      <w:r w:rsidRPr="00051AD0">
        <w:rPr>
          <w:b/>
          <w:i/>
        </w:rPr>
        <w:t>data channel</w:t>
      </w:r>
      <w:r w:rsidR="00E91AC9">
        <w:rPr>
          <w:b/>
          <w:i/>
        </w:rPr>
        <w:t>s</w:t>
      </w:r>
      <w:r w:rsidRPr="00051AD0">
        <w:rPr>
          <w:b/>
          <w:i/>
        </w:rPr>
        <w:t xml:space="preserve"> whose corresponding DCI indicates the feedback is exactly</w:t>
      </w:r>
      <w:r w:rsidR="00A62BF0">
        <w:rPr>
          <w:b/>
          <w:i/>
        </w:rPr>
        <w:t xml:space="preserve"> in</w:t>
      </w:r>
      <w:r w:rsidRPr="00051AD0">
        <w:rPr>
          <w:b/>
          <w:i/>
        </w:rPr>
        <w:t xml:space="preserve"> this uplink channel.</w:t>
      </w:r>
    </w:p>
    <w:p w:rsidR="003803E0" w:rsidRDefault="00F533F7" w:rsidP="003803E0">
      <w:pPr>
        <w:rPr>
          <w:rFonts w:cs="Arial"/>
        </w:rPr>
      </w:pPr>
      <w:r>
        <w:rPr>
          <w:rFonts w:hint="eastAsia"/>
        </w:rPr>
        <w:t xml:space="preserve">In LTE, </w:t>
      </w:r>
      <w:r w:rsidR="003803E0" w:rsidRPr="003803E0">
        <w:rPr>
          <w:i/>
        </w:rPr>
        <w:t xml:space="preserve">“the value of the </w:t>
      </w:r>
      <w:r w:rsidR="003803E0" w:rsidRPr="003803E0">
        <w:rPr>
          <w:rFonts w:hint="eastAsia"/>
          <w:i/>
        </w:rPr>
        <w:t xml:space="preserve">counter Downlink Assignment Indicator (DAI) </w:t>
      </w:r>
      <w:r w:rsidR="003803E0" w:rsidRPr="003803E0">
        <w:rPr>
          <w:i/>
        </w:rPr>
        <w:t xml:space="preserve">in DCI format </w:t>
      </w:r>
      <w:r w:rsidR="003803E0" w:rsidRPr="003803E0">
        <w:rPr>
          <w:rFonts w:hint="eastAsia"/>
          <w:i/>
        </w:rPr>
        <w:t>1/</w:t>
      </w:r>
      <w:r w:rsidR="003803E0" w:rsidRPr="003803E0">
        <w:rPr>
          <w:i/>
        </w:rPr>
        <w:t>1A/1B/</w:t>
      </w:r>
      <w:r w:rsidR="003803E0" w:rsidRPr="003803E0">
        <w:rPr>
          <w:rFonts w:hint="eastAsia"/>
          <w:i/>
        </w:rPr>
        <w:t>1D/</w:t>
      </w:r>
      <w:r w:rsidR="003803E0" w:rsidRPr="003803E0">
        <w:rPr>
          <w:i/>
        </w:rPr>
        <w:t>2</w:t>
      </w:r>
      <w:r w:rsidR="003803E0" w:rsidRPr="003803E0">
        <w:rPr>
          <w:rFonts w:hint="eastAsia"/>
          <w:i/>
        </w:rPr>
        <w:t>/2</w:t>
      </w:r>
      <w:r w:rsidR="003803E0" w:rsidRPr="003803E0">
        <w:rPr>
          <w:i/>
        </w:rPr>
        <w:t xml:space="preserve">A/2B/2C/2D denotes the accumulative number of </w:t>
      </w:r>
      <w:r w:rsidR="003803E0" w:rsidRPr="003803E0">
        <w:rPr>
          <w:rFonts w:hint="eastAsia"/>
          <w:i/>
        </w:rPr>
        <w:t xml:space="preserve">serving cell(s) with </w:t>
      </w:r>
      <w:r w:rsidR="003803E0" w:rsidRPr="003803E0">
        <w:rPr>
          <w:i/>
        </w:rPr>
        <w:t>PDSCH transmission(</w:t>
      </w:r>
      <w:r w:rsidR="003803E0" w:rsidRPr="003803E0">
        <w:rPr>
          <w:rFonts w:hint="eastAsia"/>
          <w:i/>
        </w:rPr>
        <w:t>s</w:t>
      </w:r>
      <w:r w:rsidR="003803E0" w:rsidRPr="003803E0">
        <w:rPr>
          <w:i/>
        </w:rPr>
        <w:t>)</w:t>
      </w:r>
      <w:r w:rsidR="003803E0" w:rsidRPr="003803E0">
        <w:rPr>
          <w:rFonts w:hint="eastAsia"/>
          <w:i/>
        </w:rPr>
        <w:t xml:space="preserve"> associated with PDCCH/EPDCCH and serving cell with </w:t>
      </w:r>
      <w:r w:rsidR="003803E0" w:rsidRPr="003803E0">
        <w:rPr>
          <w:rFonts w:cs="Arial"/>
          <w:i/>
        </w:rPr>
        <w:t xml:space="preserve">PDCCH/EPDCCH indicating </w:t>
      </w:r>
      <w:r w:rsidR="003803E0" w:rsidRPr="003803E0">
        <w:rPr>
          <w:rFonts w:cs="Arial" w:hint="eastAsia"/>
          <w:i/>
        </w:rPr>
        <w:t>downlink</w:t>
      </w:r>
      <w:r w:rsidR="003803E0" w:rsidRPr="003803E0">
        <w:rPr>
          <w:rFonts w:cs="Arial"/>
          <w:i/>
        </w:rPr>
        <w:t xml:space="preserve"> SPS release</w:t>
      </w:r>
      <w:r w:rsidR="003803E0" w:rsidRPr="003803E0">
        <w:rPr>
          <w:rFonts w:cs="Arial" w:hint="eastAsia"/>
          <w:i/>
        </w:rPr>
        <w:t>,</w:t>
      </w:r>
      <w:r w:rsidR="003803E0" w:rsidRPr="003803E0">
        <w:rPr>
          <w:i/>
        </w:rPr>
        <w:t xml:space="preserve"> up to</w:t>
      </w:r>
      <w:r w:rsidR="003803E0" w:rsidRPr="003803E0">
        <w:rPr>
          <w:rFonts w:hint="eastAsia"/>
          <w:i/>
        </w:rPr>
        <w:t xml:space="preserve"> the present serving cell in increasing order of serving cell index</w:t>
      </w:r>
      <w:r w:rsidR="003803E0">
        <w:rPr>
          <w:i/>
        </w:rPr>
        <w:t>”“</w:t>
      </w:r>
      <w:r w:rsidR="003803E0" w:rsidRPr="003803E0">
        <w:rPr>
          <w:rFonts w:hint="eastAsia"/>
          <w:i/>
        </w:rPr>
        <w:t xml:space="preserve">the value of the total DAI in DCI </w:t>
      </w:r>
      <w:r w:rsidR="003803E0" w:rsidRPr="003803E0">
        <w:rPr>
          <w:i/>
        </w:rPr>
        <w:t xml:space="preserve">format </w:t>
      </w:r>
      <w:r w:rsidR="003803E0" w:rsidRPr="003803E0">
        <w:rPr>
          <w:rFonts w:hint="eastAsia"/>
          <w:i/>
        </w:rPr>
        <w:t>1/</w:t>
      </w:r>
      <w:r w:rsidR="003803E0" w:rsidRPr="003803E0">
        <w:rPr>
          <w:i/>
        </w:rPr>
        <w:t>1A/1B/</w:t>
      </w:r>
      <w:r w:rsidR="003803E0" w:rsidRPr="003803E0">
        <w:rPr>
          <w:rFonts w:hint="eastAsia"/>
          <w:i/>
        </w:rPr>
        <w:t>1D/</w:t>
      </w:r>
      <w:r w:rsidR="003803E0" w:rsidRPr="003803E0">
        <w:rPr>
          <w:i/>
        </w:rPr>
        <w:t>2</w:t>
      </w:r>
      <w:r w:rsidR="003803E0" w:rsidRPr="003803E0">
        <w:rPr>
          <w:rFonts w:hint="eastAsia"/>
          <w:i/>
        </w:rPr>
        <w:t>/2</w:t>
      </w:r>
      <w:r w:rsidR="003803E0" w:rsidRPr="003803E0">
        <w:rPr>
          <w:i/>
        </w:rPr>
        <w:t xml:space="preserve">A/2B/2C/2D denotes the </w:t>
      </w:r>
      <w:r w:rsidR="003803E0" w:rsidRPr="003803E0">
        <w:rPr>
          <w:rFonts w:hint="eastAsia"/>
          <w:i/>
        </w:rPr>
        <w:t>total</w:t>
      </w:r>
      <w:r w:rsidR="003803E0" w:rsidRPr="003803E0">
        <w:rPr>
          <w:i/>
        </w:rPr>
        <w:t xml:space="preserve"> number of </w:t>
      </w:r>
      <w:r w:rsidR="003803E0" w:rsidRPr="003803E0">
        <w:rPr>
          <w:rFonts w:hint="eastAsia"/>
          <w:i/>
        </w:rPr>
        <w:t>serving cell(s) with PDSCH transmission(s) associated with PDCCH</w:t>
      </w:r>
      <w:r w:rsidR="003803E0" w:rsidRPr="003803E0">
        <w:rPr>
          <w:i/>
        </w:rPr>
        <w:t>/EPDCCH</w:t>
      </w:r>
      <w:r w:rsidR="003803E0" w:rsidRPr="003803E0">
        <w:rPr>
          <w:rFonts w:hint="eastAsia"/>
          <w:i/>
        </w:rPr>
        <w:t xml:space="preserve">(s) and serving cell with </w:t>
      </w:r>
      <w:r w:rsidR="003803E0" w:rsidRPr="003803E0">
        <w:rPr>
          <w:i/>
        </w:rPr>
        <w:t xml:space="preserve">PDCCH/EPDCCH indicating </w:t>
      </w:r>
      <w:r w:rsidR="003803E0" w:rsidRPr="003803E0">
        <w:rPr>
          <w:rFonts w:hint="eastAsia"/>
          <w:i/>
        </w:rPr>
        <w:t>downlink</w:t>
      </w:r>
      <w:r w:rsidR="003803E0" w:rsidRPr="003803E0">
        <w:rPr>
          <w:i/>
        </w:rPr>
        <w:t xml:space="preserve"> SPS release</w:t>
      </w:r>
      <w:r w:rsidR="003803E0" w:rsidRPr="003803E0">
        <w:rPr>
          <w:rFonts w:hint="eastAsia"/>
          <w:i/>
        </w:rPr>
        <w:t>.</w:t>
      </w:r>
      <w:r w:rsidR="003803E0" w:rsidRPr="003803E0">
        <w:rPr>
          <w:i/>
        </w:rPr>
        <w:t>”</w:t>
      </w:r>
      <w:fldSimple w:instr="REF _Ref498679063 \r \h  \* MERGEFORMAT ">
        <w:r w:rsidR="001A123D">
          <w:t>[2]</w:t>
        </w:r>
      </w:fldSimple>
      <w:r w:rsidR="003803E0">
        <w:t xml:space="preserve">. </w:t>
      </w:r>
      <w:r w:rsidR="00C72FC8">
        <w:t>The counter DAI and total DAI in LTE</w:t>
      </w:r>
      <w:r w:rsidR="003803E0">
        <w:t xml:space="preserve"> is based on the situation that the DCI and PDSCH transmission is in the same subframe and PDSCH </w:t>
      </w:r>
      <w:r w:rsidR="00051AD0">
        <w:t xml:space="preserve">scheduling </w:t>
      </w:r>
      <w:r w:rsidR="003803E0">
        <w:t xml:space="preserve">is always </w:t>
      </w:r>
      <w:r w:rsidR="00051AD0">
        <w:t>based on the granularity of subframe.</w:t>
      </w:r>
    </w:p>
    <w:p w:rsidR="003803E0" w:rsidRDefault="0068570A" w:rsidP="003803E0">
      <w:pPr>
        <w:rPr>
          <w:rFonts w:cs="Arial"/>
        </w:rPr>
      </w:pPr>
      <w:r>
        <w:rPr>
          <w:rFonts w:cs="Arial" w:hint="eastAsia"/>
        </w:rPr>
        <w:t xml:space="preserve">For </w:t>
      </w:r>
      <w:r>
        <w:rPr>
          <w:rFonts w:cs="Arial"/>
        </w:rPr>
        <w:t xml:space="preserve">NR, however, </w:t>
      </w:r>
      <w:r w:rsidR="006E44E1">
        <w:rPr>
          <w:rFonts w:cs="Arial"/>
        </w:rPr>
        <w:t>t</w:t>
      </w:r>
      <w:r w:rsidR="006E44E1" w:rsidRPr="006E44E1">
        <w:rPr>
          <w:rFonts w:cs="Arial"/>
        </w:rPr>
        <w:t xml:space="preserve">iming </w:t>
      </w:r>
      <w:r w:rsidR="000D5140">
        <w:rPr>
          <w:rFonts w:cs="Arial"/>
        </w:rPr>
        <w:t xml:space="preserve">gap </w:t>
      </w:r>
      <w:r w:rsidR="006E44E1" w:rsidRPr="006E44E1">
        <w:rPr>
          <w:rFonts w:cs="Arial"/>
        </w:rPr>
        <w:t xml:space="preserve">between DL assignment and corresponding DL data transmission </w:t>
      </w:r>
      <w:r w:rsidR="000D5140">
        <w:rPr>
          <w:rFonts w:cs="Arial"/>
        </w:rPr>
        <w:t>can be</w:t>
      </w:r>
      <w:r w:rsidR="006E44E1" w:rsidRPr="006E44E1">
        <w:rPr>
          <w:rFonts w:cs="Arial"/>
        </w:rPr>
        <w:t xml:space="preserve"> indicated </w:t>
      </w:r>
      <w:r w:rsidR="006E44E1">
        <w:rPr>
          <w:rFonts w:cs="Arial"/>
        </w:rPr>
        <w:t xml:space="preserve">in the DCI. PDSCH transmission can be slot based on non-slot based. </w:t>
      </w:r>
      <w:r w:rsidR="00BE0494">
        <w:rPr>
          <w:rFonts w:cs="Arial"/>
        </w:rPr>
        <w:t>Besides, i</w:t>
      </w:r>
      <w:r w:rsidR="006E44E1">
        <w:rPr>
          <w:rFonts w:cs="Arial"/>
        </w:rPr>
        <w:t xml:space="preserve">n carrier aggregation situation in NR, </w:t>
      </w:r>
      <w:r w:rsidR="006E44E1" w:rsidRPr="006E44E1">
        <w:rPr>
          <w:rFonts w:cs="Arial"/>
        </w:rPr>
        <w:t>HARQ-ACK transmission related to multiple DL component carriers is supported for DL component carriers operating with the same and different numerology</w:t>
      </w:r>
      <w:r w:rsidR="006E44E1">
        <w:rPr>
          <w:rFonts w:cs="Arial"/>
        </w:rPr>
        <w:t xml:space="preserve">. </w:t>
      </w:r>
      <w:r w:rsidR="000D5140">
        <w:rPr>
          <w:rFonts w:cs="Arial"/>
        </w:rPr>
        <w:t>T</w:t>
      </w:r>
      <w:r>
        <w:rPr>
          <w:rFonts w:cs="Arial"/>
        </w:rPr>
        <w:t>here are special cases about the timing relationship between PDCCH and the indicated PDSCH</w:t>
      </w:r>
      <w:r w:rsidR="001A4688">
        <w:rPr>
          <w:rFonts w:cs="Arial"/>
        </w:rPr>
        <w:t xml:space="preserve"> within a HARQ window</w:t>
      </w:r>
      <w:r w:rsidR="006E44E1">
        <w:rPr>
          <w:rFonts w:cs="Arial"/>
        </w:rPr>
        <w:t xml:space="preserve">. Then </w:t>
      </w:r>
      <w:r w:rsidR="00495C41">
        <w:rPr>
          <w:rFonts w:cs="Arial"/>
        </w:rPr>
        <w:t>the t</w:t>
      </w:r>
      <w:r>
        <w:rPr>
          <w:rFonts w:cs="Arial"/>
        </w:rPr>
        <w:t xml:space="preserve">hree cases as shown in the </w:t>
      </w:r>
      <w:r w:rsidR="00936E42">
        <w:rPr>
          <w:rFonts w:cs="Arial"/>
        </w:rPr>
        <w:fldChar w:fldCharType="begin"/>
      </w:r>
      <w:r>
        <w:rPr>
          <w:rFonts w:cs="Arial"/>
        </w:rPr>
        <w:instrText xml:space="preserve"> REF _Ref498679839 \h </w:instrText>
      </w:r>
      <w:r w:rsidR="00936E42">
        <w:rPr>
          <w:rFonts w:cs="Arial"/>
        </w:rPr>
      </w:r>
      <w:r w:rsidR="00936E42">
        <w:rPr>
          <w:rFonts w:cs="Arial"/>
        </w:rPr>
        <w:fldChar w:fldCharType="separate"/>
      </w:r>
      <w:r w:rsidR="001A123D" w:rsidRPr="00507149">
        <w:t xml:space="preserve">Figure </w:t>
      </w:r>
      <w:r w:rsidR="001A123D">
        <w:rPr>
          <w:noProof/>
        </w:rPr>
        <w:t>3</w:t>
      </w:r>
      <w:r w:rsidR="00936E42">
        <w:rPr>
          <w:rFonts w:cs="Arial"/>
        </w:rPr>
        <w:fldChar w:fldCharType="end"/>
      </w:r>
      <w:r w:rsidR="00495C41">
        <w:rPr>
          <w:rFonts w:cs="Arial"/>
        </w:rPr>
        <w:t>are to be considered in NR when design the DAI.</w:t>
      </w:r>
    </w:p>
    <w:p w:rsidR="003803E0" w:rsidRDefault="009123D9" w:rsidP="000D5140">
      <w:pPr>
        <w:jc w:val="center"/>
        <w:rPr>
          <w:rFonts w:cs="Arial"/>
        </w:rPr>
      </w:pPr>
      <w:r w:rsidRPr="009123D9">
        <w:rPr>
          <w:noProof/>
        </w:rPr>
        <w:drawing>
          <wp:inline distT="0" distB="0" distL="0" distR="0">
            <wp:extent cx="5597542" cy="205438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02883" cy="2056341"/>
                    </a:xfrm>
                    <a:prstGeom prst="rect">
                      <a:avLst/>
                    </a:prstGeom>
                    <a:noFill/>
                    <a:ln>
                      <a:noFill/>
                    </a:ln>
                  </pic:spPr>
                </pic:pic>
              </a:graphicData>
            </a:graphic>
          </wp:inline>
        </w:drawing>
      </w:r>
    </w:p>
    <w:p w:rsidR="0068570A" w:rsidRPr="00507149" w:rsidRDefault="0068570A" w:rsidP="0068570A">
      <w:pPr>
        <w:pStyle w:val="a7"/>
        <w:jc w:val="center"/>
        <w:rPr>
          <w:rFonts w:ascii="Times New Roman" w:eastAsia="宋体" w:hAnsi="Times New Roman" w:cs="Times New Roman"/>
          <w:sz w:val="21"/>
        </w:rPr>
      </w:pPr>
      <w:bookmarkStart w:id="6" w:name="_Ref498679839"/>
      <w:r w:rsidRPr="00507149">
        <w:rPr>
          <w:rFonts w:ascii="Times New Roman" w:eastAsia="宋体" w:hAnsi="Times New Roman" w:cs="Times New Roman"/>
          <w:sz w:val="21"/>
        </w:rPr>
        <w:t xml:space="preserve">Figure </w:t>
      </w:r>
      <w:r w:rsidR="00936E42" w:rsidRPr="00507149">
        <w:rPr>
          <w:rFonts w:ascii="Times New Roman" w:eastAsia="宋体" w:hAnsi="Times New Roman" w:cs="Times New Roman"/>
          <w:sz w:val="21"/>
        </w:rPr>
        <w:fldChar w:fldCharType="begin"/>
      </w:r>
      <w:r w:rsidRPr="00507149">
        <w:rPr>
          <w:rFonts w:ascii="Times New Roman" w:eastAsia="宋体" w:hAnsi="Times New Roman" w:cs="Times New Roman"/>
          <w:sz w:val="21"/>
        </w:rPr>
        <w:instrText xml:space="preserve"> SEQ Figure \* ARABIC </w:instrText>
      </w:r>
      <w:r w:rsidR="00936E42" w:rsidRPr="00507149">
        <w:rPr>
          <w:rFonts w:ascii="Times New Roman" w:eastAsia="宋体" w:hAnsi="Times New Roman" w:cs="Times New Roman"/>
          <w:sz w:val="21"/>
        </w:rPr>
        <w:fldChar w:fldCharType="separate"/>
      </w:r>
      <w:r w:rsidR="001A123D">
        <w:rPr>
          <w:rFonts w:ascii="Times New Roman" w:eastAsia="宋体" w:hAnsi="Times New Roman" w:cs="Times New Roman"/>
          <w:noProof/>
          <w:sz w:val="21"/>
        </w:rPr>
        <w:t>3</w:t>
      </w:r>
      <w:r w:rsidR="00936E42" w:rsidRPr="00507149">
        <w:rPr>
          <w:rFonts w:ascii="Times New Roman" w:eastAsia="宋体" w:hAnsi="Times New Roman" w:cs="Times New Roman"/>
          <w:sz w:val="21"/>
        </w:rPr>
        <w:fldChar w:fldCharType="end"/>
      </w:r>
      <w:bookmarkEnd w:id="6"/>
      <w:r w:rsidR="00495C41" w:rsidRPr="00495C41">
        <w:rPr>
          <w:rFonts w:ascii="Times New Roman" w:eastAsia="宋体" w:hAnsi="Times New Roman" w:cs="Times New Roman"/>
          <w:sz w:val="21"/>
        </w:rPr>
        <w:t>timing relationship between PDCCH and the indicated PDSCH in NR</w:t>
      </w:r>
    </w:p>
    <w:p w:rsidR="0068570A" w:rsidRPr="0068570A" w:rsidRDefault="0068570A" w:rsidP="003803E0">
      <w:pPr>
        <w:rPr>
          <w:rFonts w:cs="Arial"/>
        </w:rPr>
      </w:pPr>
    </w:p>
    <w:p w:rsidR="008C3ABC" w:rsidRPr="00C47263" w:rsidRDefault="00044D4F" w:rsidP="00C47263">
      <w:pPr>
        <w:numPr>
          <w:ilvl w:val="0"/>
          <w:numId w:val="10"/>
        </w:numPr>
        <w:rPr>
          <w:rFonts w:cs="Arial"/>
        </w:rPr>
      </w:pPr>
      <w:r w:rsidRPr="00C47263">
        <w:rPr>
          <w:rFonts w:cs="Arial"/>
        </w:rPr>
        <w:t xml:space="preserve">Case </w:t>
      </w:r>
      <w:r w:rsidR="00C47263">
        <w:rPr>
          <w:rFonts w:cs="Arial"/>
        </w:rPr>
        <w:t>1</w:t>
      </w:r>
      <w:r w:rsidRPr="00C47263">
        <w:rPr>
          <w:rFonts w:cs="Arial"/>
        </w:rPr>
        <w:t xml:space="preserve">: </w:t>
      </w:r>
      <w:r w:rsidR="002F52CE">
        <w:rPr>
          <w:rFonts w:cs="Arial"/>
        </w:rPr>
        <w:t xml:space="preserve">As shown in </w:t>
      </w:r>
      <w:r w:rsidR="007203FB">
        <w:rPr>
          <w:rFonts w:cs="Arial"/>
        </w:rPr>
        <w:t xml:space="preserve">the </w:t>
      </w:r>
      <w:r w:rsidR="00936E42">
        <w:rPr>
          <w:rFonts w:cs="Arial"/>
        </w:rPr>
        <w:fldChar w:fldCharType="begin"/>
      </w:r>
      <w:r w:rsidR="002F52CE">
        <w:rPr>
          <w:rFonts w:cs="Arial"/>
        </w:rPr>
        <w:instrText xml:space="preserve"> REF _Ref498679839 \h </w:instrText>
      </w:r>
      <w:r w:rsidR="00936E42">
        <w:rPr>
          <w:rFonts w:cs="Arial"/>
        </w:rPr>
      </w:r>
      <w:r w:rsidR="00936E42">
        <w:rPr>
          <w:rFonts w:cs="Arial"/>
        </w:rPr>
        <w:fldChar w:fldCharType="separate"/>
      </w:r>
      <w:r w:rsidR="001A123D" w:rsidRPr="00507149">
        <w:t xml:space="preserve">Figure </w:t>
      </w:r>
      <w:r w:rsidR="001A123D">
        <w:rPr>
          <w:noProof/>
        </w:rPr>
        <w:t>3</w:t>
      </w:r>
      <w:r w:rsidR="00936E42">
        <w:rPr>
          <w:rFonts w:cs="Arial"/>
        </w:rPr>
        <w:fldChar w:fldCharType="end"/>
      </w:r>
      <w:r w:rsidR="002F52CE">
        <w:rPr>
          <w:rFonts w:cs="Arial"/>
        </w:rPr>
        <w:t xml:space="preserve"> (1), </w:t>
      </w:r>
      <w:r w:rsidRPr="00C47263">
        <w:rPr>
          <w:rFonts w:cs="Arial"/>
        </w:rPr>
        <w:t xml:space="preserve">PDSCH transmitted at different slots are </w:t>
      </w:r>
      <w:r w:rsidR="002F52CE">
        <w:rPr>
          <w:rFonts w:cs="Arial"/>
        </w:rPr>
        <w:t>scheduled by</w:t>
      </w:r>
      <w:r w:rsidR="002F52CE" w:rsidRPr="00C47263">
        <w:rPr>
          <w:rFonts w:cs="Arial"/>
        </w:rPr>
        <w:t xml:space="preserve">DCI </w:t>
      </w:r>
      <w:r w:rsidRPr="00C47263">
        <w:rPr>
          <w:rFonts w:cs="Arial"/>
        </w:rPr>
        <w:t>in the same interval</w:t>
      </w:r>
      <w:r w:rsidR="002F52CE">
        <w:rPr>
          <w:rFonts w:cs="Arial"/>
        </w:rPr>
        <w:t>.</w:t>
      </w:r>
    </w:p>
    <w:p w:rsidR="00C47263" w:rsidRPr="00C47263" w:rsidRDefault="00C47263" w:rsidP="00C47263">
      <w:pPr>
        <w:numPr>
          <w:ilvl w:val="0"/>
          <w:numId w:val="10"/>
        </w:numPr>
        <w:rPr>
          <w:rFonts w:cs="Arial"/>
        </w:rPr>
      </w:pPr>
      <w:r w:rsidRPr="00C47263">
        <w:rPr>
          <w:rFonts w:cs="Arial"/>
        </w:rPr>
        <w:t xml:space="preserve">Case </w:t>
      </w:r>
      <w:r>
        <w:rPr>
          <w:rFonts w:cs="Arial"/>
        </w:rPr>
        <w:t>2</w:t>
      </w:r>
      <w:r w:rsidRPr="00C47263">
        <w:rPr>
          <w:rFonts w:cs="Arial"/>
        </w:rPr>
        <w:t xml:space="preserve">: </w:t>
      </w:r>
      <w:r w:rsidR="008062E9">
        <w:rPr>
          <w:rFonts w:cs="Arial"/>
        </w:rPr>
        <w:t xml:space="preserve">As shown in </w:t>
      </w:r>
      <w:r w:rsidR="007203FB">
        <w:rPr>
          <w:rFonts w:cs="Arial"/>
        </w:rPr>
        <w:t xml:space="preserve">the </w:t>
      </w:r>
      <w:r w:rsidR="00936E42">
        <w:rPr>
          <w:rFonts w:cs="Arial"/>
        </w:rPr>
        <w:fldChar w:fldCharType="begin"/>
      </w:r>
      <w:r w:rsidR="008062E9">
        <w:rPr>
          <w:rFonts w:cs="Arial"/>
        </w:rPr>
        <w:instrText xml:space="preserve"> REF _Ref498679839 \h </w:instrText>
      </w:r>
      <w:r w:rsidR="00936E42">
        <w:rPr>
          <w:rFonts w:cs="Arial"/>
        </w:rPr>
      </w:r>
      <w:r w:rsidR="00936E42">
        <w:rPr>
          <w:rFonts w:cs="Arial"/>
        </w:rPr>
        <w:fldChar w:fldCharType="separate"/>
      </w:r>
      <w:r w:rsidR="001A123D" w:rsidRPr="00507149">
        <w:t xml:space="preserve">Figure </w:t>
      </w:r>
      <w:r w:rsidR="001A123D">
        <w:rPr>
          <w:noProof/>
        </w:rPr>
        <w:t>3</w:t>
      </w:r>
      <w:r w:rsidR="00936E42">
        <w:rPr>
          <w:rFonts w:cs="Arial"/>
        </w:rPr>
        <w:fldChar w:fldCharType="end"/>
      </w:r>
      <w:r w:rsidR="008062E9">
        <w:rPr>
          <w:rFonts w:cs="Arial"/>
        </w:rPr>
        <w:t xml:space="preserve"> (2), </w:t>
      </w:r>
      <w:r w:rsidR="007203FB">
        <w:rPr>
          <w:rFonts w:cs="Arial"/>
        </w:rPr>
        <w:t>e</w:t>
      </w:r>
      <w:r w:rsidRPr="00C47263">
        <w:rPr>
          <w:rFonts w:cs="Arial"/>
        </w:rPr>
        <w:t xml:space="preserve">arlier transmitted PDSCH is </w:t>
      </w:r>
      <w:r w:rsidR="002F52CE">
        <w:rPr>
          <w:rFonts w:cs="Arial"/>
        </w:rPr>
        <w:t>scheduled by later transmitted DCI</w:t>
      </w:r>
      <w:r w:rsidRPr="002F52CE">
        <w:rPr>
          <w:rFonts w:cs="Arial"/>
        </w:rPr>
        <w:t>.</w:t>
      </w:r>
    </w:p>
    <w:p w:rsidR="002F52CE" w:rsidRPr="00C47263" w:rsidRDefault="002F52CE" w:rsidP="002F52CE">
      <w:pPr>
        <w:numPr>
          <w:ilvl w:val="0"/>
          <w:numId w:val="10"/>
        </w:numPr>
        <w:rPr>
          <w:rFonts w:cs="Arial"/>
        </w:rPr>
      </w:pPr>
      <w:r>
        <w:rPr>
          <w:rFonts w:cs="Arial"/>
        </w:rPr>
        <w:t xml:space="preserve">Case 3: </w:t>
      </w:r>
      <w:r w:rsidR="008062E9">
        <w:rPr>
          <w:rFonts w:cs="Arial"/>
        </w:rPr>
        <w:t xml:space="preserve">As shown in </w:t>
      </w:r>
      <w:r w:rsidR="007203FB">
        <w:rPr>
          <w:rFonts w:cs="Arial"/>
        </w:rPr>
        <w:t xml:space="preserve">the </w:t>
      </w:r>
      <w:r w:rsidR="00936E42">
        <w:rPr>
          <w:rFonts w:cs="Arial"/>
        </w:rPr>
        <w:fldChar w:fldCharType="begin"/>
      </w:r>
      <w:r w:rsidR="008062E9">
        <w:rPr>
          <w:rFonts w:cs="Arial"/>
        </w:rPr>
        <w:instrText xml:space="preserve"> REF _Ref498679839 \h </w:instrText>
      </w:r>
      <w:r w:rsidR="00936E42">
        <w:rPr>
          <w:rFonts w:cs="Arial"/>
        </w:rPr>
      </w:r>
      <w:r w:rsidR="00936E42">
        <w:rPr>
          <w:rFonts w:cs="Arial"/>
        </w:rPr>
        <w:fldChar w:fldCharType="separate"/>
      </w:r>
      <w:r w:rsidR="001A123D" w:rsidRPr="00507149">
        <w:t xml:space="preserve">Figure </w:t>
      </w:r>
      <w:r w:rsidR="001A123D">
        <w:rPr>
          <w:noProof/>
        </w:rPr>
        <w:t>3</w:t>
      </w:r>
      <w:r w:rsidR="00936E42">
        <w:rPr>
          <w:rFonts w:cs="Arial"/>
        </w:rPr>
        <w:fldChar w:fldCharType="end"/>
      </w:r>
      <w:r w:rsidR="008062E9">
        <w:rPr>
          <w:rFonts w:cs="Arial"/>
        </w:rPr>
        <w:t xml:space="preserve"> (3), </w:t>
      </w:r>
      <w:r>
        <w:rPr>
          <w:rFonts w:cs="Arial"/>
        </w:rPr>
        <w:t xml:space="preserve">PDSCH with different numerology </w:t>
      </w:r>
      <w:r w:rsidRPr="00C47263">
        <w:rPr>
          <w:rFonts w:cs="Arial"/>
        </w:rPr>
        <w:t xml:space="preserve">are </w:t>
      </w:r>
      <w:r>
        <w:rPr>
          <w:rFonts w:cs="Arial"/>
        </w:rPr>
        <w:t>scheduled by</w:t>
      </w:r>
      <w:r w:rsidRPr="00C47263">
        <w:rPr>
          <w:rFonts w:cs="Arial"/>
        </w:rPr>
        <w:t xml:space="preserve"> DCI in the same interval</w:t>
      </w:r>
      <w:r>
        <w:rPr>
          <w:rFonts w:cs="Arial"/>
        </w:rPr>
        <w:t>.</w:t>
      </w:r>
    </w:p>
    <w:p w:rsidR="007203FB" w:rsidRDefault="007203FB" w:rsidP="003803E0">
      <w:pPr>
        <w:rPr>
          <w:rFonts w:cs="Arial"/>
        </w:rPr>
      </w:pPr>
    </w:p>
    <w:p w:rsidR="007203FB" w:rsidRPr="007203FB" w:rsidRDefault="007203FB" w:rsidP="003803E0">
      <w:pPr>
        <w:rPr>
          <w:rFonts w:cs="Arial"/>
        </w:rPr>
      </w:pPr>
      <w:r>
        <w:rPr>
          <w:rFonts w:cs="Arial" w:hint="eastAsia"/>
        </w:rPr>
        <w:t xml:space="preserve">For </w:t>
      </w:r>
      <w:r>
        <w:rPr>
          <w:rFonts w:cs="Arial"/>
        </w:rPr>
        <w:t xml:space="preserve">Case 1, the gNB schedules the UE DL data transmission in Slot #1,2,3 at the Slot #A. From the UE perspective, PDSCH in Slot #1,2,3 </w:t>
      </w:r>
      <w:r w:rsidR="00DD70DF">
        <w:rPr>
          <w:rFonts w:cs="Arial"/>
        </w:rPr>
        <w:t xml:space="preserve">are received </w:t>
      </w:r>
      <w:hyperlink r:id="rId11" w:tgtFrame="_blank" w:history="1">
        <w:r w:rsidRPr="007203FB">
          <w:rPr>
            <w:rFonts w:cs="Arial"/>
          </w:rPr>
          <w:t>successively</w:t>
        </w:r>
      </w:hyperlink>
      <w:r>
        <w:rPr>
          <w:rFonts w:cs="Arial"/>
        </w:rPr>
        <w:t xml:space="preserve">. It is possible the HARQ-ACK for PDSCH in Slot #1,2,3 is also available </w:t>
      </w:r>
      <w:hyperlink r:id="rId12" w:tgtFrame="_blank" w:history="1">
        <w:r w:rsidRPr="007203FB">
          <w:rPr>
            <w:rFonts w:cs="Arial"/>
          </w:rPr>
          <w:t>successively</w:t>
        </w:r>
      </w:hyperlink>
      <w:r>
        <w:rPr>
          <w:rFonts w:cs="Arial"/>
        </w:rPr>
        <w:t xml:space="preserve"> at the UE side. It is reasonable that the gNB would like to get the HARQ-ACK for the earlier transmitted PDSCH firstly. And then the gNB get the HARQ-ACK for the later transmitted PDSCH. Generally speaking, the order of HARQ-ACK bits in the HARQ-ACK codebook relates to the </w:t>
      </w:r>
      <w:r w:rsidR="00A95063">
        <w:rPr>
          <w:rFonts w:cs="Arial"/>
        </w:rPr>
        <w:t xml:space="preserve">value of </w:t>
      </w:r>
      <w:r>
        <w:rPr>
          <w:rFonts w:cs="Arial"/>
        </w:rPr>
        <w:t xml:space="preserve">counter DAI within the HARQ window. </w:t>
      </w:r>
      <w:r w:rsidR="00A95063">
        <w:rPr>
          <w:rFonts w:cs="Arial"/>
        </w:rPr>
        <w:t xml:space="preserve">Therefore, it is reasonable the counter DAI for Slot #1,2,3 increases in order. </w:t>
      </w:r>
    </w:p>
    <w:tbl>
      <w:tblPr>
        <w:tblW w:w="0" w:type="auto"/>
        <w:tblCellSpacing w:w="0" w:type="dxa"/>
        <w:tblCellMar>
          <w:left w:w="0" w:type="dxa"/>
          <w:right w:w="0" w:type="dxa"/>
        </w:tblCellMar>
        <w:tblLook w:val="04A0"/>
      </w:tblPr>
      <w:tblGrid>
        <w:gridCol w:w="6"/>
        <w:gridCol w:w="6"/>
      </w:tblGrid>
      <w:tr w:rsidR="007203FB" w:rsidRPr="007203FB" w:rsidTr="007203FB">
        <w:trPr>
          <w:tblCellSpacing w:w="0" w:type="dxa"/>
        </w:trPr>
        <w:tc>
          <w:tcPr>
            <w:tcW w:w="0" w:type="auto"/>
            <w:hideMark/>
          </w:tcPr>
          <w:p w:rsidR="007203FB" w:rsidRPr="007203FB" w:rsidRDefault="007203FB" w:rsidP="007203FB">
            <w:pPr>
              <w:widowControl/>
              <w:jc w:val="left"/>
              <w:rPr>
                <w:rFonts w:ascii="宋体" w:eastAsia="Times New Roman" w:hAnsi="宋体" w:cs="宋体"/>
                <w:kern w:val="0"/>
                <w:sz w:val="24"/>
                <w:szCs w:val="24"/>
              </w:rPr>
            </w:pPr>
          </w:p>
        </w:tc>
        <w:tc>
          <w:tcPr>
            <w:tcW w:w="0" w:type="auto"/>
            <w:hideMark/>
          </w:tcPr>
          <w:p w:rsidR="007203FB" w:rsidRPr="007203FB" w:rsidRDefault="007203FB" w:rsidP="007203FB">
            <w:pPr>
              <w:widowControl/>
              <w:spacing w:line="270" w:lineRule="atLeast"/>
              <w:jc w:val="left"/>
              <w:rPr>
                <w:rFonts w:ascii="Arial" w:hAnsi="Arial" w:cs="Arial"/>
                <w:color w:val="333333"/>
                <w:kern w:val="0"/>
                <w:sz w:val="18"/>
                <w:szCs w:val="18"/>
              </w:rPr>
            </w:pPr>
          </w:p>
        </w:tc>
      </w:tr>
    </w:tbl>
    <w:p w:rsidR="00A95063" w:rsidRDefault="00A95063" w:rsidP="00A95063">
      <w:pPr>
        <w:rPr>
          <w:rFonts w:cs="Arial"/>
        </w:rPr>
      </w:pPr>
      <w:r>
        <w:rPr>
          <w:rFonts w:cs="Arial" w:hint="eastAsia"/>
        </w:rPr>
        <w:lastRenderedPageBreak/>
        <w:t xml:space="preserve">For </w:t>
      </w:r>
      <w:r>
        <w:rPr>
          <w:rFonts w:cs="Arial"/>
        </w:rPr>
        <w:t>Case 2, although the UE gets HARQ-ACK for Slot #2 earlier than HARQ-ACK for Slot #3</w:t>
      </w:r>
      <w:r w:rsidR="00A72CF0">
        <w:rPr>
          <w:rFonts w:cs="Arial"/>
        </w:rPr>
        <w:t>, The counter DAI relates to Slot #2 is larger than the counter DAI relates to Slot #3 because the gNB makes decision of scheduling Slot #3 more earlier.</w:t>
      </w:r>
    </w:p>
    <w:p w:rsidR="00A72CF0" w:rsidRPr="007203FB" w:rsidRDefault="00A72CF0" w:rsidP="00A72CF0">
      <w:pPr>
        <w:rPr>
          <w:rFonts w:cs="Arial"/>
        </w:rPr>
      </w:pPr>
      <w:r>
        <w:rPr>
          <w:rFonts w:cs="Arial" w:hint="eastAsia"/>
        </w:rPr>
        <w:t xml:space="preserve">For </w:t>
      </w:r>
      <w:r>
        <w:rPr>
          <w:rFonts w:cs="Arial"/>
        </w:rPr>
        <w:t xml:space="preserve">Case 3, Slot #1,5,7 are with different numerologies. Similar as Case2, despite the gNB schedules these threes slots simultaneously, the UE would get HARQ-ACK bit for Slot #1,5,7 </w:t>
      </w:r>
      <w:hyperlink r:id="rId13" w:tgtFrame="_blank" w:history="1">
        <w:r w:rsidRPr="007203FB">
          <w:rPr>
            <w:rFonts w:cs="Arial"/>
          </w:rPr>
          <w:t>successively</w:t>
        </w:r>
      </w:hyperlink>
      <w:r>
        <w:rPr>
          <w:rFonts w:cs="Arial"/>
        </w:rPr>
        <w:t xml:space="preserve"> since the DL transmission ends at different time. Then counter DAI for Slot #1,5,7 increases in order. </w:t>
      </w:r>
    </w:p>
    <w:p w:rsidR="00A72CF0" w:rsidRDefault="00E27419" w:rsidP="003803E0">
      <w:pPr>
        <w:rPr>
          <w:rFonts w:cs="Arial"/>
        </w:rPr>
      </w:pPr>
      <w:r>
        <w:rPr>
          <w:rFonts w:cs="Arial" w:hint="eastAsia"/>
        </w:rPr>
        <w:t xml:space="preserve">In summary, counter DAI </w:t>
      </w:r>
      <w:r>
        <w:rPr>
          <w:rFonts w:cs="Arial"/>
        </w:rPr>
        <w:t>in earlier transmitted PDCCH is less than counter DAI in later transmitted PDCCH regardless of the time order when the indicated PDSCH is transmitted. When more than one PDDCH is transmitted simultaneously, the counter DAI relates to earlier ended PDSCH is less than the counter DAI relates to later ended PDSCH.</w:t>
      </w:r>
    </w:p>
    <w:p w:rsidR="00E27419" w:rsidRDefault="00CB62B1" w:rsidP="006F5324">
      <w:pPr>
        <w:spacing w:beforeLines="50" w:afterLines="50"/>
        <w:rPr>
          <w:b/>
          <w:i/>
        </w:rPr>
      </w:pPr>
      <w:r w:rsidRPr="004D64EE">
        <w:rPr>
          <w:b/>
          <w:i/>
        </w:rPr>
        <w:t>P</w:t>
      </w:r>
      <w:r w:rsidRPr="004D64EE">
        <w:rPr>
          <w:rFonts w:hint="eastAsia"/>
          <w:b/>
          <w:i/>
        </w:rPr>
        <w:t xml:space="preserve">roposal </w:t>
      </w:r>
      <w:r>
        <w:rPr>
          <w:rFonts w:hint="eastAsia"/>
          <w:b/>
          <w:i/>
        </w:rPr>
        <w:t>2</w:t>
      </w:r>
      <w:r w:rsidRPr="004D64EE">
        <w:rPr>
          <w:rFonts w:hint="eastAsia"/>
          <w:b/>
          <w:i/>
        </w:rPr>
        <w:t>:</w:t>
      </w:r>
      <w:r w:rsidR="00181A50">
        <w:rPr>
          <w:b/>
          <w:i/>
        </w:rPr>
        <w:t>The value of c</w:t>
      </w:r>
      <w:r w:rsidR="00E27419" w:rsidRPr="00E27419">
        <w:rPr>
          <w:rFonts w:hint="eastAsia"/>
          <w:b/>
          <w:i/>
        </w:rPr>
        <w:t xml:space="preserve">ounter DAI </w:t>
      </w:r>
      <w:r w:rsidR="00E27419" w:rsidRPr="00E27419">
        <w:rPr>
          <w:b/>
          <w:i/>
        </w:rPr>
        <w:t>in earlier transmitted PDCCH is less than</w:t>
      </w:r>
      <w:r w:rsidR="00181A50">
        <w:rPr>
          <w:b/>
          <w:i/>
        </w:rPr>
        <w:t>the value of</w:t>
      </w:r>
      <w:r w:rsidR="00E27419" w:rsidRPr="00E27419">
        <w:rPr>
          <w:b/>
          <w:i/>
        </w:rPr>
        <w:t xml:space="preserve"> counter DAI in later transmitted PDCCH regardless of the time order when the indicated PDSCH</w:t>
      </w:r>
      <w:r w:rsidR="00181A50">
        <w:rPr>
          <w:b/>
          <w:i/>
        </w:rPr>
        <w:t>sare</w:t>
      </w:r>
      <w:r w:rsidR="00E27419" w:rsidRPr="00E27419">
        <w:rPr>
          <w:b/>
          <w:i/>
        </w:rPr>
        <w:t xml:space="preserve"> transmitted. </w:t>
      </w:r>
    </w:p>
    <w:p w:rsidR="00CB62B1" w:rsidRPr="004D64EE" w:rsidRDefault="00E27419" w:rsidP="006F5324">
      <w:pPr>
        <w:spacing w:beforeLines="50" w:afterLines="50"/>
        <w:rPr>
          <w:b/>
          <w:i/>
        </w:rPr>
      </w:pPr>
      <w:r w:rsidRPr="004D64EE">
        <w:rPr>
          <w:b/>
          <w:i/>
        </w:rPr>
        <w:t>P</w:t>
      </w:r>
      <w:r w:rsidRPr="004D64EE">
        <w:rPr>
          <w:rFonts w:hint="eastAsia"/>
          <w:b/>
          <w:i/>
        </w:rPr>
        <w:t xml:space="preserve">roposal </w:t>
      </w:r>
      <w:r>
        <w:rPr>
          <w:b/>
          <w:i/>
        </w:rPr>
        <w:t>3</w:t>
      </w:r>
      <w:r w:rsidRPr="004D64EE">
        <w:rPr>
          <w:rFonts w:hint="eastAsia"/>
          <w:b/>
          <w:i/>
        </w:rPr>
        <w:t>:</w:t>
      </w:r>
      <w:r w:rsidRPr="00E27419">
        <w:rPr>
          <w:b/>
          <w:i/>
        </w:rPr>
        <w:t xml:space="preserve">When more than one PDDCH is transmitted simultaneously, the </w:t>
      </w:r>
      <w:r w:rsidR="00663F13">
        <w:rPr>
          <w:b/>
          <w:i/>
        </w:rPr>
        <w:t xml:space="preserve">value of </w:t>
      </w:r>
      <w:r w:rsidRPr="00E27419">
        <w:rPr>
          <w:b/>
          <w:i/>
        </w:rPr>
        <w:t xml:space="preserve">counter DAI relates to earlier ended PDSCH is less than </w:t>
      </w:r>
      <w:r w:rsidR="00663F13" w:rsidRPr="00E27419">
        <w:rPr>
          <w:b/>
          <w:i/>
        </w:rPr>
        <w:t xml:space="preserve">the </w:t>
      </w:r>
      <w:r w:rsidR="00663F13">
        <w:rPr>
          <w:b/>
          <w:i/>
        </w:rPr>
        <w:t xml:space="preserve">value of </w:t>
      </w:r>
      <w:r w:rsidRPr="00E27419">
        <w:rPr>
          <w:b/>
          <w:i/>
        </w:rPr>
        <w:t>counter DAI relates to later ended PDSCH.</w:t>
      </w:r>
    </w:p>
    <w:p w:rsidR="00CB62B1" w:rsidRDefault="00CB62B1" w:rsidP="00CB62B1"/>
    <w:p w:rsidR="00CB62B1" w:rsidRDefault="00CB62B1" w:rsidP="00CB62B1">
      <w:pPr>
        <w:pStyle w:val="1"/>
        <w:keepLines/>
        <w:pBdr>
          <w:top w:val="single" w:sz="12" w:space="3" w:color="auto"/>
        </w:pBdr>
        <w:tabs>
          <w:tab w:val="clear" w:pos="0"/>
          <w:tab w:val="left" w:pos="446"/>
          <w:tab w:val="left" w:pos="858"/>
        </w:tabs>
        <w:spacing w:before="120" w:after="120"/>
        <w:ind w:left="432" w:hanging="432"/>
        <w:rPr>
          <w:rFonts w:eastAsia="宋体"/>
          <w:sz w:val="30"/>
          <w:szCs w:val="30"/>
          <w:lang w:eastAsia="zh-CN"/>
        </w:rPr>
      </w:pPr>
      <w:r>
        <w:rPr>
          <w:rFonts w:eastAsia="宋体" w:hint="eastAsia"/>
          <w:sz w:val="30"/>
          <w:szCs w:val="30"/>
          <w:lang w:val="en-US" w:eastAsia="zh-CN"/>
        </w:rPr>
        <w:t>Conclusion</w:t>
      </w:r>
    </w:p>
    <w:p w:rsidR="00CB62B1" w:rsidRPr="001B7D9F" w:rsidRDefault="0081042C" w:rsidP="00CB62B1">
      <w:r w:rsidRPr="00B717D3">
        <w:rPr>
          <w:rFonts w:hint="eastAsia"/>
          <w:sz w:val="22"/>
        </w:rPr>
        <w:t xml:space="preserve">In this </w:t>
      </w:r>
      <w:r>
        <w:rPr>
          <w:sz w:val="22"/>
        </w:rPr>
        <w:t>contribution</w:t>
      </w:r>
      <w:r w:rsidRPr="00B717D3">
        <w:rPr>
          <w:rFonts w:hint="eastAsia"/>
          <w:sz w:val="22"/>
        </w:rPr>
        <w:t>, we</w:t>
      </w:r>
      <w:r>
        <w:rPr>
          <w:sz w:val="22"/>
        </w:rPr>
        <w:t xml:space="preserve"> discussed the remaining issues about </w:t>
      </w:r>
      <w:r w:rsidRPr="00B717D3">
        <w:rPr>
          <w:sz w:val="22"/>
        </w:rPr>
        <w:t>HARQ-ACK transmission for DL transmission in NR</w:t>
      </w:r>
      <w:r>
        <w:rPr>
          <w:sz w:val="22"/>
        </w:rPr>
        <w:t>. The following observation and proposals are reached:</w:t>
      </w:r>
    </w:p>
    <w:p w:rsidR="008A2B1F" w:rsidRPr="00CC112F" w:rsidRDefault="008A2B1F" w:rsidP="006F5324">
      <w:pPr>
        <w:spacing w:beforeLines="50" w:afterLines="50"/>
        <w:rPr>
          <w:b/>
          <w:i/>
          <w:lang w:val="en-GB"/>
        </w:rPr>
      </w:pPr>
      <w:r w:rsidRPr="004D64EE">
        <w:rPr>
          <w:b/>
          <w:i/>
        </w:rPr>
        <w:t>P</w:t>
      </w:r>
      <w:r w:rsidRPr="004D64EE">
        <w:rPr>
          <w:rFonts w:hint="eastAsia"/>
          <w:b/>
          <w:i/>
        </w:rPr>
        <w:t xml:space="preserve">roposal 1: </w:t>
      </w:r>
      <w:r>
        <w:rPr>
          <w:b/>
          <w:i/>
        </w:rPr>
        <w:t>To d</w:t>
      </w:r>
      <w:r w:rsidRPr="0005029B">
        <w:rPr>
          <w:b/>
          <w:i/>
        </w:rPr>
        <w:t xml:space="preserve">efine </w:t>
      </w:r>
      <w:r>
        <w:rPr>
          <w:b/>
          <w:i/>
          <w:lang w:val="en-GB"/>
        </w:rPr>
        <w:t>the HARQ window with</w:t>
      </w:r>
      <w:r w:rsidRPr="0005029B">
        <w:rPr>
          <w:b/>
          <w:i/>
          <w:lang w:val="en-GB"/>
        </w:rPr>
        <w:t xml:space="preserve"> the</w:t>
      </w:r>
      <w:r w:rsidRPr="00CC112F">
        <w:rPr>
          <w:b/>
          <w:i/>
          <w:lang w:val="en-GB"/>
        </w:rPr>
        <w:t xml:space="preserve"> range of actual value of the [2] bits in DCI </w:t>
      </w:r>
      <w:r>
        <w:rPr>
          <w:b/>
          <w:i/>
          <w:lang w:val="en-GB"/>
        </w:rPr>
        <w:t>which</w:t>
      </w:r>
      <w:r w:rsidRPr="00CC112F">
        <w:rPr>
          <w:b/>
          <w:i/>
          <w:lang w:val="en-GB"/>
        </w:rPr>
        <w:t xml:space="preserve"> indicat</w:t>
      </w:r>
      <w:r>
        <w:rPr>
          <w:b/>
          <w:i/>
          <w:lang w:val="en-GB"/>
        </w:rPr>
        <w:t>es</w:t>
      </w:r>
      <w:r w:rsidRPr="00CC112F">
        <w:rPr>
          <w:b/>
          <w:i/>
          <w:lang w:val="en-GB"/>
        </w:rPr>
        <w:t xml:space="preserve"> the timing between DL data t</w:t>
      </w:r>
      <w:r>
        <w:rPr>
          <w:b/>
          <w:i/>
          <w:lang w:val="en-GB"/>
        </w:rPr>
        <w:t>ransmission and acknowledgement</w:t>
      </w:r>
      <w:r w:rsidRPr="0005029B">
        <w:rPr>
          <w:b/>
          <w:i/>
          <w:lang w:val="en-GB"/>
        </w:rPr>
        <w:t>.</w:t>
      </w:r>
    </w:p>
    <w:p w:rsidR="008A2B1F" w:rsidRDefault="008A2B1F" w:rsidP="006F5324">
      <w:pPr>
        <w:spacing w:beforeLines="50" w:afterLines="50"/>
      </w:pPr>
      <w:r>
        <w:rPr>
          <w:b/>
          <w:i/>
        </w:rPr>
        <w:t>Observation</w:t>
      </w:r>
      <w:r>
        <w:rPr>
          <w:rFonts w:hint="eastAsia"/>
          <w:b/>
          <w:i/>
        </w:rPr>
        <w:t xml:space="preserve"> 1: Dynamic HARQ-ACK codebook only relates to </w:t>
      </w:r>
      <w:r>
        <w:rPr>
          <w:b/>
          <w:i/>
        </w:rPr>
        <w:t xml:space="preserve">the </w:t>
      </w:r>
      <w:r w:rsidRPr="00051AD0">
        <w:rPr>
          <w:b/>
          <w:i/>
        </w:rPr>
        <w:t>data channel</w:t>
      </w:r>
      <w:r>
        <w:rPr>
          <w:b/>
          <w:i/>
        </w:rPr>
        <w:t>s</w:t>
      </w:r>
      <w:r w:rsidRPr="00051AD0">
        <w:rPr>
          <w:b/>
          <w:i/>
        </w:rPr>
        <w:t xml:space="preserve"> whose corresponding DCI indicates the feedback is exactly</w:t>
      </w:r>
      <w:r>
        <w:rPr>
          <w:b/>
          <w:i/>
        </w:rPr>
        <w:t xml:space="preserve"> in</w:t>
      </w:r>
      <w:r w:rsidRPr="00051AD0">
        <w:rPr>
          <w:b/>
          <w:i/>
        </w:rPr>
        <w:t xml:space="preserve"> this uplink channel.</w:t>
      </w:r>
    </w:p>
    <w:p w:rsidR="008A2B1F" w:rsidRDefault="008A2B1F" w:rsidP="006F5324">
      <w:pPr>
        <w:spacing w:beforeLines="50" w:afterLines="50"/>
        <w:rPr>
          <w:b/>
          <w:i/>
        </w:rPr>
      </w:pPr>
      <w:r w:rsidRPr="004D64EE">
        <w:rPr>
          <w:b/>
          <w:i/>
        </w:rPr>
        <w:t>P</w:t>
      </w:r>
      <w:r w:rsidRPr="004D64EE">
        <w:rPr>
          <w:rFonts w:hint="eastAsia"/>
          <w:b/>
          <w:i/>
        </w:rPr>
        <w:t xml:space="preserve">roposal </w:t>
      </w:r>
      <w:r>
        <w:rPr>
          <w:rFonts w:hint="eastAsia"/>
          <w:b/>
          <w:i/>
        </w:rPr>
        <w:t>2</w:t>
      </w:r>
      <w:r w:rsidRPr="004D64EE">
        <w:rPr>
          <w:rFonts w:hint="eastAsia"/>
          <w:b/>
          <w:i/>
        </w:rPr>
        <w:t>:</w:t>
      </w:r>
      <w:r>
        <w:rPr>
          <w:b/>
          <w:i/>
        </w:rPr>
        <w:t>The value of c</w:t>
      </w:r>
      <w:r w:rsidRPr="00E27419">
        <w:rPr>
          <w:rFonts w:hint="eastAsia"/>
          <w:b/>
          <w:i/>
        </w:rPr>
        <w:t xml:space="preserve">ounter DAI </w:t>
      </w:r>
      <w:r w:rsidRPr="00E27419">
        <w:rPr>
          <w:b/>
          <w:i/>
        </w:rPr>
        <w:t>in earlier transmitted PDCCH is less than</w:t>
      </w:r>
      <w:r>
        <w:rPr>
          <w:b/>
          <w:i/>
        </w:rPr>
        <w:t>the value of</w:t>
      </w:r>
      <w:r w:rsidRPr="00E27419">
        <w:rPr>
          <w:b/>
          <w:i/>
        </w:rPr>
        <w:t xml:space="preserve"> counter DAI in later transmitted PDCCH regardless of the time order when the indicated PDSCH</w:t>
      </w:r>
      <w:r>
        <w:rPr>
          <w:b/>
          <w:i/>
        </w:rPr>
        <w:t>sare</w:t>
      </w:r>
      <w:r w:rsidRPr="00E27419">
        <w:rPr>
          <w:b/>
          <w:i/>
        </w:rPr>
        <w:t xml:space="preserve"> transmitted. </w:t>
      </w:r>
    </w:p>
    <w:p w:rsidR="008A2B1F" w:rsidRPr="004D64EE" w:rsidRDefault="008A2B1F" w:rsidP="006F5324">
      <w:pPr>
        <w:spacing w:beforeLines="50" w:afterLines="50"/>
        <w:rPr>
          <w:b/>
          <w:i/>
        </w:rPr>
      </w:pPr>
      <w:r w:rsidRPr="004D64EE">
        <w:rPr>
          <w:b/>
          <w:i/>
        </w:rPr>
        <w:t>P</w:t>
      </w:r>
      <w:r w:rsidRPr="004D64EE">
        <w:rPr>
          <w:rFonts w:hint="eastAsia"/>
          <w:b/>
          <w:i/>
        </w:rPr>
        <w:t xml:space="preserve">roposal </w:t>
      </w:r>
      <w:r>
        <w:rPr>
          <w:b/>
          <w:i/>
        </w:rPr>
        <w:t>3</w:t>
      </w:r>
      <w:r w:rsidRPr="004D64EE">
        <w:rPr>
          <w:rFonts w:hint="eastAsia"/>
          <w:b/>
          <w:i/>
        </w:rPr>
        <w:t>:</w:t>
      </w:r>
      <w:r w:rsidRPr="00E27419">
        <w:rPr>
          <w:b/>
          <w:i/>
        </w:rPr>
        <w:t xml:space="preserve">When more than one PDDCH is transmitted simultaneously, the </w:t>
      </w:r>
      <w:r>
        <w:rPr>
          <w:b/>
          <w:i/>
        </w:rPr>
        <w:t xml:space="preserve">value of </w:t>
      </w:r>
      <w:r w:rsidRPr="00E27419">
        <w:rPr>
          <w:b/>
          <w:i/>
        </w:rPr>
        <w:t xml:space="preserve">counter DAI relates to earlier ended PDSCH is less than the </w:t>
      </w:r>
      <w:r>
        <w:rPr>
          <w:b/>
          <w:i/>
        </w:rPr>
        <w:t xml:space="preserve">value of </w:t>
      </w:r>
      <w:r w:rsidRPr="00E27419">
        <w:rPr>
          <w:b/>
          <w:i/>
        </w:rPr>
        <w:t>counter DAI relates to later ended PDSCH.</w:t>
      </w:r>
    </w:p>
    <w:p w:rsidR="00CB62B1" w:rsidRDefault="00CB62B1" w:rsidP="00CB62B1">
      <w:pPr>
        <w:pStyle w:val="1"/>
        <w:keepLines/>
        <w:numPr>
          <w:ilvl w:val="0"/>
          <w:numId w:val="0"/>
        </w:numPr>
        <w:pBdr>
          <w:top w:val="single" w:sz="12" w:space="3" w:color="auto"/>
        </w:pBdr>
        <w:tabs>
          <w:tab w:val="clear" w:pos="0"/>
          <w:tab w:val="left" w:pos="858"/>
        </w:tabs>
        <w:spacing w:before="120" w:after="120"/>
        <w:ind w:left="425" w:hanging="425"/>
        <w:rPr>
          <w:rFonts w:eastAsia="宋体"/>
          <w:sz w:val="30"/>
          <w:szCs w:val="30"/>
          <w:lang w:eastAsia="zh-CN"/>
        </w:rPr>
      </w:pPr>
      <w:bookmarkStart w:id="7" w:name="_GoBack"/>
      <w:bookmarkEnd w:id="7"/>
      <w:r>
        <w:rPr>
          <w:rFonts w:eastAsia="宋体" w:hint="eastAsia"/>
          <w:sz w:val="30"/>
          <w:szCs w:val="30"/>
          <w:lang w:eastAsia="zh-CN"/>
        </w:rPr>
        <w:t>Reference</w:t>
      </w:r>
    </w:p>
    <w:p w:rsidR="00CB62B1" w:rsidRDefault="009F4D00" w:rsidP="009F4D00">
      <w:pPr>
        <w:pStyle w:val="a6"/>
        <w:numPr>
          <w:ilvl w:val="0"/>
          <w:numId w:val="3"/>
        </w:numPr>
        <w:ind w:firstLineChars="0"/>
        <w:rPr>
          <w:sz w:val="20"/>
          <w:lang w:val="en-GB"/>
        </w:rPr>
      </w:pPr>
      <w:bookmarkStart w:id="8" w:name="_Ref498543007"/>
      <w:r w:rsidRPr="009F4D00">
        <w:rPr>
          <w:sz w:val="20"/>
          <w:lang w:val="en-GB"/>
        </w:rPr>
        <w:t>“</w:t>
      </w:r>
      <w:r w:rsidRPr="009F4D00">
        <w:rPr>
          <w:sz w:val="20"/>
        </w:rPr>
        <w:t>RAN1 Chairman’s Notes</w:t>
      </w:r>
      <w:r w:rsidRPr="009F4D00">
        <w:rPr>
          <w:sz w:val="20"/>
          <w:lang w:val="en-GB"/>
        </w:rPr>
        <w:t>”, 3GPP TSG RAN WG1 Meeting 90bis.</w:t>
      </w:r>
      <w:bookmarkEnd w:id="8"/>
    </w:p>
    <w:p w:rsidR="003803E0" w:rsidRPr="009F4D00" w:rsidRDefault="003803E0" w:rsidP="009F4D00">
      <w:pPr>
        <w:pStyle w:val="a6"/>
        <w:numPr>
          <w:ilvl w:val="0"/>
          <w:numId w:val="3"/>
        </w:numPr>
        <w:ind w:firstLineChars="0"/>
        <w:rPr>
          <w:sz w:val="20"/>
          <w:lang w:val="en-GB"/>
        </w:rPr>
      </w:pPr>
      <w:bookmarkStart w:id="9" w:name="_Ref498679063"/>
      <w:r w:rsidRPr="003803E0">
        <w:rPr>
          <w:sz w:val="20"/>
          <w:lang w:val="en-GB"/>
        </w:rPr>
        <w:t>3GPP TS 36.213 V14.</w:t>
      </w:r>
      <w:r>
        <w:rPr>
          <w:sz w:val="20"/>
          <w:lang w:val="en-GB"/>
        </w:rPr>
        <w:t>4</w:t>
      </w:r>
      <w:r w:rsidRPr="003803E0">
        <w:rPr>
          <w:sz w:val="20"/>
          <w:lang w:val="en-GB"/>
        </w:rPr>
        <w:t>.0, “Physical layer procedures”</w:t>
      </w:r>
      <w:bookmarkEnd w:id="9"/>
    </w:p>
    <w:p w:rsidR="00D109CF" w:rsidRPr="009F4D00" w:rsidRDefault="00D109CF">
      <w:pPr>
        <w:rPr>
          <w:lang w:val="en-GB"/>
        </w:rPr>
      </w:pPr>
    </w:p>
    <w:sectPr w:rsidR="00D109CF" w:rsidRPr="009F4D00" w:rsidSect="00CB62B1">
      <w:footerReference w:type="even" r:id="rId14"/>
      <w:pgSz w:w="11906" w:h="16838"/>
      <w:pgMar w:top="1418" w:right="849" w:bottom="1418"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78E7" w:rsidRDefault="001B78E7" w:rsidP="00CB62B1">
      <w:r>
        <w:separator/>
      </w:r>
    </w:p>
  </w:endnote>
  <w:endnote w:type="continuationSeparator" w:id="1">
    <w:p w:rsidR="001B78E7" w:rsidRDefault="001B78E7" w:rsidP="00CB62B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37A6" w:rsidRDefault="00936E42">
    <w:pPr>
      <w:pStyle w:val="a4"/>
      <w:framePr w:h="0" w:wrap="around" w:vAnchor="text" w:hAnchor="margin" w:xAlign="right" w:y="1"/>
      <w:rPr>
        <w:rStyle w:val="a5"/>
      </w:rPr>
    </w:pPr>
    <w:r>
      <w:fldChar w:fldCharType="begin"/>
    </w:r>
    <w:r w:rsidR="00EB4F1A">
      <w:rPr>
        <w:rStyle w:val="a5"/>
      </w:rPr>
      <w:instrText xml:space="preserve">PAGE  </w:instrText>
    </w:r>
    <w:r>
      <w:fldChar w:fldCharType="end"/>
    </w:r>
  </w:p>
  <w:p w:rsidR="00AC37A6" w:rsidRDefault="001B78E7">
    <w:pPr>
      <w:pStyle w:val="a4"/>
      <w:ind w:right="360"/>
    </w:pPr>
  </w:p>
  <w:p w:rsidR="00AC37A6" w:rsidRDefault="001B78E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78E7" w:rsidRDefault="001B78E7" w:rsidP="00CB62B1">
      <w:r>
        <w:separator/>
      </w:r>
    </w:p>
  </w:footnote>
  <w:footnote w:type="continuationSeparator" w:id="1">
    <w:p w:rsidR="001B78E7" w:rsidRDefault="001B78E7" w:rsidP="00CB62B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D"/>
    <w:multiLevelType w:val="multilevel"/>
    <w:tmpl w:val="0000000D"/>
    <w:lvl w:ilvl="0">
      <w:start w:val="1"/>
      <w:numFmt w:val="decimal"/>
      <w:pStyle w:val="1"/>
      <w:lvlText w:val="%1."/>
      <w:lvlJc w:val="left"/>
      <w:pPr>
        <w:tabs>
          <w:tab w:val="num" w:pos="567"/>
        </w:tabs>
        <w:ind w:left="567"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nsid w:val="37416AD8"/>
    <w:multiLevelType w:val="hybridMultilevel"/>
    <w:tmpl w:val="49DCE838"/>
    <w:lvl w:ilvl="0" w:tplc="69E0271A">
      <w:start w:val="1"/>
      <w:numFmt w:val="bullet"/>
      <w:lvlText w:val="•"/>
      <w:lvlJc w:val="left"/>
      <w:pPr>
        <w:tabs>
          <w:tab w:val="num" w:pos="720"/>
        </w:tabs>
        <w:ind w:left="720" w:hanging="360"/>
      </w:pPr>
      <w:rPr>
        <w:rFonts w:ascii="Arial" w:hAnsi="Arial" w:hint="default"/>
      </w:rPr>
    </w:lvl>
    <w:lvl w:ilvl="1" w:tplc="5CDAAC96" w:tentative="1">
      <w:start w:val="1"/>
      <w:numFmt w:val="bullet"/>
      <w:lvlText w:val="•"/>
      <w:lvlJc w:val="left"/>
      <w:pPr>
        <w:tabs>
          <w:tab w:val="num" w:pos="1440"/>
        </w:tabs>
        <w:ind w:left="1440" w:hanging="360"/>
      </w:pPr>
      <w:rPr>
        <w:rFonts w:ascii="Arial" w:hAnsi="Arial" w:hint="default"/>
      </w:rPr>
    </w:lvl>
    <w:lvl w:ilvl="2" w:tplc="96467FD4">
      <w:start w:val="1"/>
      <w:numFmt w:val="bullet"/>
      <w:lvlText w:val="•"/>
      <w:lvlJc w:val="left"/>
      <w:pPr>
        <w:tabs>
          <w:tab w:val="num" w:pos="2160"/>
        </w:tabs>
        <w:ind w:left="2160" w:hanging="360"/>
      </w:pPr>
      <w:rPr>
        <w:rFonts w:ascii="Arial" w:hAnsi="Arial" w:hint="default"/>
      </w:rPr>
    </w:lvl>
    <w:lvl w:ilvl="3" w:tplc="52E22AFA">
      <w:numFmt w:val="bullet"/>
      <w:lvlText w:val="•"/>
      <w:lvlJc w:val="left"/>
      <w:pPr>
        <w:tabs>
          <w:tab w:val="num" w:pos="2880"/>
        </w:tabs>
        <w:ind w:left="2880" w:hanging="360"/>
      </w:pPr>
      <w:rPr>
        <w:rFonts w:ascii="Arial" w:hAnsi="Arial" w:hint="default"/>
      </w:rPr>
    </w:lvl>
    <w:lvl w:ilvl="4" w:tplc="1FE60FBC" w:tentative="1">
      <w:start w:val="1"/>
      <w:numFmt w:val="bullet"/>
      <w:lvlText w:val="•"/>
      <w:lvlJc w:val="left"/>
      <w:pPr>
        <w:tabs>
          <w:tab w:val="num" w:pos="3600"/>
        </w:tabs>
        <w:ind w:left="3600" w:hanging="360"/>
      </w:pPr>
      <w:rPr>
        <w:rFonts w:ascii="Arial" w:hAnsi="Arial" w:hint="default"/>
      </w:rPr>
    </w:lvl>
    <w:lvl w:ilvl="5" w:tplc="FD9868AC" w:tentative="1">
      <w:start w:val="1"/>
      <w:numFmt w:val="bullet"/>
      <w:lvlText w:val="•"/>
      <w:lvlJc w:val="left"/>
      <w:pPr>
        <w:tabs>
          <w:tab w:val="num" w:pos="4320"/>
        </w:tabs>
        <w:ind w:left="4320" w:hanging="360"/>
      </w:pPr>
      <w:rPr>
        <w:rFonts w:ascii="Arial" w:hAnsi="Arial" w:hint="default"/>
      </w:rPr>
    </w:lvl>
    <w:lvl w:ilvl="6" w:tplc="15E07FB0" w:tentative="1">
      <w:start w:val="1"/>
      <w:numFmt w:val="bullet"/>
      <w:lvlText w:val="•"/>
      <w:lvlJc w:val="left"/>
      <w:pPr>
        <w:tabs>
          <w:tab w:val="num" w:pos="5040"/>
        </w:tabs>
        <w:ind w:left="5040" w:hanging="360"/>
      </w:pPr>
      <w:rPr>
        <w:rFonts w:ascii="Arial" w:hAnsi="Arial" w:hint="default"/>
      </w:rPr>
    </w:lvl>
    <w:lvl w:ilvl="7" w:tplc="2154D9B4" w:tentative="1">
      <w:start w:val="1"/>
      <w:numFmt w:val="bullet"/>
      <w:lvlText w:val="•"/>
      <w:lvlJc w:val="left"/>
      <w:pPr>
        <w:tabs>
          <w:tab w:val="num" w:pos="5760"/>
        </w:tabs>
        <w:ind w:left="5760" w:hanging="360"/>
      </w:pPr>
      <w:rPr>
        <w:rFonts w:ascii="Arial" w:hAnsi="Arial" w:hint="default"/>
      </w:rPr>
    </w:lvl>
    <w:lvl w:ilvl="8" w:tplc="4C90A330" w:tentative="1">
      <w:start w:val="1"/>
      <w:numFmt w:val="bullet"/>
      <w:lvlText w:val="•"/>
      <w:lvlJc w:val="left"/>
      <w:pPr>
        <w:tabs>
          <w:tab w:val="num" w:pos="6480"/>
        </w:tabs>
        <w:ind w:left="6480" w:hanging="360"/>
      </w:pPr>
      <w:rPr>
        <w:rFonts w:ascii="Arial" w:hAnsi="Arial" w:hint="default"/>
      </w:rPr>
    </w:lvl>
  </w:abstractNum>
  <w:abstractNum w:abstractNumId="2">
    <w:nsid w:val="4C2F5F43"/>
    <w:multiLevelType w:val="hybridMultilevel"/>
    <w:tmpl w:val="A6E4E6AC"/>
    <w:lvl w:ilvl="0" w:tplc="EF58A224">
      <w:start w:val="1"/>
      <w:numFmt w:val="bullet"/>
      <w:lvlText w:val="•"/>
      <w:lvlJc w:val="left"/>
      <w:pPr>
        <w:tabs>
          <w:tab w:val="num" w:pos="720"/>
        </w:tabs>
        <w:ind w:left="720" w:hanging="360"/>
      </w:pPr>
      <w:rPr>
        <w:rFonts w:ascii="Arial" w:hAnsi="Arial" w:hint="default"/>
      </w:rPr>
    </w:lvl>
    <w:lvl w:ilvl="1" w:tplc="ABE4CA72">
      <w:numFmt w:val="bullet"/>
      <w:lvlText w:val="–"/>
      <w:lvlJc w:val="left"/>
      <w:pPr>
        <w:tabs>
          <w:tab w:val="num" w:pos="1440"/>
        </w:tabs>
        <w:ind w:left="1440" w:hanging="360"/>
      </w:pPr>
      <w:rPr>
        <w:rFonts w:ascii="Arial" w:hAnsi="Arial" w:hint="default"/>
      </w:rPr>
    </w:lvl>
    <w:lvl w:ilvl="2" w:tplc="EA380266">
      <w:numFmt w:val="bullet"/>
      <w:lvlText w:val="•"/>
      <w:lvlJc w:val="left"/>
      <w:pPr>
        <w:tabs>
          <w:tab w:val="num" w:pos="2160"/>
        </w:tabs>
        <w:ind w:left="2160" w:hanging="360"/>
      </w:pPr>
      <w:rPr>
        <w:rFonts w:ascii="Arial" w:hAnsi="Arial" w:hint="default"/>
      </w:rPr>
    </w:lvl>
    <w:lvl w:ilvl="3" w:tplc="3FBC7380">
      <w:start w:val="1"/>
      <w:numFmt w:val="bullet"/>
      <w:lvlText w:val="•"/>
      <w:lvlJc w:val="left"/>
      <w:pPr>
        <w:tabs>
          <w:tab w:val="num" w:pos="2880"/>
        </w:tabs>
        <w:ind w:left="2880" w:hanging="360"/>
      </w:pPr>
      <w:rPr>
        <w:rFonts w:ascii="Arial" w:hAnsi="Arial" w:hint="default"/>
      </w:rPr>
    </w:lvl>
    <w:lvl w:ilvl="4" w:tplc="680649F0">
      <w:start w:val="1"/>
      <w:numFmt w:val="bullet"/>
      <w:lvlText w:val="•"/>
      <w:lvlJc w:val="left"/>
      <w:pPr>
        <w:tabs>
          <w:tab w:val="num" w:pos="3600"/>
        </w:tabs>
        <w:ind w:left="3600" w:hanging="360"/>
      </w:pPr>
      <w:rPr>
        <w:rFonts w:ascii="Arial" w:hAnsi="Arial" w:hint="default"/>
      </w:rPr>
    </w:lvl>
    <w:lvl w:ilvl="5" w:tplc="02247EA4" w:tentative="1">
      <w:start w:val="1"/>
      <w:numFmt w:val="bullet"/>
      <w:lvlText w:val="•"/>
      <w:lvlJc w:val="left"/>
      <w:pPr>
        <w:tabs>
          <w:tab w:val="num" w:pos="4320"/>
        </w:tabs>
        <w:ind w:left="4320" w:hanging="360"/>
      </w:pPr>
      <w:rPr>
        <w:rFonts w:ascii="Arial" w:hAnsi="Arial" w:hint="default"/>
      </w:rPr>
    </w:lvl>
    <w:lvl w:ilvl="6" w:tplc="CBAAE454" w:tentative="1">
      <w:start w:val="1"/>
      <w:numFmt w:val="bullet"/>
      <w:lvlText w:val="•"/>
      <w:lvlJc w:val="left"/>
      <w:pPr>
        <w:tabs>
          <w:tab w:val="num" w:pos="5040"/>
        </w:tabs>
        <w:ind w:left="5040" w:hanging="360"/>
      </w:pPr>
      <w:rPr>
        <w:rFonts w:ascii="Arial" w:hAnsi="Arial" w:hint="default"/>
      </w:rPr>
    </w:lvl>
    <w:lvl w:ilvl="7" w:tplc="F2EE3976" w:tentative="1">
      <w:start w:val="1"/>
      <w:numFmt w:val="bullet"/>
      <w:lvlText w:val="•"/>
      <w:lvlJc w:val="left"/>
      <w:pPr>
        <w:tabs>
          <w:tab w:val="num" w:pos="5760"/>
        </w:tabs>
        <w:ind w:left="5760" w:hanging="360"/>
      </w:pPr>
      <w:rPr>
        <w:rFonts w:ascii="Arial" w:hAnsi="Arial" w:hint="default"/>
      </w:rPr>
    </w:lvl>
    <w:lvl w:ilvl="8" w:tplc="B9266294" w:tentative="1">
      <w:start w:val="1"/>
      <w:numFmt w:val="bullet"/>
      <w:lvlText w:val="•"/>
      <w:lvlJc w:val="left"/>
      <w:pPr>
        <w:tabs>
          <w:tab w:val="num" w:pos="6480"/>
        </w:tabs>
        <w:ind w:left="6480" w:hanging="360"/>
      </w:pPr>
      <w:rPr>
        <w:rFonts w:ascii="Arial" w:hAnsi="Arial" w:hint="default"/>
      </w:rPr>
    </w:lvl>
  </w:abstractNum>
  <w:abstractNum w:abstractNumId="3">
    <w:nsid w:val="4CAE7FA6"/>
    <w:multiLevelType w:val="hybridMultilevel"/>
    <w:tmpl w:val="BF88469A"/>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5">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6">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7">
    <w:nsid w:val="75B73D40"/>
    <w:multiLevelType w:val="hybridMultilevel"/>
    <w:tmpl w:val="1C4AB5CC"/>
    <w:lvl w:ilvl="0" w:tplc="0AD843EE">
      <w:start w:val="1"/>
      <w:numFmt w:val="bullet"/>
      <w:lvlText w:val="•"/>
      <w:lvlJc w:val="left"/>
      <w:pPr>
        <w:tabs>
          <w:tab w:val="num" w:pos="360"/>
        </w:tabs>
        <w:ind w:left="360" w:hanging="360"/>
      </w:pPr>
      <w:rPr>
        <w:rFonts w:ascii="Arial" w:hAnsi="Arial" w:hint="default"/>
      </w:rPr>
    </w:lvl>
    <w:lvl w:ilvl="1" w:tplc="67488EBA">
      <w:start w:val="1"/>
      <w:numFmt w:val="bullet"/>
      <w:lvlText w:val="•"/>
      <w:lvlJc w:val="left"/>
      <w:pPr>
        <w:tabs>
          <w:tab w:val="num" w:pos="1080"/>
        </w:tabs>
        <w:ind w:left="1080" w:hanging="360"/>
      </w:pPr>
      <w:rPr>
        <w:rFonts w:ascii="Arial" w:hAnsi="Arial" w:hint="default"/>
      </w:rPr>
    </w:lvl>
    <w:lvl w:ilvl="2" w:tplc="F3709A88">
      <w:start w:val="1"/>
      <w:numFmt w:val="bullet"/>
      <w:lvlText w:val="•"/>
      <w:lvlJc w:val="left"/>
      <w:pPr>
        <w:tabs>
          <w:tab w:val="num" w:pos="1800"/>
        </w:tabs>
        <w:ind w:left="1800" w:hanging="360"/>
      </w:pPr>
      <w:rPr>
        <w:rFonts w:ascii="Arial" w:hAnsi="Arial" w:hint="default"/>
      </w:rPr>
    </w:lvl>
    <w:lvl w:ilvl="3" w:tplc="D36C5582" w:tentative="1">
      <w:start w:val="1"/>
      <w:numFmt w:val="bullet"/>
      <w:lvlText w:val="•"/>
      <w:lvlJc w:val="left"/>
      <w:pPr>
        <w:tabs>
          <w:tab w:val="num" w:pos="2520"/>
        </w:tabs>
        <w:ind w:left="2520" w:hanging="360"/>
      </w:pPr>
      <w:rPr>
        <w:rFonts w:ascii="Arial" w:hAnsi="Arial" w:hint="default"/>
      </w:rPr>
    </w:lvl>
    <w:lvl w:ilvl="4" w:tplc="F7FACA0A" w:tentative="1">
      <w:start w:val="1"/>
      <w:numFmt w:val="bullet"/>
      <w:lvlText w:val="•"/>
      <w:lvlJc w:val="left"/>
      <w:pPr>
        <w:tabs>
          <w:tab w:val="num" w:pos="3240"/>
        </w:tabs>
        <w:ind w:left="3240" w:hanging="360"/>
      </w:pPr>
      <w:rPr>
        <w:rFonts w:ascii="Arial" w:hAnsi="Arial" w:hint="default"/>
      </w:rPr>
    </w:lvl>
    <w:lvl w:ilvl="5" w:tplc="76228000" w:tentative="1">
      <w:start w:val="1"/>
      <w:numFmt w:val="bullet"/>
      <w:lvlText w:val="•"/>
      <w:lvlJc w:val="left"/>
      <w:pPr>
        <w:tabs>
          <w:tab w:val="num" w:pos="3960"/>
        </w:tabs>
        <w:ind w:left="3960" w:hanging="360"/>
      </w:pPr>
      <w:rPr>
        <w:rFonts w:ascii="Arial" w:hAnsi="Arial" w:hint="default"/>
      </w:rPr>
    </w:lvl>
    <w:lvl w:ilvl="6" w:tplc="05469106" w:tentative="1">
      <w:start w:val="1"/>
      <w:numFmt w:val="bullet"/>
      <w:lvlText w:val="•"/>
      <w:lvlJc w:val="left"/>
      <w:pPr>
        <w:tabs>
          <w:tab w:val="num" w:pos="4680"/>
        </w:tabs>
        <w:ind w:left="4680" w:hanging="360"/>
      </w:pPr>
      <w:rPr>
        <w:rFonts w:ascii="Arial" w:hAnsi="Arial" w:hint="default"/>
      </w:rPr>
    </w:lvl>
    <w:lvl w:ilvl="7" w:tplc="307C5224" w:tentative="1">
      <w:start w:val="1"/>
      <w:numFmt w:val="bullet"/>
      <w:lvlText w:val="•"/>
      <w:lvlJc w:val="left"/>
      <w:pPr>
        <w:tabs>
          <w:tab w:val="num" w:pos="5400"/>
        </w:tabs>
        <w:ind w:left="5400" w:hanging="360"/>
      </w:pPr>
      <w:rPr>
        <w:rFonts w:ascii="Arial" w:hAnsi="Arial" w:hint="default"/>
      </w:rPr>
    </w:lvl>
    <w:lvl w:ilvl="8" w:tplc="A19425E8" w:tentative="1">
      <w:start w:val="1"/>
      <w:numFmt w:val="bullet"/>
      <w:lvlText w:val="•"/>
      <w:lvlJc w:val="left"/>
      <w:pPr>
        <w:tabs>
          <w:tab w:val="num" w:pos="6120"/>
        </w:tabs>
        <w:ind w:left="6120" w:hanging="360"/>
      </w:pPr>
      <w:rPr>
        <w:rFonts w:ascii="Arial" w:hAnsi="Arial" w:hint="default"/>
      </w:rPr>
    </w:lvl>
  </w:abstractNum>
  <w:abstractNum w:abstractNumId="8">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8"/>
  </w:num>
  <w:num w:numId="4">
    <w:abstractNumId w:val="6"/>
  </w:num>
  <w:num w:numId="5">
    <w:abstractNumId w:val="5"/>
  </w:num>
  <w:num w:numId="6">
    <w:abstractNumId w:val="2"/>
  </w:num>
  <w:num w:numId="7">
    <w:abstractNumId w:val="0"/>
  </w:num>
  <w:num w:numId="8">
    <w:abstractNumId w:val="3"/>
  </w:num>
  <w:num w:numId="9">
    <w:abstractNumId w:val="1"/>
  </w:num>
  <w:num w:numId="10">
    <w:abstractNumId w:val="7"/>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1"/>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2372E"/>
    <w:rsid w:val="00044D4F"/>
    <w:rsid w:val="0005029B"/>
    <w:rsid w:val="00051AD0"/>
    <w:rsid w:val="0007313F"/>
    <w:rsid w:val="000D5140"/>
    <w:rsid w:val="000E1BB4"/>
    <w:rsid w:val="00181A50"/>
    <w:rsid w:val="001A123D"/>
    <w:rsid w:val="001A4688"/>
    <w:rsid w:val="001B78E7"/>
    <w:rsid w:val="001C0109"/>
    <w:rsid w:val="001F1A18"/>
    <w:rsid w:val="002C5CDC"/>
    <w:rsid w:val="002F52CE"/>
    <w:rsid w:val="003803E0"/>
    <w:rsid w:val="00394470"/>
    <w:rsid w:val="003A573B"/>
    <w:rsid w:val="003F09B6"/>
    <w:rsid w:val="003F797E"/>
    <w:rsid w:val="00410993"/>
    <w:rsid w:val="0042735D"/>
    <w:rsid w:val="00495C41"/>
    <w:rsid w:val="004D0DAB"/>
    <w:rsid w:val="00507149"/>
    <w:rsid w:val="00557EF6"/>
    <w:rsid w:val="005822A5"/>
    <w:rsid w:val="00591577"/>
    <w:rsid w:val="006053B8"/>
    <w:rsid w:val="00620630"/>
    <w:rsid w:val="00663F13"/>
    <w:rsid w:val="0068570A"/>
    <w:rsid w:val="00695E58"/>
    <w:rsid w:val="006B25E4"/>
    <w:rsid w:val="006E44E1"/>
    <w:rsid w:val="006F5324"/>
    <w:rsid w:val="006F79BC"/>
    <w:rsid w:val="007108AC"/>
    <w:rsid w:val="007203FB"/>
    <w:rsid w:val="00742D41"/>
    <w:rsid w:val="00771485"/>
    <w:rsid w:val="00776A87"/>
    <w:rsid w:val="007860E8"/>
    <w:rsid w:val="007C3579"/>
    <w:rsid w:val="007F312A"/>
    <w:rsid w:val="00800F60"/>
    <w:rsid w:val="008062E9"/>
    <w:rsid w:val="0081042C"/>
    <w:rsid w:val="008A2B1F"/>
    <w:rsid w:val="008A4180"/>
    <w:rsid w:val="008C3ABC"/>
    <w:rsid w:val="009123D9"/>
    <w:rsid w:val="00936E42"/>
    <w:rsid w:val="00986262"/>
    <w:rsid w:val="00992D88"/>
    <w:rsid w:val="009F4BA0"/>
    <w:rsid w:val="009F4D00"/>
    <w:rsid w:val="00A1108A"/>
    <w:rsid w:val="00A62BF0"/>
    <w:rsid w:val="00A72CF0"/>
    <w:rsid w:val="00A95063"/>
    <w:rsid w:val="00AA2C62"/>
    <w:rsid w:val="00B717D3"/>
    <w:rsid w:val="00B84F7F"/>
    <w:rsid w:val="00BE0494"/>
    <w:rsid w:val="00BF5A99"/>
    <w:rsid w:val="00C00635"/>
    <w:rsid w:val="00C47263"/>
    <w:rsid w:val="00C72FC8"/>
    <w:rsid w:val="00CB62B1"/>
    <w:rsid w:val="00CC112F"/>
    <w:rsid w:val="00D109CF"/>
    <w:rsid w:val="00DD70DF"/>
    <w:rsid w:val="00DE7B88"/>
    <w:rsid w:val="00E143B5"/>
    <w:rsid w:val="00E2372E"/>
    <w:rsid w:val="00E27419"/>
    <w:rsid w:val="00E91AC9"/>
    <w:rsid w:val="00EB4F1A"/>
    <w:rsid w:val="00EC18E2"/>
    <w:rsid w:val="00F024D0"/>
    <w:rsid w:val="00F31327"/>
    <w:rsid w:val="00F533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62B1"/>
    <w:pPr>
      <w:widowControl w:val="0"/>
      <w:jc w:val="both"/>
    </w:pPr>
    <w:rPr>
      <w:rFonts w:ascii="Times New Roman" w:eastAsia="宋体" w:hAnsi="Times New Roman" w:cs="Times New Roman"/>
      <w:szCs w:val="20"/>
    </w:rPr>
  </w:style>
  <w:style w:type="paragraph" w:styleId="1">
    <w:name w:val="heading 1"/>
    <w:basedOn w:val="a"/>
    <w:next w:val="a"/>
    <w:link w:val="1Char"/>
    <w:qFormat/>
    <w:rsid w:val="00CB62B1"/>
    <w:pPr>
      <w:keepNext/>
      <w:widowControl/>
      <w:numPr>
        <w:numId w:val="1"/>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basedOn w:val="a"/>
    <w:next w:val="a"/>
    <w:link w:val="2Char"/>
    <w:uiPriority w:val="9"/>
    <w:unhideWhenUsed/>
    <w:qFormat/>
    <w:rsid w:val="00CB62B1"/>
    <w:pPr>
      <w:keepNext/>
      <w:keepLines/>
      <w:spacing w:before="260" w:after="260" w:line="416" w:lineRule="auto"/>
      <w:outlineLvl w:val="1"/>
    </w:pPr>
    <w:rPr>
      <w:rFonts w:ascii="Cambria" w:hAnsi="Cambria"/>
      <w:b/>
      <w:bCs/>
      <w:sz w:val="32"/>
      <w:szCs w:val="32"/>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CB62B1"/>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CB62B1"/>
    <w:rPr>
      <w:sz w:val="18"/>
      <w:szCs w:val="18"/>
    </w:rPr>
  </w:style>
  <w:style w:type="paragraph" w:styleId="a4">
    <w:name w:val="footer"/>
    <w:basedOn w:val="a"/>
    <w:link w:val="Char0"/>
    <w:unhideWhenUsed/>
    <w:rsid w:val="00CB62B1"/>
    <w:pPr>
      <w:tabs>
        <w:tab w:val="center" w:pos="4153"/>
        <w:tab w:val="right" w:pos="8306"/>
      </w:tabs>
      <w:snapToGrid w:val="0"/>
      <w:jc w:val="left"/>
    </w:pPr>
    <w:rPr>
      <w:sz w:val="18"/>
      <w:szCs w:val="18"/>
    </w:rPr>
  </w:style>
  <w:style w:type="character" w:customStyle="1" w:styleId="Char0">
    <w:name w:val="页脚 Char"/>
    <w:basedOn w:val="a0"/>
    <w:link w:val="a4"/>
    <w:rsid w:val="00CB62B1"/>
    <w:rPr>
      <w:sz w:val="18"/>
      <w:szCs w:val="18"/>
    </w:rPr>
  </w:style>
  <w:style w:type="character" w:customStyle="1" w:styleId="1Char">
    <w:name w:val="标题 1 Char"/>
    <w:basedOn w:val="a0"/>
    <w:link w:val="1"/>
    <w:rsid w:val="00CB62B1"/>
    <w:rPr>
      <w:rFonts w:ascii="Arial" w:eastAsia="MS Gothic" w:hAnsi="Arial" w:cs="Times New Roman"/>
      <w:bCs/>
      <w:kern w:val="28"/>
      <w:sz w:val="28"/>
      <w:szCs w:val="24"/>
      <w:lang w:val="en-GB" w:eastAsia="ja-JP"/>
    </w:rPr>
  </w:style>
  <w:style w:type="character" w:customStyle="1" w:styleId="2Char">
    <w:name w:val="标题 2 Char"/>
    <w:basedOn w:val="a0"/>
    <w:link w:val="2"/>
    <w:uiPriority w:val="9"/>
    <w:rsid w:val="00CB62B1"/>
    <w:rPr>
      <w:rFonts w:ascii="Cambria" w:eastAsia="宋体" w:hAnsi="Cambria" w:cs="Times New Roman"/>
      <w:b/>
      <w:bCs/>
      <w:sz w:val="32"/>
      <w:szCs w:val="32"/>
      <w:lang/>
    </w:rPr>
  </w:style>
  <w:style w:type="character" w:styleId="a5">
    <w:name w:val="page number"/>
    <w:basedOn w:val="a0"/>
    <w:rsid w:val="00CB62B1"/>
  </w:style>
  <w:style w:type="paragraph" w:styleId="a6">
    <w:name w:val="List Paragraph"/>
    <w:aliases w:val="- Bullets,목록 단락"/>
    <w:basedOn w:val="a"/>
    <w:link w:val="Char1"/>
    <w:uiPriority w:val="34"/>
    <w:qFormat/>
    <w:rsid w:val="00986262"/>
    <w:pPr>
      <w:ind w:firstLineChars="200" w:firstLine="420"/>
    </w:pPr>
  </w:style>
  <w:style w:type="paragraph" w:customStyle="1" w:styleId="TdocHeader2">
    <w:name w:val="Tdoc_Header_2"/>
    <w:basedOn w:val="a"/>
    <w:rsid w:val="009F4D00"/>
    <w:pPr>
      <w:tabs>
        <w:tab w:val="left" w:pos="1701"/>
        <w:tab w:val="right" w:pos="9072"/>
        <w:tab w:val="right" w:pos="10206"/>
      </w:tabs>
      <w:ind w:left="720" w:hanging="720"/>
    </w:pPr>
    <w:rPr>
      <w:rFonts w:ascii="Arial" w:eastAsia="Batang" w:hAnsi="Arial"/>
      <w:b/>
      <w:kern w:val="0"/>
      <w:sz w:val="18"/>
      <w:lang w:val="en-GB" w:eastAsia="en-US"/>
    </w:rPr>
  </w:style>
  <w:style w:type="character" w:customStyle="1" w:styleId="Char1">
    <w:name w:val="列出段落 Char"/>
    <w:aliases w:val="- Bullets Char,목록 단락 Char"/>
    <w:link w:val="a6"/>
    <w:uiPriority w:val="34"/>
    <w:qFormat/>
    <w:rsid w:val="00F31327"/>
    <w:rPr>
      <w:rFonts w:ascii="Times New Roman" w:eastAsia="宋体" w:hAnsi="Times New Roman" w:cs="Times New Roman"/>
      <w:szCs w:val="20"/>
    </w:rPr>
  </w:style>
  <w:style w:type="paragraph" w:styleId="a7">
    <w:name w:val="caption"/>
    <w:basedOn w:val="a"/>
    <w:next w:val="a"/>
    <w:uiPriority w:val="35"/>
    <w:unhideWhenUsed/>
    <w:qFormat/>
    <w:rsid w:val="005822A5"/>
    <w:rPr>
      <w:rFonts w:asciiTheme="majorHAnsi" w:eastAsia="黑体" w:hAnsiTheme="majorHAnsi" w:cstheme="majorBidi"/>
      <w:sz w:val="20"/>
    </w:rPr>
  </w:style>
  <w:style w:type="paragraph" w:styleId="a8">
    <w:name w:val="Normal (Web)"/>
    <w:basedOn w:val="a"/>
    <w:uiPriority w:val="99"/>
    <w:semiHidden/>
    <w:unhideWhenUsed/>
    <w:rsid w:val="0005029B"/>
    <w:pPr>
      <w:widowControl/>
      <w:spacing w:before="100" w:beforeAutospacing="1" w:after="100" w:afterAutospacing="1"/>
      <w:jc w:val="left"/>
    </w:pPr>
    <w:rPr>
      <w:rFonts w:ascii="宋体" w:hAnsi="宋体" w:cs="宋体"/>
      <w:kern w:val="0"/>
      <w:sz w:val="24"/>
      <w:szCs w:val="24"/>
    </w:rPr>
  </w:style>
  <w:style w:type="paragraph" w:customStyle="1" w:styleId="ZT">
    <w:name w:val="ZT"/>
    <w:rsid w:val="003803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character" w:customStyle="1" w:styleId="opdicttext22">
    <w:name w:val="op_dict_text22"/>
    <w:basedOn w:val="a0"/>
    <w:rsid w:val="007203FB"/>
  </w:style>
</w:styles>
</file>

<file path=word/webSettings.xml><?xml version="1.0" encoding="utf-8"?>
<w:webSettings xmlns:r="http://schemas.openxmlformats.org/officeDocument/2006/relationships" xmlns:w="http://schemas.openxmlformats.org/wordprocessingml/2006/main">
  <w:divs>
    <w:div w:id="463041229">
      <w:bodyDiv w:val="1"/>
      <w:marLeft w:val="0"/>
      <w:marRight w:val="0"/>
      <w:marTop w:val="0"/>
      <w:marBottom w:val="0"/>
      <w:divBdr>
        <w:top w:val="none" w:sz="0" w:space="0" w:color="auto"/>
        <w:left w:val="none" w:sz="0" w:space="0" w:color="auto"/>
        <w:bottom w:val="none" w:sz="0" w:space="0" w:color="auto"/>
        <w:right w:val="none" w:sz="0" w:space="0" w:color="auto"/>
      </w:divBdr>
    </w:div>
    <w:div w:id="675613282">
      <w:bodyDiv w:val="1"/>
      <w:marLeft w:val="0"/>
      <w:marRight w:val="0"/>
      <w:marTop w:val="0"/>
      <w:marBottom w:val="0"/>
      <w:divBdr>
        <w:top w:val="none" w:sz="0" w:space="0" w:color="auto"/>
        <w:left w:val="none" w:sz="0" w:space="0" w:color="auto"/>
        <w:bottom w:val="none" w:sz="0" w:space="0" w:color="auto"/>
        <w:right w:val="none" w:sz="0" w:space="0" w:color="auto"/>
      </w:divBdr>
    </w:div>
    <w:div w:id="860969065">
      <w:bodyDiv w:val="1"/>
      <w:marLeft w:val="0"/>
      <w:marRight w:val="0"/>
      <w:marTop w:val="0"/>
      <w:marBottom w:val="0"/>
      <w:divBdr>
        <w:top w:val="none" w:sz="0" w:space="0" w:color="auto"/>
        <w:left w:val="none" w:sz="0" w:space="0" w:color="auto"/>
        <w:bottom w:val="none" w:sz="0" w:space="0" w:color="auto"/>
        <w:right w:val="none" w:sz="0" w:space="0" w:color="auto"/>
      </w:divBdr>
    </w:div>
    <w:div w:id="1177310126">
      <w:bodyDiv w:val="1"/>
      <w:marLeft w:val="0"/>
      <w:marRight w:val="0"/>
      <w:marTop w:val="0"/>
      <w:marBottom w:val="0"/>
      <w:divBdr>
        <w:top w:val="none" w:sz="0" w:space="0" w:color="auto"/>
        <w:left w:val="none" w:sz="0" w:space="0" w:color="auto"/>
        <w:bottom w:val="none" w:sz="0" w:space="0" w:color="auto"/>
        <w:right w:val="none" w:sz="0" w:space="0" w:color="auto"/>
      </w:divBdr>
      <w:divsChild>
        <w:div w:id="88432600">
          <w:marLeft w:val="1800"/>
          <w:marRight w:val="0"/>
          <w:marTop w:val="100"/>
          <w:marBottom w:val="0"/>
          <w:divBdr>
            <w:top w:val="none" w:sz="0" w:space="0" w:color="auto"/>
            <w:left w:val="none" w:sz="0" w:space="0" w:color="auto"/>
            <w:bottom w:val="none" w:sz="0" w:space="0" w:color="auto"/>
            <w:right w:val="none" w:sz="0" w:space="0" w:color="auto"/>
          </w:divBdr>
        </w:div>
        <w:div w:id="2053769782">
          <w:marLeft w:val="2520"/>
          <w:marRight w:val="0"/>
          <w:marTop w:val="100"/>
          <w:marBottom w:val="0"/>
          <w:divBdr>
            <w:top w:val="none" w:sz="0" w:space="0" w:color="auto"/>
            <w:left w:val="none" w:sz="0" w:space="0" w:color="auto"/>
            <w:bottom w:val="none" w:sz="0" w:space="0" w:color="auto"/>
            <w:right w:val="none" w:sz="0" w:space="0" w:color="auto"/>
          </w:divBdr>
        </w:div>
      </w:divsChild>
    </w:div>
    <w:div w:id="1546986962">
      <w:bodyDiv w:val="1"/>
      <w:marLeft w:val="0"/>
      <w:marRight w:val="0"/>
      <w:marTop w:val="0"/>
      <w:marBottom w:val="0"/>
      <w:divBdr>
        <w:top w:val="none" w:sz="0" w:space="0" w:color="auto"/>
        <w:left w:val="none" w:sz="0" w:space="0" w:color="auto"/>
        <w:bottom w:val="none" w:sz="0" w:space="0" w:color="auto"/>
        <w:right w:val="none" w:sz="0" w:space="0" w:color="auto"/>
      </w:divBdr>
      <w:divsChild>
        <w:div w:id="1462918965">
          <w:marLeft w:val="2117"/>
          <w:marRight w:val="0"/>
          <w:marTop w:val="100"/>
          <w:marBottom w:val="0"/>
          <w:divBdr>
            <w:top w:val="none" w:sz="0" w:space="0" w:color="auto"/>
            <w:left w:val="none" w:sz="0" w:space="0" w:color="auto"/>
            <w:bottom w:val="none" w:sz="0" w:space="0" w:color="auto"/>
            <w:right w:val="none" w:sz="0" w:space="0" w:color="auto"/>
          </w:divBdr>
        </w:div>
        <w:div w:id="726226042">
          <w:marLeft w:val="2117"/>
          <w:marRight w:val="0"/>
          <w:marTop w:val="100"/>
          <w:marBottom w:val="0"/>
          <w:divBdr>
            <w:top w:val="none" w:sz="0" w:space="0" w:color="auto"/>
            <w:left w:val="none" w:sz="0" w:space="0" w:color="auto"/>
            <w:bottom w:val="none" w:sz="0" w:space="0" w:color="auto"/>
            <w:right w:val="none" w:sz="0" w:space="0" w:color="auto"/>
          </w:divBdr>
        </w:div>
        <w:div w:id="2107186774">
          <w:marLeft w:val="2117"/>
          <w:marRight w:val="0"/>
          <w:marTop w:val="100"/>
          <w:marBottom w:val="0"/>
          <w:divBdr>
            <w:top w:val="none" w:sz="0" w:space="0" w:color="auto"/>
            <w:left w:val="none" w:sz="0" w:space="0" w:color="auto"/>
            <w:bottom w:val="none" w:sz="0" w:space="0" w:color="auto"/>
            <w:right w:val="none" w:sz="0" w:space="0" w:color="auto"/>
          </w:divBdr>
        </w:div>
      </w:divsChild>
    </w:div>
    <w:div w:id="1587180619">
      <w:bodyDiv w:val="1"/>
      <w:marLeft w:val="0"/>
      <w:marRight w:val="0"/>
      <w:marTop w:val="0"/>
      <w:marBottom w:val="0"/>
      <w:divBdr>
        <w:top w:val="none" w:sz="0" w:space="0" w:color="auto"/>
        <w:left w:val="none" w:sz="0" w:space="0" w:color="auto"/>
        <w:bottom w:val="none" w:sz="0" w:space="0" w:color="auto"/>
        <w:right w:val="none" w:sz="0" w:space="0" w:color="auto"/>
      </w:divBdr>
    </w:div>
    <w:div w:id="1648388894">
      <w:bodyDiv w:val="1"/>
      <w:marLeft w:val="0"/>
      <w:marRight w:val="0"/>
      <w:marTop w:val="0"/>
      <w:marBottom w:val="0"/>
      <w:divBdr>
        <w:top w:val="none" w:sz="0" w:space="0" w:color="auto"/>
        <w:left w:val="none" w:sz="0" w:space="0" w:color="auto"/>
        <w:bottom w:val="none" w:sz="0" w:space="0" w:color="auto"/>
        <w:right w:val="none" w:sz="0" w:space="0" w:color="auto"/>
      </w:divBdr>
      <w:divsChild>
        <w:div w:id="610091022">
          <w:marLeft w:val="0"/>
          <w:marRight w:val="0"/>
          <w:marTop w:val="0"/>
          <w:marBottom w:val="0"/>
          <w:divBdr>
            <w:top w:val="none" w:sz="0" w:space="0" w:color="auto"/>
            <w:left w:val="none" w:sz="0" w:space="0" w:color="auto"/>
            <w:bottom w:val="none" w:sz="0" w:space="0" w:color="auto"/>
            <w:right w:val="none" w:sz="0" w:space="0" w:color="auto"/>
          </w:divBdr>
          <w:divsChild>
            <w:div w:id="1146514534">
              <w:marLeft w:val="0"/>
              <w:marRight w:val="0"/>
              <w:marTop w:val="0"/>
              <w:marBottom w:val="0"/>
              <w:divBdr>
                <w:top w:val="none" w:sz="0" w:space="0" w:color="auto"/>
                <w:left w:val="none" w:sz="0" w:space="0" w:color="auto"/>
                <w:bottom w:val="none" w:sz="0" w:space="0" w:color="auto"/>
                <w:right w:val="none" w:sz="0" w:space="0" w:color="auto"/>
              </w:divBdr>
              <w:divsChild>
                <w:div w:id="785080986">
                  <w:marLeft w:val="0"/>
                  <w:marRight w:val="0"/>
                  <w:marTop w:val="0"/>
                  <w:marBottom w:val="0"/>
                  <w:divBdr>
                    <w:top w:val="none" w:sz="0" w:space="0" w:color="auto"/>
                    <w:left w:val="none" w:sz="0" w:space="0" w:color="auto"/>
                    <w:bottom w:val="none" w:sz="0" w:space="0" w:color="auto"/>
                    <w:right w:val="none" w:sz="0" w:space="0" w:color="auto"/>
                  </w:divBdr>
                  <w:divsChild>
                    <w:div w:id="1863278076">
                      <w:marLeft w:val="0"/>
                      <w:marRight w:val="0"/>
                      <w:marTop w:val="0"/>
                      <w:marBottom w:val="0"/>
                      <w:divBdr>
                        <w:top w:val="none" w:sz="0" w:space="0" w:color="auto"/>
                        <w:left w:val="none" w:sz="0" w:space="0" w:color="auto"/>
                        <w:bottom w:val="none" w:sz="0" w:space="0" w:color="auto"/>
                        <w:right w:val="none" w:sz="0" w:space="0" w:color="auto"/>
                      </w:divBdr>
                      <w:divsChild>
                        <w:div w:id="99377398">
                          <w:marLeft w:val="0"/>
                          <w:marRight w:val="0"/>
                          <w:marTop w:val="0"/>
                          <w:marBottom w:val="210"/>
                          <w:divBdr>
                            <w:top w:val="none" w:sz="0" w:space="0" w:color="auto"/>
                            <w:left w:val="none" w:sz="0" w:space="0" w:color="auto"/>
                            <w:bottom w:val="none" w:sz="0" w:space="0" w:color="auto"/>
                            <w:right w:val="none" w:sz="0" w:space="0" w:color="auto"/>
                          </w:divBdr>
                          <w:divsChild>
                            <w:div w:id="254900436">
                              <w:marLeft w:val="0"/>
                              <w:marRight w:val="0"/>
                              <w:marTop w:val="0"/>
                              <w:marBottom w:val="0"/>
                              <w:divBdr>
                                <w:top w:val="single" w:sz="6" w:space="7" w:color="E3E3E3"/>
                                <w:left w:val="single" w:sz="6" w:space="7" w:color="E3E3E3"/>
                                <w:bottom w:val="single" w:sz="6" w:space="7" w:color="E0E0E0"/>
                                <w:right w:val="single" w:sz="6" w:space="7" w:color="ECECEC"/>
                              </w:divBdr>
                              <w:divsChild>
                                <w:div w:id="790124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baidu.com/link?url=_SNM-2GGxqqUw1mVrwv1NnmxG9LPtjiRKrjNssjHVklKb77EjZ7QjfGXgRB4BSoqDvgUeUcBkm67sztnX0jWYr5G1gHvRgQxsZj2kZS1fM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aidu.com/link?url=_SNM-2GGxqqUw1mVrwv1NnmxG9LPtjiRKrjNssjHVklKb77EjZ7QjfGXgRB4BSoqDvgUeUcBkm67sztnX0jWYr5G1gHvRgQxsZj2kZS1fM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aidu.com/link?url=_SNM-2GGxqqUw1mVrwv1NnmxG9LPtjiRKrjNssjHVklKb77EjZ7QjfGXgRB4BSoqDvgUeUcBkm67sztnX0jWYr5G1gHvRgQxsZj2kZS1fM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46926-6E1B-431B-8764-9A103D476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1511</Words>
  <Characters>8619</Characters>
  <Application>Microsoft Office Word</Application>
  <DocSecurity>0</DocSecurity>
  <Lines>71</Lines>
  <Paragraphs>20</Paragraphs>
  <ScaleCrop>false</ScaleCrop>
  <Company/>
  <LinksUpToDate>false</LinksUpToDate>
  <CharactersWithSpaces>10110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yzy</dc:creator>
  <cp:lastModifiedBy>Lenovo</cp:lastModifiedBy>
  <cp:revision>2</cp:revision>
  <dcterms:created xsi:type="dcterms:W3CDTF">2017-11-17T06:27:00Z</dcterms:created>
  <dcterms:modified xsi:type="dcterms:W3CDTF">2017-11-17T06:27:00Z</dcterms:modified>
</cp:coreProperties>
</file>