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F91C4" w14:textId="18BE0238" w:rsidR="00BB143C" w:rsidRPr="000A64D8" w:rsidRDefault="00155279" w:rsidP="00C23201">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NR #91</w:t>
      </w:r>
      <w:r w:rsidR="00BB143C" w:rsidRPr="000A64D8">
        <w:rPr>
          <w:rFonts w:ascii="Arial" w:hAnsi="Arial" w:cs="Arial"/>
          <w:b/>
          <w:sz w:val="24"/>
          <w:szCs w:val="24"/>
        </w:rPr>
        <w:tab/>
      </w:r>
      <w:r w:rsidR="00972018">
        <w:rPr>
          <w:rFonts w:ascii="Arial" w:hAnsi="Arial" w:cs="Arial"/>
          <w:b/>
          <w:sz w:val="24"/>
          <w:szCs w:val="24"/>
        </w:rPr>
        <w:t>R1-17</w:t>
      </w:r>
      <w:r w:rsidR="000855A6">
        <w:rPr>
          <w:rFonts w:ascii="Arial" w:hAnsi="Arial" w:cs="Arial"/>
          <w:b/>
          <w:sz w:val="24"/>
          <w:szCs w:val="24"/>
        </w:rPr>
        <w:t>20667</w:t>
      </w:r>
    </w:p>
    <w:p w14:paraId="343800CB" w14:textId="239203CA" w:rsidR="00BB143C" w:rsidRPr="00FD021C" w:rsidRDefault="00155279" w:rsidP="00C23201">
      <w:pPr>
        <w:tabs>
          <w:tab w:val="right" w:pos="9630"/>
        </w:tabs>
        <w:spacing w:after="0"/>
        <w:jc w:val="both"/>
        <w:rPr>
          <w:rFonts w:ascii="Arial" w:hAnsi="Arial" w:cs="Arial"/>
          <w:b/>
          <w:sz w:val="24"/>
          <w:szCs w:val="24"/>
        </w:rPr>
      </w:pPr>
      <w:r>
        <w:rPr>
          <w:rFonts w:ascii="Arial" w:hAnsi="Arial" w:cs="Arial"/>
          <w:b/>
          <w:sz w:val="24"/>
          <w:szCs w:val="24"/>
        </w:rPr>
        <w:t>November</w:t>
      </w:r>
      <w:r w:rsidR="00B02EBA">
        <w:rPr>
          <w:rFonts w:ascii="Arial" w:hAnsi="Arial" w:cs="Arial"/>
          <w:b/>
          <w:sz w:val="24"/>
          <w:szCs w:val="24"/>
        </w:rPr>
        <w:t xml:space="preserve"> </w:t>
      </w:r>
      <w:r>
        <w:rPr>
          <w:rFonts w:ascii="Arial" w:hAnsi="Arial" w:cs="Arial"/>
          <w:b/>
          <w:sz w:val="24"/>
          <w:szCs w:val="24"/>
        </w:rPr>
        <w:t>27</w:t>
      </w:r>
      <w:r w:rsidR="00BB143C">
        <w:rPr>
          <w:rFonts w:ascii="Arial" w:hAnsi="Arial" w:cs="Arial"/>
          <w:b/>
          <w:sz w:val="24"/>
          <w:szCs w:val="24"/>
          <w:vertAlign w:val="superscript"/>
        </w:rPr>
        <w:t>th</w:t>
      </w:r>
      <w:r w:rsidR="00B02EBA">
        <w:rPr>
          <w:rFonts w:ascii="Arial" w:hAnsi="Arial" w:cs="Arial"/>
          <w:b/>
          <w:sz w:val="24"/>
          <w:szCs w:val="24"/>
        </w:rPr>
        <w:t xml:space="preserve"> – </w:t>
      </w:r>
      <w:r>
        <w:rPr>
          <w:rFonts w:ascii="Arial" w:hAnsi="Arial" w:cs="Arial"/>
          <w:b/>
          <w:sz w:val="24"/>
          <w:szCs w:val="24"/>
        </w:rPr>
        <w:t xml:space="preserve">December </w:t>
      </w:r>
      <w:r w:rsidR="00B02EBA">
        <w:rPr>
          <w:rFonts w:ascii="Arial" w:hAnsi="Arial" w:cs="Arial"/>
          <w:b/>
          <w:sz w:val="24"/>
          <w:szCs w:val="24"/>
        </w:rPr>
        <w:t>1</w:t>
      </w:r>
      <w:r w:rsidRPr="00155279">
        <w:rPr>
          <w:rFonts w:ascii="Arial" w:hAnsi="Arial" w:cs="Arial"/>
          <w:b/>
          <w:sz w:val="24"/>
          <w:szCs w:val="24"/>
          <w:vertAlign w:val="superscript"/>
        </w:rPr>
        <w:t>st</w:t>
      </w:r>
      <w:r w:rsidR="00BB143C" w:rsidRPr="00CC0D62">
        <w:rPr>
          <w:rFonts w:ascii="Arial" w:hAnsi="Arial" w:cs="Arial"/>
          <w:b/>
          <w:sz w:val="24"/>
          <w:szCs w:val="24"/>
        </w:rPr>
        <w:t>, 2017</w:t>
      </w:r>
    </w:p>
    <w:p w14:paraId="6383377F" w14:textId="50CC888B" w:rsidR="00BB143C" w:rsidRPr="00C338D8" w:rsidRDefault="00DD031F" w:rsidP="00C23201">
      <w:pPr>
        <w:spacing w:after="0"/>
        <w:jc w:val="both"/>
        <w:rPr>
          <w:rFonts w:cs="Arial"/>
          <w:sz w:val="24"/>
          <w:szCs w:val="24"/>
        </w:rPr>
      </w:pPr>
      <w:r>
        <w:rPr>
          <w:rFonts w:ascii="Arial" w:hAnsi="Arial" w:cs="Arial"/>
          <w:b/>
          <w:sz w:val="24"/>
          <w:szCs w:val="24"/>
        </w:rPr>
        <w:t>Reno</w:t>
      </w:r>
      <w:r w:rsidR="00B02EBA">
        <w:rPr>
          <w:rFonts w:ascii="Arial" w:hAnsi="Arial" w:cs="Arial"/>
          <w:b/>
          <w:sz w:val="24"/>
          <w:szCs w:val="24"/>
        </w:rPr>
        <w:t xml:space="preserve">, </w:t>
      </w:r>
      <w:r>
        <w:rPr>
          <w:rFonts w:ascii="Arial" w:hAnsi="Arial" w:cs="Arial"/>
          <w:b/>
          <w:sz w:val="24"/>
          <w:szCs w:val="24"/>
        </w:rPr>
        <w:t>Nevada, USA</w:t>
      </w:r>
    </w:p>
    <w:p w14:paraId="2384BBF7" w14:textId="77777777" w:rsidR="00AD6E06" w:rsidRPr="00823910" w:rsidRDefault="00AD6E06" w:rsidP="00C23201">
      <w:pPr>
        <w:pStyle w:val="Footer"/>
        <w:jc w:val="both"/>
        <w:rPr>
          <w:noProof w:val="0"/>
        </w:rPr>
      </w:pPr>
    </w:p>
    <w:p w14:paraId="362BCA9F" w14:textId="7A250F30" w:rsidR="00AD6E06" w:rsidRPr="00823910" w:rsidRDefault="00AD6E06" w:rsidP="00C23201">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992EF7">
        <w:rPr>
          <w:rFonts w:ascii="Arial" w:hAnsi="Arial"/>
          <w:sz w:val="24"/>
        </w:rPr>
        <w:t>7</w:t>
      </w:r>
      <w:r w:rsidR="00BB143C">
        <w:rPr>
          <w:rFonts w:ascii="Arial" w:hAnsi="Arial"/>
          <w:sz w:val="24"/>
        </w:rPr>
        <w:t>.</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C23201">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558FA541" w:rsidR="00AD6E06" w:rsidRPr="00823910" w:rsidRDefault="00AD6E06" w:rsidP="00C23201">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00155279">
        <w:rPr>
          <w:rFonts w:ascii="Arial" w:hAnsi="Arial"/>
          <w:sz w:val="24"/>
        </w:rPr>
        <w:t>Remaining details on CSI-RS</w:t>
      </w:r>
    </w:p>
    <w:p w14:paraId="3B70252E" w14:textId="77777777" w:rsidR="00AD6E06" w:rsidRPr="00823910" w:rsidRDefault="00AD6E06" w:rsidP="00C23201">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19EEE701" w:rsidR="00C34C05" w:rsidRDefault="00FD6A3D" w:rsidP="00C23201">
      <w:pPr>
        <w:pStyle w:val="Heading1"/>
        <w:jc w:val="both"/>
      </w:pPr>
      <w:r w:rsidRPr="00823910">
        <w:t>Introduction</w:t>
      </w:r>
    </w:p>
    <w:p w14:paraId="7D20E2A8" w14:textId="1627F822" w:rsidR="00C41594" w:rsidRPr="00C41594" w:rsidRDefault="00F7569A" w:rsidP="00C23201">
      <w:pPr>
        <w:jc w:val="both"/>
        <w:rPr>
          <w:lang w:val="en-GB"/>
        </w:rPr>
      </w:pPr>
      <w:r>
        <w:rPr>
          <w:lang w:val="en-GB"/>
        </w:rPr>
        <w:t xml:space="preserve">In this contribution, we discuss </w:t>
      </w:r>
      <w:r w:rsidR="00821B54">
        <w:rPr>
          <w:lang w:val="en-GB"/>
        </w:rPr>
        <w:t>remaining</w:t>
      </w:r>
      <w:r>
        <w:rPr>
          <w:lang w:val="en-GB"/>
        </w:rPr>
        <w:t xml:space="preserve"> issues</w:t>
      </w:r>
      <w:r w:rsidR="00821B54">
        <w:rPr>
          <w:lang w:val="en-GB"/>
        </w:rPr>
        <w:t xml:space="preserve"> on CSI-RS design</w:t>
      </w:r>
      <w:r>
        <w:rPr>
          <w:lang w:val="en-GB"/>
        </w:rPr>
        <w:t>.</w:t>
      </w:r>
      <w:r w:rsidR="00821B54">
        <w:rPr>
          <w:lang w:val="en-GB"/>
        </w:rPr>
        <w:t xml:space="preserve"> The following discussion will cover additional CSI-RS symbol locations, QCL assumption within a CSI-RS resource and CSI-RS density and transmission bandwidth.</w:t>
      </w:r>
    </w:p>
    <w:p w14:paraId="08E42608" w14:textId="76E805E2" w:rsidR="00B02EBA" w:rsidRDefault="00E3066B" w:rsidP="00C23201">
      <w:pPr>
        <w:pStyle w:val="Heading1"/>
        <w:jc w:val="both"/>
      </w:pPr>
      <w:r w:rsidRPr="00823910">
        <w:t>Discussion</w:t>
      </w:r>
    </w:p>
    <w:p w14:paraId="5328052A" w14:textId="4254D21D" w:rsidR="00B02EBA" w:rsidRDefault="00B02EBA" w:rsidP="00C23201">
      <w:pPr>
        <w:pStyle w:val="Heading2"/>
        <w:jc w:val="both"/>
      </w:pPr>
      <w:r>
        <w:t xml:space="preserve">CSI-RS </w:t>
      </w:r>
      <w:r w:rsidR="003171D1">
        <w:t xml:space="preserve">Symbol </w:t>
      </w:r>
      <w:r>
        <w:t>locations</w:t>
      </w:r>
    </w:p>
    <w:p w14:paraId="4072213E" w14:textId="05A44FCA" w:rsidR="00E42926" w:rsidRDefault="00E42926" w:rsidP="00C23201">
      <w:pPr>
        <w:spacing w:before="120" w:after="120"/>
        <w:jc w:val="both"/>
        <w:rPr>
          <w:lang w:val="en-GB"/>
        </w:rPr>
      </w:pPr>
      <w:r>
        <w:rPr>
          <w:lang w:val="en-GB"/>
        </w:rPr>
        <w:t xml:space="preserve">In the last meeting, </w:t>
      </w:r>
      <w:r w:rsidR="00BE03B5">
        <w:rPr>
          <w:lang w:val="en-GB"/>
        </w:rPr>
        <w:t>the following is agreed for CSI-RS symbol locations</w:t>
      </w:r>
      <w:r w:rsidR="001F0975">
        <w:rPr>
          <w:lang w:val="en-GB"/>
        </w:rPr>
        <w:t xml:space="preserve"> [1]</w:t>
      </w:r>
      <w:r w:rsidR="00BE03B5">
        <w:rPr>
          <w:lang w:val="en-GB"/>
        </w:rPr>
        <w:t>:</w:t>
      </w:r>
    </w:p>
    <w:p w14:paraId="4DBFD4C1" w14:textId="3E36A723" w:rsidR="00E42926" w:rsidRDefault="0031227A" w:rsidP="00C23201">
      <w:pPr>
        <w:numPr>
          <w:ilvl w:val="0"/>
          <w:numId w:val="21"/>
        </w:numPr>
        <w:tabs>
          <w:tab w:val="clear" w:pos="360"/>
          <w:tab w:val="num" w:pos="720"/>
        </w:tabs>
        <w:spacing w:before="120" w:after="120"/>
        <w:jc w:val="both"/>
      </w:pPr>
      <w:r w:rsidRPr="00E42926">
        <w:t>At least {</w:t>
      </w:r>
      <w:r w:rsidR="00BE03B5">
        <w:t>8</w:t>
      </w:r>
      <w:r w:rsidRPr="00E42926">
        <w:rPr>
          <w:vertAlign w:val="superscript"/>
        </w:rPr>
        <w:t>th</w:t>
      </w:r>
      <w:r w:rsidR="00BE03B5">
        <w:t>,9</w:t>
      </w:r>
      <w:r w:rsidRPr="00E42926">
        <w:rPr>
          <w:vertAlign w:val="superscript"/>
        </w:rPr>
        <w:t>th</w:t>
      </w:r>
      <w:r w:rsidR="00BE03B5">
        <w:t>, 10</w:t>
      </w:r>
      <w:r w:rsidRPr="00E42926">
        <w:rPr>
          <w:vertAlign w:val="superscript"/>
        </w:rPr>
        <w:t>th</w:t>
      </w:r>
      <w:r w:rsidR="00BE03B5">
        <w:t>, 11</w:t>
      </w:r>
      <w:r w:rsidRPr="00E42926">
        <w:rPr>
          <w:vertAlign w:val="superscript"/>
        </w:rPr>
        <w:t>th</w:t>
      </w:r>
      <w:r w:rsidRPr="00E42926">
        <w:t>} OFDM symbol in a slot structure can be configured for CSI-RS transmission</w:t>
      </w:r>
      <w:r w:rsidR="00BE03B5">
        <w:t>, in addition to the {6</w:t>
      </w:r>
      <w:r w:rsidR="00BE03B5" w:rsidRPr="00BE03B5">
        <w:rPr>
          <w:vertAlign w:val="superscript"/>
        </w:rPr>
        <w:t>th</w:t>
      </w:r>
      <w:r w:rsidR="00BE03B5">
        <w:t xml:space="preserve"> ,7</w:t>
      </w:r>
      <w:r w:rsidR="00BE03B5" w:rsidRPr="00BE03B5">
        <w:rPr>
          <w:vertAlign w:val="superscript"/>
        </w:rPr>
        <w:t>th</w:t>
      </w:r>
      <w:r w:rsidR="00BE03B5">
        <w:t xml:space="preserve"> ,13</w:t>
      </w:r>
      <w:r w:rsidR="00BE03B5" w:rsidRPr="00BE03B5">
        <w:rPr>
          <w:vertAlign w:val="superscript"/>
        </w:rPr>
        <w:t>th</w:t>
      </w:r>
      <w:r w:rsidR="00BE03B5">
        <w:t xml:space="preserve"> ,14</w:t>
      </w:r>
      <w:r w:rsidR="00BE03B5" w:rsidRPr="00BE03B5">
        <w:rPr>
          <w:vertAlign w:val="superscript"/>
        </w:rPr>
        <w:t>th</w:t>
      </w:r>
      <w:r w:rsidR="00BE03B5">
        <w:t xml:space="preserve"> } OFDM symbol.</w:t>
      </w:r>
    </w:p>
    <w:p w14:paraId="0C70ED26" w14:textId="2443374C" w:rsidR="00BE03B5" w:rsidRPr="00E42926" w:rsidRDefault="00BE03B5" w:rsidP="00C23201">
      <w:pPr>
        <w:numPr>
          <w:ilvl w:val="1"/>
          <w:numId w:val="21"/>
        </w:numPr>
        <w:spacing w:before="120" w:after="120"/>
        <w:jc w:val="both"/>
      </w:pPr>
      <w:r>
        <w:t>FFS: Other OFDM symbols</w:t>
      </w:r>
    </w:p>
    <w:p w14:paraId="4841EF76" w14:textId="6FA47B07" w:rsidR="00A55248" w:rsidRDefault="00E42926" w:rsidP="00C23201">
      <w:pPr>
        <w:spacing w:before="120" w:after="120"/>
        <w:jc w:val="both"/>
        <w:rPr>
          <w:lang w:val="en-GB"/>
        </w:rPr>
      </w:pPr>
      <w:r>
        <w:rPr>
          <w:lang w:val="en-GB"/>
        </w:rPr>
        <w:t xml:space="preserve">The above locations </w:t>
      </w:r>
      <w:r w:rsidR="00BE03B5">
        <w:rPr>
          <w:lang w:val="en-GB"/>
        </w:rPr>
        <w:t>are not sufficient to</w:t>
      </w:r>
      <w:r>
        <w:rPr>
          <w:lang w:val="en-GB"/>
        </w:rPr>
        <w:t xml:space="preserve"> support fast CSI reporting</w:t>
      </w:r>
      <w:r w:rsidR="00BE03B5">
        <w:rPr>
          <w:lang w:val="en-GB"/>
        </w:rPr>
        <w:t>, which is one of the important NR functionalities</w:t>
      </w:r>
      <w:r>
        <w:rPr>
          <w:lang w:val="en-GB"/>
        </w:rPr>
        <w:t>. Given CSI-RS transmission on the 6</w:t>
      </w:r>
      <w:r w:rsidRPr="00E42926">
        <w:rPr>
          <w:vertAlign w:val="superscript"/>
          <w:lang w:val="en-GB"/>
        </w:rPr>
        <w:t>th</w:t>
      </w:r>
      <w:r>
        <w:rPr>
          <w:lang w:val="en-GB"/>
        </w:rPr>
        <w:t xml:space="preserve"> symbol, UE does not have enough time to do CSI processing so as to report CSI in the same slot. Hence, </w:t>
      </w:r>
      <w:r w:rsidR="00B02EBA" w:rsidRPr="00823910">
        <w:rPr>
          <w:lang w:val="en-GB"/>
        </w:rPr>
        <w:t>CSI-RS in</w:t>
      </w:r>
      <w:r w:rsidR="00BE03B5">
        <w:rPr>
          <w:lang w:val="en-GB"/>
        </w:rPr>
        <w:t xml:space="preserve"> an</w:t>
      </w:r>
      <w:r w:rsidR="00B02EBA" w:rsidRPr="00823910">
        <w:rPr>
          <w:lang w:val="en-GB"/>
        </w:rPr>
        <w:t xml:space="preserve"> early part of a time interval is critical to support fast CSI reporting, especially for below 6GHz.  </w:t>
      </w:r>
      <w:r w:rsidR="00A55248">
        <w:rPr>
          <w:lang w:val="en-GB"/>
        </w:rPr>
        <w:t>Since there will be at least two symbols for control region and at least one symbol for front-loaded DMRS, the 4</w:t>
      </w:r>
      <w:r w:rsidR="00A55248" w:rsidRPr="00A55248">
        <w:rPr>
          <w:vertAlign w:val="superscript"/>
          <w:lang w:val="en-GB"/>
        </w:rPr>
        <w:t>th</w:t>
      </w:r>
      <w:r w:rsidR="00A55248">
        <w:rPr>
          <w:lang w:val="en-GB"/>
        </w:rPr>
        <w:t xml:space="preserve"> and 5</w:t>
      </w:r>
      <w:r w:rsidR="00A55248" w:rsidRPr="00A55248">
        <w:rPr>
          <w:vertAlign w:val="superscript"/>
          <w:lang w:val="en-GB"/>
        </w:rPr>
        <w:t>th</w:t>
      </w:r>
      <w:r w:rsidR="00A55248">
        <w:rPr>
          <w:lang w:val="en-GB"/>
        </w:rPr>
        <w:t xml:space="preserve"> symbols can be configured for CSI-RS transmission</w:t>
      </w:r>
      <w:r w:rsidR="00BE03B5">
        <w:rPr>
          <w:lang w:val="en-GB"/>
        </w:rPr>
        <w:t>.</w:t>
      </w:r>
      <w:r w:rsidR="00C57F51">
        <w:rPr>
          <w:lang w:val="en-GB"/>
        </w:rPr>
        <w:t xml:space="preserve"> </w:t>
      </w:r>
      <w:r w:rsidR="00E41FE9">
        <w:rPr>
          <w:lang w:val="en-GB"/>
        </w:rPr>
        <w:t>To be more specific, to avoid multiplexing DMRS and CSI-RS in the same symbol from UE perspective</w:t>
      </w:r>
      <w:r w:rsidR="00A55248">
        <w:rPr>
          <w:lang w:val="en-GB"/>
        </w:rPr>
        <w:t>, we propose</w:t>
      </w:r>
    </w:p>
    <w:p w14:paraId="4AC08310" w14:textId="2506A637" w:rsidR="00B02EBA" w:rsidRDefault="00B02EBA" w:rsidP="00C23201">
      <w:pPr>
        <w:spacing w:before="120" w:after="120"/>
        <w:jc w:val="both"/>
        <w:rPr>
          <w:b/>
          <w:i/>
          <w:lang w:val="en-GB"/>
        </w:rPr>
      </w:pPr>
      <w:r w:rsidRPr="006166DF">
        <w:rPr>
          <w:b/>
          <w:i/>
          <w:lang w:val="en-GB"/>
        </w:rPr>
        <w:t xml:space="preserve">Proposal </w:t>
      </w:r>
      <w:r w:rsidR="009A364F">
        <w:rPr>
          <w:b/>
          <w:i/>
          <w:lang w:val="en-GB"/>
        </w:rPr>
        <w:t>1</w:t>
      </w:r>
      <w:r w:rsidRPr="006166DF">
        <w:rPr>
          <w:b/>
          <w:i/>
          <w:lang w:val="en-GB"/>
        </w:rPr>
        <w:t xml:space="preserve">: </w:t>
      </w:r>
      <w:r w:rsidR="00A55248" w:rsidRPr="006166DF">
        <w:rPr>
          <w:b/>
          <w:i/>
          <w:lang w:val="en-GB"/>
        </w:rPr>
        <w:t xml:space="preserve">NR should include </w:t>
      </w:r>
      <w:r w:rsidR="00E41FE9">
        <w:rPr>
          <w:b/>
          <w:i/>
          <w:lang w:val="en-GB"/>
        </w:rPr>
        <w:t>following CSI-RS OFDM symbol location configurations:</w:t>
      </w:r>
    </w:p>
    <w:p w14:paraId="0B235BA2" w14:textId="7A4EB764" w:rsidR="00E41FE9" w:rsidRPr="00E41FE9" w:rsidRDefault="00E41FE9" w:rsidP="00E41FE9">
      <w:pPr>
        <w:pStyle w:val="ListParagraph"/>
        <w:numPr>
          <w:ilvl w:val="0"/>
          <w:numId w:val="36"/>
        </w:numPr>
        <w:spacing w:before="120" w:after="120"/>
        <w:jc w:val="both"/>
        <w:rPr>
          <w:rFonts w:ascii="Times New Roman" w:hAnsi="Times New Roman"/>
          <w:b/>
          <w:i/>
          <w:sz w:val="20"/>
          <w:lang w:val="en-GB"/>
        </w:rPr>
      </w:pPr>
      <w:r w:rsidRPr="00E41FE9">
        <w:rPr>
          <w:rFonts w:ascii="Times New Roman" w:hAnsi="Times New Roman"/>
          <w:b/>
          <w:i/>
          <w:sz w:val="20"/>
          <w:lang w:val="en-GB"/>
        </w:rPr>
        <w:t>For Front-load DMRS in the 3rd symbol, CSIRS can be in the 4th or 5th</w:t>
      </w:r>
    </w:p>
    <w:p w14:paraId="38DE682C" w14:textId="3E7A768F" w:rsidR="00E41FE9" w:rsidRPr="00E41FE9" w:rsidRDefault="00E41FE9" w:rsidP="00E41FE9">
      <w:pPr>
        <w:pStyle w:val="ListParagraph"/>
        <w:numPr>
          <w:ilvl w:val="0"/>
          <w:numId w:val="36"/>
        </w:numPr>
        <w:spacing w:before="120" w:after="120"/>
        <w:jc w:val="both"/>
        <w:rPr>
          <w:rFonts w:ascii="Times New Roman" w:hAnsi="Times New Roman"/>
          <w:b/>
          <w:i/>
          <w:sz w:val="20"/>
          <w:lang w:val="en-GB"/>
        </w:rPr>
      </w:pPr>
      <w:r w:rsidRPr="00E41FE9">
        <w:rPr>
          <w:rFonts w:ascii="Times New Roman" w:hAnsi="Times New Roman"/>
          <w:b/>
          <w:i/>
          <w:sz w:val="20"/>
          <w:lang w:val="en-GB"/>
        </w:rPr>
        <w:t>For Front-load DMRS in the 4th symbol, CSIRS can be in the 5th</w:t>
      </w:r>
    </w:p>
    <w:p w14:paraId="7B233479" w14:textId="7BF6EE7A" w:rsidR="00E41FE9" w:rsidRPr="00E41FE9" w:rsidRDefault="00E41FE9" w:rsidP="00E41FE9">
      <w:pPr>
        <w:pStyle w:val="ListParagraph"/>
        <w:numPr>
          <w:ilvl w:val="1"/>
          <w:numId w:val="36"/>
        </w:numPr>
        <w:spacing w:before="120" w:after="120"/>
        <w:jc w:val="both"/>
        <w:rPr>
          <w:rFonts w:ascii="Times New Roman" w:hAnsi="Times New Roman"/>
          <w:b/>
          <w:i/>
          <w:sz w:val="20"/>
          <w:lang w:val="en-GB"/>
        </w:rPr>
      </w:pPr>
      <w:r w:rsidRPr="00E41FE9">
        <w:rPr>
          <w:rFonts w:ascii="Times New Roman" w:hAnsi="Times New Roman"/>
          <w:b/>
          <w:i/>
          <w:sz w:val="20"/>
          <w:lang w:val="en-GB"/>
        </w:rPr>
        <w:t>In this case, when reserved resources for CORESET from UE perspective do not span to the 2nd or 3rd symbol, CSIRS can be transmitted in those symbols (i.e., before the front-load DMRS).</w:t>
      </w:r>
    </w:p>
    <w:p w14:paraId="4B27B1B6" w14:textId="59749221" w:rsidR="00E41FE9" w:rsidRPr="00E41FE9" w:rsidRDefault="00E41FE9" w:rsidP="00E41FE9">
      <w:pPr>
        <w:pStyle w:val="ListParagraph"/>
        <w:numPr>
          <w:ilvl w:val="0"/>
          <w:numId w:val="36"/>
        </w:numPr>
        <w:spacing w:before="120" w:after="120"/>
        <w:jc w:val="both"/>
        <w:rPr>
          <w:rFonts w:ascii="Times New Roman" w:hAnsi="Times New Roman"/>
          <w:b/>
          <w:i/>
          <w:lang w:val="en-GB"/>
        </w:rPr>
      </w:pPr>
      <w:r w:rsidRPr="00E41FE9">
        <w:rPr>
          <w:rFonts w:ascii="Times New Roman" w:hAnsi="Times New Roman"/>
          <w:b/>
          <w:i/>
          <w:sz w:val="20"/>
          <w:lang w:val="en-GB"/>
        </w:rPr>
        <w:t>Note: From UE perspective, CSIRS and DMRS are always TDMed</w:t>
      </w:r>
    </w:p>
    <w:p w14:paraId="09E7B125" w14:textId="45DA1AAD" w:rsidR="0006135D" w:rsidRPr="0006135D" w:rsidRDefault="0006135D" w:rsidP="00C23201">
      <w:pPr>
        <w:pStyle w:val="Heading2"/>
        <w:jc w:val="both"/>
      </w:pPr>
      <w:r w:rsidRPr="0006135D">
        <w:t>Sequence generation</w:t>
      </w:r>
    </w:p>
    <w:p w14:paraId="3855202E" w14:textId="51B6C341" w:rsidR="00DA2F52" w:rsidRDefault="0010767A" w:rsidP="00C23201">
      <w:pPr>
        <w:spacing w:before="120" w:after="120"/>
        <w:jc w:val="both"/>
        <w:rPr>
          <w:lang w:val="en-GB"/>
        </w:rPr>
      </w:pPr>
      <w:r w:rsidRPr="0010767A">
        <w:rPr>
          <w:lang w:val="en-GB"/>
        </w:rPr>
        <w:t>In LTE</w:t>
      </w:r>
      <w:r>
        <w:rPr>
          <w:lang w:val="en-GB"/>
        </w:rPr>
        <w:t xml:space="preserve">, the sequence used for CSI-RS transmission is a gold-sequence generated using a 31-bit initialization seed, i.e.,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m:t>
            </m:r>
          </m:sub>
        </m:sSub>
      </m:oMath>
      <w:r>
        <w:rPr>
          <w:lang w:val="en-GB"/>
        </w:rPr>
        <w:t>. The seed is a function of s</w:t>
      </w:r>
      <w:r w:rsidR="0006135D" w:rsidRPr="0010767A">
        <w:rPr>
          <w:lang w:val="en-GB"/>
        </w:rPr>
        <w:t xml:space="preserve">crambling </w:t>
      </w:r>
      <w:r>
        <w:rPr>
          <w:lang w:val="en-GB"/>
        </w:rPr>
        <w:t xml:space="preserve">ID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CSIRS</m:t>
            </m:r>
          </m:sup>
        </m:sSubSup>
      </m:oMath>
      <w:r>
        <w:rPr>
          <w:lang w:val="en-GB"/>
        </w:rPr>
        <w:t xml:space="preserve">, symbol index </w:t>
      </w:r>
      <m:oMath>
        <m:r>
          <w:rPr>
            <w:rFonts w:ascii="Cambria Math" w:hAnsi="Cambria Math"/>
            <w:lang w:val="en-GB"/>
          </w:rPr>
          <m:t>l</m:t>
        </m:r>
      </m:oMath>
      <w:r>
        <w:rPr>
          <w:lang w:val="en-GB"/>
        </w:rPr>
        <w:t xml:space="preserve"> and slot index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Pr>
          <w:lang w:val="en-GB"/>
        </w:rPr>
        <w:t xml:space="preserve"> and CP type</w:t>
      </w:r>
      <w:r w:rsidR="00DA2F52">
        <w:rPr>
          <w:lang w:val="en-GB"/>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CP</m:t>
            </m:r>
          </m:sub>
        </m:sSub>
      </m:oMath>
      <w:r>
        <w:rPr>
          <w:lang w:val="en-GB"/>
        </w:rPr>
        <w:t>.</w:t>
      </w:r>
      <w:r w:rsidR="00DA2F52">
        <w:rPr>
          <w:lang w:val="en-GB"/>
        </w:rPr>
        <w:t xml:space="preserve"> The equation of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m:t>
            </m:r>
          </m:sub>
        </m:sSub>
      </m:oMath>
      <w:r w:rsidR="00DA2F52">
        <w:rPr>
          <w:lang w:val="en-GB"/>
        </w:rPr>
        <w:t xml:space="preserve"> writes as</w:t>
      </w:r>
    </w:p>
    <w:p w14:paraId="6C391711" w14:textId="703C7E94" w:rsidR="00DA2F52" w:rsidRDefault="00CF4014" w:rsidP="00C23201">
      <w:pPr>
        <w:spacing w:before="120" w:after="120"/>
        <w:jc w:val="both"/>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m:t>
              </m:r>
            </m:sub>
          </m:sSub>
          <m:r>
            <w:rPr>
              <w:rFonts w:ascii="Cambria Math" w:hAnsi="Cambria Math"/>
              <w:lang w:val="en-GB"/>
            </w:rPr>
            <m:t>=</m:t>
          </m:r>
          <m:sSup>
            <m:sSupPr>
              <m:ctrlPr>
                <w:rPr>
                  <w:rFonts w:ascii="Cambria Math" w:hAnsi="Cambria Math"/>
                  <w:i/>
                  <w:iCs/>
                </w:rPr>
              </m:ctrlPr>
            </m:sSupPr>
            <m:e>
              <m:r>
                <w:rPr>
                  <w:rFonts w:ascii="Cambria Math" w:hAnsi="Cambria Math"/>
                </w:rPr>
                <m:t>2</m:t>
              </m:r>
            </m:e>
            <m:sup>
              <m:r>
                <w:rPr>
                  <w:rFonts w:ascii="Cambria Math" w:hAnsi="Cambria Math"/>
                </w:rPr>
                <m:t>10</m:t>
              </m:r>
            </m:sup>
          </m:sSup>
          <m:r>
            <w:rPr>
              <w:rFonts w:ascii="Cambria Math" w:hAnsi="Cambria Math"/>
            </w:rPr>
            <m:t>⋅</m:t>
          </m:r>
          <m:d>
            <m:dPr>
              <m:ctrlPr>
                <w:rPr>
                  <w:rFonts w:ascii="Cambria Math" w:hAnsi="Cambria Math"/>
                  <w:i/>
                  <w:iCs/>
                </w:rPr>
              </m:ctrlPr>
            </m:dPr>
            <m:e>
              <m:r>
                <w:rPr>
                  <w:rFonts w:ascii="Cambria Math" w:hAnsi="Cambria Math"/>
                </w:rPr>
                <m:t>7⋅</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s</m:t>
                      </m:r>
                    </m:sub>
                    <m:sup>
                      <m:r>
                        <w:rPr>
                          <w:rFonts w:ascii="Cambria Math" w:hAnsi="Cambria Math"/>
                        </w:rPr>
                        <m:t>'</m:t>
                      </m:r>
                    </m:sup>
                  </m:sSubSup>
                  <m:r>
                    <w:rPr>
                      <w:rFonts w:ascii="Cambria Math" w:hAnsi="Cambria Math"/>
                    </w:rPr>
                    <m:t>+1</m:t>
                  </m:r>
                </m:e>
              </m:d>
              <m:r>
                <w:rPr>
                  <w:rFonts w:ascii="Cambria Math" w:hAnsi="Cambria Math"/>
                </w:rPr>
                <m:t>+l+1</m:t>
              </m:r>
            </m:e>
          </m:d>
          <m:r>
            <w:rPr>
              <w:rFonts w:ascii="Cambria Math" w:hAnsi="Cambria Math"/>
            </w:rPr>
            <m:t>⋅</m:t>
          </m:r>
          <m:d>
            <m:dPr>
              <m:ctrlPr>
                <w:rPr>
                  <w:rFonts w:ascii="Cambria Math" w:hAnsi="Cambria Math"/>
                  <w:i/>
                  <w:iCs/>
                </w:rPr>
              </m:ctrlPr>
            </m:dPr>
            <m:e>
              <m:r>
                <w:rPr>
                  <w:rFonts w:ascii="Cambria Math" w:hAnsi="Cambria Math"/>
                </w:rPr>
                <m:t>2⋅</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CSI</m:t>
                  </m:r>
                </m:sup>
              </m:sSubSup>
              <m:r>
                <w:rPr>
                  <w:rFonts w:ascii="Cambria Math" w:hAnsi="Cambria Math"/>
                </w:rPr>
                <m:t>+1</m:t>
              </m:r>
            </m:e>
          </m:d>
          <m:r>
            <w:rPr>
              <w:rFonts w:ascii="Cambria Math" w:hAnsi="Cambria Math"/>
            </w:rPr>
            <m:t>+2⋅</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CSI</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CP</m:t>
              </m:r>
            </m:sub>
          </m:sSub>
        </m:oMath>
      </m:oMathPara>
    </w:p>
    <w:p w14:paraId="56348507" w14:textId="63041D20" w:rsidR="008C523B" w:rsidRDefault="00DA2F52" w:rsidP="00C23201">
      <w:pPr>
        <w:spacing w:before="120" w:after="120"/>
        <w:jc w:val="both"/>
        <w:rPr>
          <w:iCs/>
        </w:rPr>
      </w:pPr>
      <w:r>
        <w:rPr>
          <w:lang w:val="en-GB"/>
        </w:rPr>
        <w:t xml:space="preserve">Such an expression ensures a one-to-one mapping between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m:t>
            </m:r>
          </m:sub>
        </m:sSub>
      </m:oMath>
      <w:r>
        <w:rPr>
          <w:lang w:val="en-GB"/>
        </w:rPr>
        <w:t xml:space="preserve"> and the joint of </w:t>
      </w:r>
      <m:oMath>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CSIRS</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m:t>
                </m:r>
              </m:sub>
            </m:sSub>
          </m:e>
        </m:d>
      </m:oMath>
      <w:r>
        <w:rPr>
          <w:lang w:val="en-GB"/>
        </w:rPr>
        <w:t>, and yields good interference randomization performance for two neighbo</w:t>
      </w:r>
      <w:r w:rsidR="008C523B">
        <w:rPr>
          <w:lang w:val="en-GB"/>
        </w:rPr>
        <w:t>u</w:t>
      </w:r>
      <w:r>
        <w:rPr>
          <w:lang w:val="en-GB"/>
        </w:rPr>
        <w:t>ring cells.</w:t>
      </w:r>
      <w:r w:rsidR="008C523B">
        <w:rPr>
          <w:lang w:val="en-GB"/>
        </w:rPr>
        <w:t xml:space="preserve"> Hence, it is natural for NR to reuse this structure. However, there are some discussions on the possible values of above four parameters. In our view, </w:t>
      </w:r>
      <m:oMath>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CSI</m:t>
            </m:r>
          </m:sup>
        </m:sSubSup>
      </m:oMath>
      <w:r w:rsidR="008C523B">
        <w:rPr>
          <w:iCs/>
        </w:rPr>
        <w:t xml:space="preserve"> is associated with 10 bits in LTE and we don’t see any need to expand the bit-width of </w:t>
      </w:r>
      <m:oMath>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CSI</m:t>
            </m:r>
          </m:sup>
        </m:sSubSup>
      </m:oMath>
      <w:r w:rsidR="008C523B">
        <w:rPr>
          <w:iCs/>
        </w:rPr>
        <w:t xml:space="preserve"> in NR. For the CP type, in NR, the extended CP is only used when subcarrier spacing equals to 60kHz. Since it is quite a corner case, it is no need to include CP type in the sequence generation. </w:t>
      </w:r>
      <w:r w:rsidR="008C523B">
        <w:rPr>
          <w:iCs/>
        </w:rPr>
        <w:lastRenderedPageBreak/>
        <w:t xml:space="preserve">For </w:t>
      </w:r>
      <w:r w:rsidR="008C523B">
        <w:rPr>
          <w:lang w:val="en-GB"/>
        </w:rPr>
        <w:t xml:space="preserve">symbol index </w:t>
      </w:r>
      <m:oMath>
        <m:r>
          <w:rPr>
            <w:rFonts w:ascii="Cambria Math" w:hAnsi="Cambria Math"/>
            <w:lang w:val="en-GB"/>
          </w:rPr>
          <m:t>l</m:t>
        </m:r>
      </m:oMath>
      <w:r w:rsidR="008C523B">
        <w:rPr>
          <w:lang w:val="en-GB"/>
        </w:rPr>
        <w:t xml:space="preserve"> and slot index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8C523B">
        <w:rPr>
          <w:lang w:val="en-GB"/>
        </w:rPr>
        <w:t xml:space="preserve">,  the term </w:t>
      </w:r>
      <m:oMath>
        <m:d>
          <m:dPr>
            <m:ctrlPr>
              <w:rPr>
                <w:rFonts w:ascii="Cambria Math" w:hAnsi="Cambria Math"/>
                <w:i/>
                <w:iCs/>
              </w:rPr>
            </m:ctrlPr>
          </m:dPr>
          <m:e>
            <m:r>
              <w:rPr>
                <w:rFonts w:ascii="Cambria Math" w:hAnsi="Cambria Math"/>
              </w:rPr>
              <m:t>7⋅</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s</m:t>
                    </m:r>
                  </m:sub>
                  <m:sup>
                    <m:r>
                      <w:rPr>
                        <w:rFonts w:ascii="Cambria Math" w:hAnsi="Cambria Math"/>
                      </w:rPr>
                      <m:t>'</m:t>
                    </m:r>
                  </m:sup>
                </m:sSubSup>
                <m:r>
                  <w:rPr>
                    <w:rFonts w:ascii="Cambria Math" w:hAnsi="Cambria Math"/>
                  </w:rPr>
                  <m:t>+1</m:t>
                </m:r>
              </m:e>
            </m:d>
            <m:r>
              <w:rPr>
                <w:rFonts w:ascii="Cambria Math" w:hAnsi="Cambria Math"/>
              </w:rPr>
              <m:t>+l+1</m:t>
            </m:r>
          </m:e>
        </m:d>
      </m:oMath>
      <w:r w:rsidR="008C523B">
        <w:rPr>
          <w:iCs/>
        </w:rPr>
        <w:t xml:space="preserve"> is associated with 10 bits in LTE, however in NR that term can be greater than 10 bit if 120kHz and 240kHz subcarrier spacing is used. In such a case, wrap-around to 2^10 is needed to keep the original sequence length (i.e., 31). Hence, we propose</w:t>
      </w:r>
    </w:p>
    <w:p w14:paraId="31824D84" w14:textId="7ACB8A5F" w:rsidR="00645BE0" w:rsidRDefault="00645BE0" w:rsidP="00C23201">
      <w:pPr>
        <w:spacing w:before="120" w:after="120"/>
        <w:jc w:val="both"/>
        <w:rPr>
          <w:b/>
          <w:i/>
          <w:lang w:val="en-GB"/>
        </w:rPr>
      </w:pPr>
      <w:r>
        <w:rPr>
          <w:b/>
          <w:i/>
          <w:lang w:val="en-GB"/>
        </w:rPr>
        <w:t>Proposal</w:t>
      </w:r>
      <w:r w:rsidR="00AA1001">
        <w:rPr>
          <w:b/>
          <w:i/>
          <w:lang w:val="en-GB"/>
        </w:rPr>
        <w:t xml:space="preserve"> 2</w:t>
      </w:r>
      <w:r>
        <w:rPr>
          <w:b/>
          <w:i/>
          <w:lang w:val="en-GB"/>
        </w:rPr>
        <w:t xml:space="preserve">: </w:t>
      </w:r>
      <w:r w:rsidR="008C523B">
        <w:rPr>
          <w:b/>
          <w:i/>
          <w:lang w:val="en-GB"/>
        </w:rPr>
        <w:t xml:space="preserve">CSI-RS </w:t>
      </w:r>
      <w:r>
        <w:rPr>
          <w:b/>
          <w:i/>
          <w:lang w:val="en-GB"/>
        </w:rPr>
        <w:t>sequence</w:t>
      </w:r>
      <w:r w:rsidR="008C523B">
        <w:rPr>
          <w:b/>
          <w:i/>
          <w:lang w:val="en-GB"/>
        </w:rPr>
        <w:t xml:space="preserve"> is generated using</w:t>
      </w:r>
    </w:p>
    <w:p w14:paraId="22F730F7" w14:textId="77777777" w:rsidR="008C523B" w:rsidRDefault="00CF4014" w:rsidP="00C23201">
      <w:pPr>
        <w:numPr>
          <w:ilvl w:val="1"/>
          <w:numId w:val="31"/>
        </w:numPr>
        <w:overflowPunct/>
        <w:autoSpaceDE/>
        <w:autoSpaceDN/>
        <w:adjustRightInd/>
        <w:spacing w:after="0"/>
        <w:jc w:val="both"/>
        <w:textAlignment w:val="auto"/>
        <w:rPr>
          <w:rFonts w:eastAsia="Times New Roman"/>
          <w:lang w:eastAsia="zh-CN"/>
        </w:rPr>
      </w:pPr>
      <m:oMath>
        <m:sSub>
          <m:sSubPr>
            <m:ctrlPr>
              <w:rPr>
                <w:rFonts w:ascii="Cambria Math" w:eastAsiaTheme="minorEastAsia" w:hAnsi="Cambria Math" w:cs="Calibri"/>
                <w:i/>
                <w:iCs/>
                <w:sz w:val="22"/>
                <w:szCs w:val="22"/>
              </w:rPr>
            </m:ctrlPr>
          </m:sSubPr>
          <m:e>
            <m:r>
              <w:rPr>
                <w:rFonts w:ascii="Cambria Math" w:eastAsia="Times New Roman" w:hAnsi="Cambria Math"/>
              </w:rPr>
              <m:t>c</m:t>
            </m:r>
          </m:e>
          <m:sub>
            <m:r>
              <w:rPr>
                <w:rFonts w:ascii="Cambria Math" w:eastAsia="Times New Roman" w:hAnsi="Cambria Math"/>
              </w:rPr>
              <m:t>init</m:t>
            </m:r>
          </m:sub>
        </m:sSub>
        <m:r>
          <w:rPr>
            <w:rFonts w:ascii="Cambria Math" w:eastAsia="Times New Roman" w:hAnsi="Cambria Math"/>
          </w:rPr>
          <m:t>=</m:t>
        </m:r>
        <m:d>
          <m:dPr>
            <m:begChr m:val="["/>
            <m:endChr m:val="]"/>
            <m:ctrlPr>
              <w:rPr>
                <w:rFonts w:ascii="Cambria Math" w:eastAsiaTheme="minorEastAsia" w:hAnsi="Cambria Math" w:cs="Calibri"/>
                <w:i/>
                <w:iCs/>
                <w:sz w:val="22"/>
                <w:szCs w:val="22"/>
              </w:rPr>
            </m:ctrlPr>
          </m:dPr>
          <m:e>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r>
                      <w:rPr>
                        <w:rFonts w:ascii="Cambria Math" w:eastAsia="Times New Roman" w:hAnsi="Cambria Math"/>
                      </w:rPr>
                      <m:t>n</m:t>
                    </m:r>
                  </m:e>
                  <m:sub>
                    <m:r>
                      <w:rPr>
                        <w:rFonts w:ascii="Cambria Math" w:eastAsia="Times New Roman" w:hAnsi="Cambria Math"/>
                      </w:rPr>
                      <m:t>s</m:t>
                    </m:r>
                  </m:sub>
                </m:sSub>
                <m:r>
                  <w:rPr>
                    <w:rFonts w:ascii="Cambria Math" w:eastAsia="Times New Roman" w:hAnsi="Cambria Math"/>
                  </w:rPr>
                  <m:t>⋅14+l+1</m:t>
                </m:r>
              </m:e>
            </m:d>
            <m:r>
              <w:rPr>
                <w:rFonts w:ascii="Cambria Math" w:eastAsia="Times New Roman" w:hAnsi="Cambria Math"/>
              </w:rPr>
              <m:t>⋅(2⋅</m:t>
            </m:r>
            <m:sSubSup>
              <m:sSubSupPr>
                <m:ctrlPr>
                  <w:rPr>
                    <w:rFonts w:ascii="Cambria Math" w:eastAsiaTheme="minorEastAsia" w:hAnsi="Cambria Math" w:cs="Calibri"/>
                    <w:i/>
                    <w:iCs/>
                    <w:sz w:val="22"/>
                    <w:szCs w:val="22"/>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CSIRS</m:t>
                </m:r>
              </m:sup>
            </m:sSubSup>
            <m:r>
              <w:rPr>
                <w:rFonts w:ascii="Cambria Math" w:eastAsia="Times New Roman" w:hAnsi="Cambria Math"/>
              </w:rPr>
              <m:t>+1)</m:t>
            </m:r>
          </m:e>
        </m:d>
        <m:r>
          <w:rPr>
            <w:rFonts w:ascii="Cambria Math" w:eastAsia="Times New Roman" w:hAnsi="Cambria Math"/>
          </w:rPr>
          <m:t>mod</m:t>
        </m:r>
        <m:sSup>
          <m:sSupPr>
            <m:ctrlPr>
              <w:rPr>
                <w:rFonts w:ascii="Cambria Math" w:eastAsiaTheme="minorEastAsia" w:hAnsi="Cambria Math" w:cs="Calibri"/>
                <w:i/>
                <w:iCs/>
                <w:sz w:val="22"/>
                <w:szCs w:val="22"/>
              </w:rPr>
            </m:ctrlPr>
          </m:sSupPr>
          <m:e>
            <m:r>
              <w:rPr>
                <w:rFonts w:ascii="Cambria Math" w:eastAsia="Times New Roman" w:hAnsi="Cambria Math"/>
              </w:rPr>
              <m:t>2</m:t>
            </m:r>
          </m:e>
          <m:sup>
            <m:r>
              <w:rPr>
                <w:rFonts w:ascii="Cambria Math" w:eastAsia="Times New Roman" w:hAnsi="Cambria Math"/>
              </w:rPr>
              <m:t>20</m:t>
            </m:r>
          </m:sup>
        </m:sSup>
        <m:r>
          <w:rPr>
            <w:rFonts w:ascii="Cambria Math" w:eastAsia="Times New Roman" w:hAnsi="Cambria Math"/>
          </w:rPr>
          <m:t>⋅</m:t>
        </m:r>
        <m:sSup>
          <m:sSupPr>
            <m:ctrlPr>
              <w:rPr>
                <w:rFonts w:ascii="Cambria Math" w:eastAsiaTheme="minorEastAsia" w:hAnsi="Cambria Math" w:cs="Calibri"/>
                <w:i/>
                <w:iCs/>
                <w:sz w:val="22"/>
                <w:szCs w:val="22"/>
              </w:rPr>
            </m:ctrlPr>
          </m:sSupPr>
          <m:e>
            <m:r>
              <w:rPr>
                <w:rFonts w:ascii="Cambria Math" w:eastAsia="Times New Roman" w:hAnsi="Cambria Math"/>
              </w:rPr>
              <m:t>2</m:t>
            </m:r>
          </m:e>
          <m:sup>
            <m:r>
              <w:rPr>
                <w:rFonts w:ascii="Cambria Math" w:eastAsia="Times New Roman" w:hAnsi="Cambria Math"/>
              </w:rPr>
              <m:t>11</m:t>
            </m:r>
          </m:sup>
        </m:sSup>
        <m:r>
          <w:rPr>
            <w:rFonts w:ascii="Cambria Math" w:eastAsia="Times New Roman" w:hAnsi="Cambria Math"/>
          </w:rPr>
          <m:t>+</m:t>
        </m:r>
        <m:sSubSup>
          <m:sSubSupPr>
            <m:ctrlPr>
              <w:rPr>
                <w:rFonts w:ascii="Cambria Math" w:eastAsiaTheme="minorEastAsia" w:hAnsi="Cambria Math" w:cs="Calibri"/>
                <w:i/>
                <w:iCs/>
                <w:sz w:val="22"/>
                <w:szCs w:val="22"/>
              </w:rPr>
            </m:ctrlPr>
          </m:sSubSupPr>
          <m:e>
            <m:r>
              <w:rPr>
                <w:rFonts w:ascii="Cambria Math" w:eastAsia="Times New Roman" w:hAnsi="Cambria Math"/>
              </w:rPr>
              <m:t>2⋅n</m:t>
            </m:r>
          </m:e>
          <m:sub>
            <m:r>
              <w:rPr>
                <w:rFonts w:ascii="Cambria Math" w:eastAsia="Times New Roman" w:hAnsi="Cambria Math"/>
              </w:rPr>
              <m:t>ID</m:t>
            </m:r>
          </m:sub>
          <m:sup>
            <m:r>
              <w:rPr>
                <w:rFonts w:ascii="Cambria Math" w:eastAsia="Times New Roman" w:hAnsi="Cambria Math"/>
              </w:rPr>
              <m:t>CSIRS</m:t>
            </m:r>
          </m:sup>
        </m:sSubSup>
        <m:r>
          <w:rPr>
            <w:rFonts w:ascii="Cambria Math" w:eastAsia="Times New Roman" w:hAnsi="Cambria Math"/>
          </w:rPr>
          <m:t>+1</m:t>
        </m:r>
      </m:oMath>
    </w:p>
    <w:p w14:paraId="6A3612B2" w14:textId="3C4BF760" w:rsidR="00A9318A" w:rsidRPr="00A9318A" w:rsidRDefault="00CF4014" w:rsidP="00C23201">
      <w:pPr>
        <w:numPr>
          <w:ilvl w:val="2"/>
          <w:numId w:val="31"/>
        </w:numPr>
        <w:overflowPunct/>
        <w:autoSpaceDE/>
        <w:autoSpaceDN/>
        <w:adjustRightInd/>
        <w:spacing w:after="0"/>
        <w:jc w:val="both"/>
        <w:textAlignment w:val="auto"/>
        <w:rPr>
          <w:rFonts w:eastAsia="Times New Roman"/>
          <w:b/>
          <w:i/>
        </w:rPr>
      </w:pPr>
      <m:oMath>
        <m:sSubSup>
          <m:sSubSupPr>
            <m:ctrlPr>
              <w:rPr>
                <w:rFonts w:ascii="Cambria Math" w:eastAsiaTheme="minorEastAsia" w:hAnsi="Cambria Math" w:cs="Calibri"/>
                <w:b/>
                <w:i/>
                <w:iCs/>
                <w:sz w:val="22"/>
                <w:szCs w:val="22"/>
              </w:rPr>
            </m:ctrlPr>
          </m:sSubSupPr>
          <m:e>
            <m:r>
              <m:rPr>
                <m:sty m:val="bi"/>
              </m:rPr>
              <w:rPr>
                <w:rFonts w:ascii="Cambria Math" w:eastAsia="Times New Roman" w:hAnsi="Cambria Math"/>
              </w:rPr>
              <m:t>n</m:t>
            </m:r>
          </m:e>
          <m:sub>
            <m:r>
              <m:rPr>
                <m:sty m:val="bi"/>
              </m:rPr>
              <w:rPr>
                <w:rFonts w:ascii="Cambria Math" w:eastAsia="Times New Roman" w:hAnsi="Cambria Math"/>
              </w:rPr>
              <m:t>ID</m:t>
            </m:r>
          </m:sub>
          <m:sup>
            <m:r>
              <m:rPr>
                <m:sty m:val="bi"/>
              </m:rPr>
              <w:rPr>
                <w:rFonts w:ascii="Cambria Math" w:eastAsia="Times New Roman" w:hAnsi="Cambria Math"/>
              </w:rPr>
              <m:t>CSIRS</m:t>
            </m:r>
          </m:sup>
        </m:sSubSup>
      </m:oMath>
      <w:r w:rsidR="00C57F51" w:rsidRPr="00C57F51">
        <w:rPr>
          <w:rFonts w:eastAsia="Times New Roman"/>
          <w:b/>
          <w:i/>
        </w:rPr>
        <w:t xml:space="preserve"> </w:t>
      </w:r>
      <w:r w:rsidR="00C57F51">
        <w:rPr>
          <w:rFonts w:eastAsia="Times New Roman"/>
          <w:b/>
          <w:i/>
        </w:rPr>
        <w:t>with 10 bits</w:t>
      </w:r>
      <w:r w:rsidR="008C523B" w:rsidRPr="00A9318A">
        <w:rPr>
          <w:rFonts w:eastAsia="Times New Roman"/>
          <w:b/>
          <w:i/>
        </w:rPr>
        <w:t xml:space="preserve"> is physical cell ID unless configured otherwise by higher layers</w:t>
      </w:r>
    </w:p>
    <w:p w14:paraId="10441108" w14:textId="5B260904" w:rsidR="008C523B" w:rsidRDefault="008C523B" w:rsidP="00C23201">
      <w:pPr>
        <w:numPr>
          <w:ilvl w:val="2"/>
          <w:numId w:val="31"/>
        </w:numPr>
        <w:overflowPunct/>
        <w:autoSpaceDE/>
        <w:autoSpaceDN/>
        <w:adjustRightInd/>
        <w:spacing w:after="0"/>
        <w:jc w:val="both"/>
        <w:textAlignment w:val="auto"/>
        <w:rPr>
          <w:rFonts w:eastAsia="Times New Roman"/>
          <w:b/>
          <w:i/>
        </w:rPr>
      </w:pPr>
      <w:r w:rsidRPr="00A9318A">
        <w:rPr>
          <w:rFonts w:eastAsia="Times New Roman"/>
          <w:b/>
          <w:i/>
        </w:rPr>
        <w:t xml:space="preserve">For scenarios with OCC in time, </w:t>
      </w:r>
      <m:oMath>
        <m:r>
          <m:rPr>
            <m:sty m:val="bi"/>
          </m:rPr>
          <w:rPr>
            <w:rFonts w:ascii="Cambria Math" w:eastAsia="Times New Roman" w:hAnsi="Cambria Math"/>
          </w:rPr>
          <m:t>l</m:t>
        </m:r>
      </m:oMath>
      <w:r w:rsidRPr="00A9318A">
        <w:rPr>
          <w:rFonts w:eastAsia="Times New Roman"/>
          <w:b/>
          <w:i/>
        </w:rPr>
        <w:t xml:space="preserve"> is the location of CSIRS symbol</w:t>
      </w:r>
      <w:r w:rsidR="00A9318A">
        <w:rPr>
          <w:rFonts w:eastAsia="Times New Roman"/>
          <w:b/>
          <w:i/>
        </w:rPr>
        <w:t>.</w:t>
      </w:r>
    </w:p>
    <w:p w14:paraId="5D34B61E" w14:textId="4ACC905F" w:rsidR="00A9318A" w:rsidRPr="00A9318A" w:rsidRDefault="00A9318A" w:rsidP="00C23201">
      <w:pPr>
        <w:overflowPunct/>
        <w:autoSpaceDE/>
        <w:autoSpaceDN/>
        <w:adjustRightInd/>
        <w:spacing w:after="0"/>
        <w:jc w:val="both"/>
        <w:textAlignment w:val="auto"/>
        <w:rPr>
          <w:rFonts w:eastAsia="Times New Roman"/>
        </w:rPr>
      </w:pPr>
      <w:r w:rsidRPr="00A9318A">
        <w:rPr>
          <w:rFonts w:eastAsia="Times New Roman"/>
        </w:rPr>
        <w:t xml:space="preserve">Moreover, there were some discussions that the length of sequence per RB should be greater than 1 to obtain good interference randomization. </w:t>
      </w:r>
      <w:r>
        <w:rPr>
          <w:rFonts w:eastAsia="Times New Roman"/>
        </w:rPr>
        <w:t>In our view, it is essential to have sequence length greater than 1 if the CDM spans more than 1 RE in frequency domain. This feature can be achieved by mapping the 2^31 length gold sequence to resources based on the subcarrier index. As the sequence length is long enough, there is no need to employ any modification to the sequence by introducing the frequency domain parameter.</w:t>
      </w:r>
    </w:p>
    <w:p w14:paraId="4319635C" w14:textId="46D1C260" w:rsidR="0010767A" w:rsidRDefault="0010767A" w:rsidP="00C23201">
      <w:pPr>
        <w:pStyle w:val="Heading2"/>
        <w:jc w:val="both"/>
      </w:pPr>
      <w:r w:rsidRPr="0010767A">
        <w:t>Periodicity</w:t>
      </w:r>
    </w:p>
    <w:p w14:paraId="781AB09B" w14:textId="6F15A94B" w:rsidR="00AA1001" w:rsidRDefault="00AA1001" w:rsidP="00C23201">
      <w:pPr>
        <w:jc w:val="both"/>
        <w:rPr>
          <w:lang w:val="en-GB"/>
        </w:rPr>
      </w:pPr>
      <w:r>
        <w:rPr>
          <w:lang w:val="en-GB"/>
        </w:rPr>
        <w:t>It was agreed that CSI-RS periodicity can be {5, 10, 20, 40, 80, 160, 320, 640} slots</w:t>
      </w:r>
      <w:r w:rsidR="005E7E8F">
        <w:rPr>
          <w:lang w:val="en-GB"/>
        </w:rPr>
        <w:t>. In our view, for some large subcarrier spacing case, 5 slots and 10 slots as the periodicity would be too short in time scale. For instance, with SCS = 60kHz, 120kHz, 5 slots and 10 slots mean that the periodicity can be shorter than 2ms, no need to mention for even larger SCS. Therefore, we think some restriction should be made on the CSI-RS periodicity for different SCS and we propose</w:t>
      </w:r>
    </w:p>
    <w:p w14:paraId="2D0C9137" w14:textId="1391C48B" w:rsidR="005E7E8F" w:rsidRPr="005E7E8F" w:rsidRDefault="005E7E8F" w:rsidP="00C23201">
      <w:pPr>
        <w:jc w:val="both"/>
        <w:rPr>
          <w:b/>
          <w:i/>
          <w:lang w:val="en-GB"/>
        </w:rPr>
      </w:pPr>
      <w:r w:rsidRPr="005E7E8F">
        <w:rPr>
          <w:b/>
          <w:i/>
          <w:lang w:val="en-GB"/>
        </w:rPr>
        <w:t>Proposal</w:t>
      </w:r>
      <w:r w:rsidR="00DD209D">
        <w:rPr>
          <w:b/>
          <w:i/>
          <w:lang w:val="en-GB"/>
        </w:rPr>
        <w:t xml:space="preserve"> 3</w:t>
      </w:r>
      <w:r w:rsidRPr="005E7E8F">
        <w:rPr>
          <w:b/>
          <w:i/>
          <w:lang w:val="en-GB"/>
        </w:rPr>
        <w:t>: Restriction on the periodicity should be employed based on SCS, {5, 10} slots should be avoided for SCS = 60kHz/120kHz and above.</w:t>
      </w:r>
    </w:p>
    <w:p w14:paraId="0A349ED1" w14:textId="3A7221B0" w:rsidR="0010767A" w:rsidRDefault="0010767A" w:rsidP="00C23201">
      <w:pPr>
        <w:pStyle w:val="Heading2"/>
        <w:jc w:val="both"/>
      </w:pPr>
      <w:r>
        <w:t>CSI-RS density</w:t>
      </w:r>
    </w:p>
    <w:p w14:paraId="47833787" w14:textId="48ABEAA2" w:rsidR="002B253F" w:rsidRDefault="00207353" w:rsidP="00C23201">
      <w:pPr>
        <w:jc w:val="both"/>
        <w:rPr>
          <w:lang w:val="en-GB"/>
        </w:rPr>
      </w:pPr>
      <w:r>
        <w:rPr>
          <w:lang w:val="en-GB"/>
        </w:rPr>
        <w:t xml:space="preserve">For CSI-RS pattern, it is remaining an open issue what is the density for </w:t>
      </w:r>
      <w:r w:rsidR="001F6A81">
        <w:rPr>
          <w:lang w:val="en-GB"/>
        </w:rPr>
        <w:t>1</w:t>
      </w:r>
      <w:r>
        <w:rPr>
          <w:lang w:val="en-GB"/>
        </w:rPr>
        <w:t xml:space="preserve"> port case. Density d = 1 and d = 3 have agreed, while there are still some proposals suggesting that density up-to d = 6 is needed. In this section, we provide some simulation results comparing the performance of different densities from CSI acquisition perspective.</w:t>
      </w:r>
    </w:p>
    <w:p w14:paraId="213076B1" w14:textId="025FAB99" w:rsidR="00207353" w:rsidRDefault="00207353" w:rsidP="00C23201">
      <w:pPr>
        <w:jc w:val="both"/>
        <w:rPr>
          <w:lang w:val="en-GB"/>
        </w:rPr>
        <w:sectPr w:rsidR="00207353" w:rsidSect="004F2A5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r>
        <w:rPr>
          <w:lang w:val="en-GB"/>
        </w:rPr>
        <w:t>In our simulation, we consider a precoded CSI-RS with a SVD precoder derived using sounding channel. FFT-based channel estimation is carried out. Based on the channel estimation, the UE computes an SE for a given subband of 4RBs. We also provide the MCS selection results using the computed subband SE. TDL-C channel model is used and subcarrier spacing is 30kHz.</w:t>
      </w:r>
    </w:p>
    <w:p w14:paraId="3ED36EBB" w14:textId="6033E53D" w:rsidR="00207353" w:rsidRDefault="00207353" w:rsidP="00C23201">
      <w:pPr>
        <w:jc w:val="center"/>
        <w:rPr>
          <w:lang w:val="en-GB"/>
        </w:rPr>
      </w:pPr>
      <w:r>
        <w:rPr>
          <w:noProof/>
          <w:lang w:val="en-GB"/>
        </w:rPr>
        <w:drawing>
          <wp:inline distT="0" distB="0" distL="0" distR="0" wp14:anchorId="5BA059E8" wp14:editId="618CB9E5">
            <wp:extent cx="2874296" cy="2155723"/>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FTg0.1_30k_100ns_2_1_2Tx_2Rx_4RB_density_SE_cdf.jpg"/>
                    <pic:cNvPicPr/>
                  </pic:nvPicPr>
                  <pic:blipFill>
                    <a:blip r:embed="rId15">
                      <a:extLst>
                        <a:ext uri="{28A0092B-C50C-407E-A947-70E740481C1C}">
                          <a14:useLocalDpi xmlns:a14="http://schemas.microsoft.com/office/drawing/2010/main" val="0"/>
                        </a:ext>
                      </a:extLst>
                    </a:blip>
                    <a:stretch>
                      <a:fillRect/>
                    </a:stretch>
                  </pic:blipFill>
                  <pic:spPr>
                    <a:xfrm>
                      <a:off x="0" y="0"/>
                      <a:ext cx="2914666" cy="2186000"/>
                    </a:xfrm>
                    <a:prstGeom prst="rect">
                      <a:avLst/>
                    </a:prstGeom>
                  </pic:spPr>
                </pic:pic>
              </a:graphicData>
            </a:graphic>
          </wp:inline>
        </w:drawing>
      </w:r>
    </w:p>
    <w:p w14:paraId="41EE3871" w14:textId="5DD505D7" w:rsidR="00207353" w:rsidRDefault="00207353" w:rsidP="00C23201">
      <w:pPr>
        <w:jc w:val="center"/>
        <w:rPr>
          <w:lang w:val="en-GB"/>
        </w:rPr>
      </w:pPr>
      <w:r>
        <w:rPr>
          <w:lang w:val="en-GB"/>
        </w:rPr>
        <w:t>Figure 1. SE cdf: DS = 100ns, 4RB</w:t>
      </w:r>
    </w:p>
    <w:p w14:paraId="5270F7FA" w14:textId="2C242EA6" w:rsidR="00207353" w:rsidRDefault="00207353" w:rsidP="00C23201">
      <w:pPr>
        <w:jc w:val="center"/>
        <w:rPr>
          <w:lang w:val="en-GB"/>
        </w:rPr>
      </w:pPr>
      <w:r>
        <w:rPr>
          <w:noProof/>
          <w:lang w:val="en-GB"/>
        </w:rPr>
        <w:drawing>
          <wp:inline distT="0" distB="0" distL="0" distR="0" wp14:anchorId="50488DD3" wp14:editId="436D7283">
            <wp:extent cx="2856956" cy="2142718"/>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Tg0.1_30k_100ns_2_1_2Tx_2Rx_4RB_density_MCS_cdf.jpg"/>
                    <pic:cNvPicPr/>
                  </pic:nvPicPr>
                  <pic:blipFill>
                    <a:blip r:embed="rId16">
                      <a:extLst>
                        <a:ext uri="{28A0092B-C50C-407E-A947-70E740481C1C}">
                          <a14:useLocalDpi xmlns:a14="http://schemas.microsoft.com/office/drawing/2010/main" val="0"/>
                        </a:ext>
                      </a:extLst>
                    </a:blip>
                    <a:stretch>
                      <a:fillRect/>
                    </a:stretch>
                  </pic:blipFill>
                  <pic:spPr>
                    <a:xfrm>
                      <a:off x="0" y="0"/>
                      <a:ext cx="2903661" cy="2177747"/>
                    </a:xfrm>
                    <a:prstGeom prst="rect">
                      <a:avLst/>
                    </a:prstGeom>
                  </pic:spPr>
                </pic:pic>
              </a:graphicData>
            </a:graphic>
          </wp:inline>
        </w:drawing>
      </w:r>
    </w:p>
    <w:p w14:paraId="031E63DC" w14:textId="7F58C9A9" w:rsidR="00207353" w:rsidRDefault="00207353" w:rsidP="00C23201">
      <w:pPr>
        <w:jc w:val="center"/>
        <w:rPr>
          <w:lang w:val="en-GB"/>
        </w:rPr>
      </w:pPr>
      <w:r>
        <w:rPr>
          <w:lang w:val="en-GB"/>
        </w:rPr>
        <w:t>Figure 2. MCS cdf: DS = 100ns, 4RB</w:t>
      </w:r>
    </w:p>
    <w:p w14:paraId="15C9DF12" w14:textId="168EEB65" w:rsidR="00C06369" w:rsidRDefault="00C06369" w:rsidP="00C23201">
      <w:pPr>
        <w:jc w:val="center"/>
        <w:rPr>
          <w:lang w:val="en-GB"/>
        </w:rPr>
        <w:sectPr w:rsidR="00C06369" w:rsidSect="00207353">
          <w:footnotePr>
            <w:numRestart w:val="eachSect"/>
          </w:footnotePr>
          <w:type w:val="continuous"/>
          <w:pgSz w:w="12240" w:h="15840" w:code="1"/>
          <w:pgMar w:top="1418" w:right="1134" w:bottom="1080" w:left="1134" w:header="680" w:footer="567" w:gutter="0"/>
          <w:cols w:num="2" w:space="720"/>
          <w:docGrid w:linePitch="272"/>
        </w:sectPr>
      </w:pPr>
    </w:p>
    <w:p w14:paraId="6C86112E" w14:textId="2AE6140F" w:rsidR="00207353" w:rsidRDefault="00C06369" w:rsidP="00C23201">
      <w:pPr>
        <w:jc w:val="center"/>
        <w:rPr>
          <w:lang w:val="en-GB"/>
        </w:rPr>
      </w:pPr>
      <w:r>
        <w:rPr>
          <w:noProof/>
          <w:lang w:val="en-GB"/>
        </w:rPr>
        <w:lastRenderedPageBreak/>
        <w:drawing>
          <wp:inline distT="0" distB="0" distL="0" distR="0" wp14:anchorId="3A3DD10F" wp14:editId="37BC814F">
            <wp:extent cx="2954123" cy="22155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FTg0.1_30k_100ns_2_1_2Tx_2Rx_24RB_density_SE_cdf.jpg"/>
                    <pic:cNvPicPr/>
                  </pic:nvPicPr>
                  <pic:blipFill>
                    <a:blip r:embed="rId17">
                      <a:extLst>
                        <a:ext uri="{28A0092B-C50C-407E-A947-70E740481C1C}">
                          <a14:useLocalDpi xmlns:a14="http://schemas.microsoft.com/office/drawing/2010/main" val="0"/>
                        </a:ext>
                      </a:extLst>
                    </a:blip>
                    <a:stretch>
                      <a:fillRect/>
                    </a:stretch>
                  </pic:blipFill>
                  <pic:spPr>
                    <a:xfrm>
                      <a:off x="0" y="0"/>
                      <a:ext cx="2965152" cy="2223864"/>
                    </a:xfrm>
                    <a:prstGeom prst="rect">
                      <a:avLst/>
                    </a:prstGeom>
                  </pic:spPr>
                </pic:pic>
              </a:graphicData>
            </a:graphic>
          </wp:inline>
        </w:drawing>
      </w:r>
    </w:p>
    <w:p w14:paraId="0816ACC8" w14:textId="7A77EF21" w:rsidR="00C06369" w:rsidRDefault="00C06369" w:rsidP="00C23201">
      <w:pPr>
        <w:jc w:val="center"/>
        <w:rPr>
          <w:lang w:val="en-GB"/>
        </w:rPr>
      </w:pPr>
      <w:r>
        <w:rPr>
          <w:lang w:val="en-GB"/>
        </w:rPr>
        <w:t>Figure 3. SE cdf: DS = 100ns, 24RB</w:t>
      </w:r>
    </w:p>
    <w:p w14:paraId="1B93CCC9" w14:textId="5A613FE3" w:rsidR="00C06369" w:rsidRDefault="00C06369" w:rsidP="00C23201">
      <w:pPr>
        <w:jc w:val="center"/>
        <w:rPr>
          <w:lang w:val="en-GB"/>
        </w:rPr>
      </w:pPr>
      <w:r>
        <w:rPr>
          <w:noProof/>
          <w:lang w:val="en-GB"/>
        </w:rPr>
        <w:drawing>
          <wp:inline distT="0" distB="0" distL="0" distR="0" wp14:anchorId="62514B91" wp14:editId="42007FAA">
            <wp:extent cx="2936494" cy="220237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FTg0.1_30k_100ns_2_1_2Tx_2Rx_24RB_density_MCS_cdf.jpg"/>
                    <pic:cNvPicPr/>
                  </pic:nvPicPr>
                  <pic:blipFill>
                    <a:blip r:embed="rId18">
                      <a:extLst>
                        <a:ext uri="{28A0092B-C50C-407E-A947-70E740481C1C}">
                          <a14:useLocalDpi xmlns:a14="http://schemas.microsoft.com/office/drawing/2010/main" val="0"/>
                        </a:ext>
                      </a:extLst>
                    </a:blip>
                    <a:stretch>
                      <a:fillRect/>
                    </a:stretch>
                  </pic:blipFill>
                  <pic:spPr>
                    <a:xfrm>
                      <a:off x="0" y="0"/>
                      <a:ext cx="2968509" cy="2226381"/>
                    </a:xfrm>
                    <a:prstGeom prst="rect">
                      <a:avLst/>
                    </a:prstGeom>
                  </pic:spPr>
                </pic:pic>
              </a:graphicData>
            </a:graphic>
          </wp:inline>
        </w:drawing>
      </w:r>
    </w:p>
    <w:p w14:paraId="16A2C082" w14:textId="7504C4B0" w:rsidR="00C06369" w:rsidRPr="00C06369" w:rsidRDefault="00C06369" w:rsidP="00C23201">
      <w:pPr>
        <w:jc w:val="center"/>
        <w:rPr>
          <w:lang w:val="en-GB"/>
        </w:rPr>
        <w:sectPr w:rsidR="00C06369" w:rsidRPr="00C06369" w:rsidSect="00C06369">
          <w:footnotePr>
            <w:numRestart w:val="eachSect"/>
          </w:footnotePr>
          <w:type w:val="continuous"/>
          <w:pgSz w:w="12240" w:h="15840" w:code="1"/>
          <w:pgMar w:top="1418" w:right="1134" w:bottom="1080" w:left="1134" w:header="680" w:footer="567" w:gutter="0"/>
          <w:cols w:num="2" w:space="720"/>
          <w:docGrid w:linePitch="272"/>
        </w:sectPr>
      </w:pPr>
      <w:r>
        <w:rPr>
          <w:lang w:val="en-GB"/>
        </w:rPr>
        <w:t>Figure 4. MCS cdf: DS = 100ns, 24RB</w:t>
      </w:r>
    </w:p>
    <w:p w14:paraId="51FDB1FF" w14:textId="14A84F79" w:rsidR="00C06369" w:rsidRDefault="00C06369" w:rsidP="00C23201">
      <w:pPr>
        <w:jc w:val="center"/>
        <w:rPr>
          <w:lang w:val="en-GB"/>
        </w:rPr>
      </w:pPr>
      <w:r>
        <w:rPr>
          <w:noProof/>
          <w:lang w:val="en-GB"/>
        </w:rPr>
        <w:drawing>
          <wp:inline distT="0" distB="0" distL="0" distR="0" wp14:anchorId="2F643031" wp14:editId="341CD163">
            <wp:extent cx="2937510" cy="2203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FTg0.1_30k_300ns_2_1_2Tx_2Rx_4RB_density_SE_cdf.jpg"/>
                    <pic:cNvPicPr/>
                  </pic:nvPicPr>
                  <pic:blipFill>
                    <a:blip r:embed="rId19">
                      <a:extLst>
                        <a:ext uri="{28A0092B-C50C-407E-A947-70E740481C1C}">
                          <a14:useLocalDpi xmlns:a14="http://schemas.microsoft.com/office/drawing/2010/main" val="0"/>
                        </a:ext>
                      </a:extLst>
                    </a:blip>
                    <a:stretch>
                      <a:fillRect/>
                    </a:stretch>
                  </pic:blipFill>
                  <pic:spPr>
                    <a:xfrm>
                      <a:off x="0" y="0"/>
                      <a:ext cx="2937510" cy="2203450"/>
                    </a:xfrm>
                    <a:prstGeom prst="rect">
                      <a:avLst/>
                    </a:prstGeom>
                  </pic:spPr>
                </pic:pic>
              </a:graphicData>
            </a:graphic>
          </wp:inline>
        </w:drawing>
      </w:r>
      <w:r>
        <w:rPr>
          <w:lang w:val="en-GB"/>
        </w:rPr>
        <w:t>Figure 5. SE cdf: DS = 300ns, 4RB</w:t>
      </w:r>
    </w:p>
    <w:p w14:paraId="4FDF9557" w14:textId="058BF998" w:rsidR="00C06369" w:rsidRPr="002B253F" w:rsidRDefault="00C06369" w:rsidP="00C23201">
      <w:pPr>
        <w:jc w:val="center"/>
        <w:rPr>
          <w:lang w:val="en-GB"/>
        </w:rPr>
      </w:pPr>
      <w:r>
        <w:rPr>
          <w:noProof/>
          <w:lang w:val="en-GB"/>
        </w:rPr>
        <w:drawing>
          <wp:inline distT="0" distB="0" distL="0" distR="0" wp14:anchorId="45EA1E62" wp14:editId="3CFCD919">
            <wp:extent cx="2915906" cy="2187245"/>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FTg0.1_30k_300ns_2_1_2Tx_2Rx_4RB_density_MCS_cdf.jpg"/>
                    <pic:cNvPicPr/>
                  </pic:nvPicPr>
                  <pic:blipFill>
                    <a:blip r:embed="rId20">
                      <a:extLst>
                        <a:ext uri="{28A0092B-C50C-407E-A947-70E740481C1C}">
                          <a14:useLocalDpi xmlns:a14="http://schemas.microsoft.com/office/drawing/2010/main" val="0"/>
                        </a:ext>
                      </a:extLst>
                    </a:blip>
                    <a:stretch>
                      <a:fillRect/>
                    </a:stretch>
                  </pic:blipFill>
                  <pic:spPr>
                    <a:xfrm>
                      <a:off x="0" y="0"/>
                      <a:ext cx="2918684" cy="2189328"/>
                    </a:xfrm>
                    <a:prstGeom prst="rect">
                      <a:avLst/>
                    </a:prstGeom>
                  </pic:spPr>
                </pic:pic>
              </a:graphicData>
            </a:graphic>
          </wp:inline>
        </w:drawing>
      </w:r>
      <w:r>
        <w:rPr>
          <w:lang w:val="en-GB"/>
        </w:rPr>
        <w:t>Figure 6. MCS cdf: DS = 300ns, 4RB</w:t>
      </w:r>
    </w:p>
    <w:p w14:paraId="3A447C32" w14:textId="77777777" w:rsidR="00C06369" w:rsidRDefault="00C06369" w:rsidP="00C23201">
      <w:pPr>
        <w:jc w:val="center"/>
        <w:rPr>
          <w:lang w:val="en-GB"/>
        </w:rPr>
        <w:sectPr w:rsidR="00C06369" w:rsidSect="00C06369">
          <w:footnotePr>
            <w:numRestart w:val="eachSect"/>
          </w:footnotePr>
          <w:type w:val="continuous"/>
          <w:pgSz w:w="12240" w:h="15840" w:code="1"/>
          <w:pgMar w:top="1418" w:right="1134" w:bottom="1080" w:left="1134" w:header="680" w:footer="567" w:gutter="0"/>
          <w:cols w:num="2" w:space="720"/>
          <w:docGrid w:linePitch="272"/>
        </w:sectPr>
      </w:pPr>
    </w:p>
    <w:p w14:paraId="18E9F236" w14:textId="22B2C1F5" w:rsidR="00C06369" w:rsidRDefault="00C06369" w:rsidP="00C23201">
      <w:pPr>
        <w:jc w:val="center"/>
        <w:rPr>
          <w:lang w:val="en-GB"/>
        </w:rPr>
      </w:pPr>
      <w:r>
        <w:rPr>
          <w:noProof/>
          <w:lang w:val="en-GB"/>
        </w:rPr>
        <w:drawing>
          <wp:inline distT="0" distB="0" distL="0" distR="0" wp14:anchorId="2997A9C6" wp14:editId="60F98B20">
            <wp:extent cx="2937510" cy="22034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FTg0.1_30k_300ns_2_1_2Tx_2Rx_24RB_density_SE_cdf.jpg"/>
                    <pic:cNvPicPr/>
                  </pic:nvPicPr>
                  <pic:blipFill>
                    <a:blip r:embed="rId21">
                      <a:extLst>
                        <a:ext uri="{28A0092B-C50C-407E-A947-70E740481C1C}">
                          <a14:useLocalDpi xmlns:a14="http://schemas.microsoft.com/office/drawing/2010/main" val="0"/>
                        </a:ext>
                      </a:extLst>
                    </a:blip>
                    <a:stretch>
                      <a:fillRect/>
                    </a:stretch>
                  </pic:blipFill>
                  <pic:spPr>
                    <a:xfrm>
                      <a:off x="0" y="0"/>
                      <a:ext cx="2937510" cy="2203450"/>
                    </a:xfrm>
                    <a:prstGeom prst="rect">
                      <a:avLst/>
                    </a:prstGeom>
                  </pic:spPr>
                </pic:pic>
              </a:graphicData>
            </a:graphic>
          </wp:inline>
        </w:drawing>
      </w:r>
      <w:r>
        <w:rPr>
          <w:lang w:val="en-GB"/>
        </w:rPr>
        <w:t>Figure 7. SE cdf: DS = 300ns, 24RB</w:t>
      </w:r>
    </w:p>
    <w:p w14:paraId="5EE3A6C3" w14:textId="2A6A1309" w:rsidR="00C06369" w:rsidRPr="002B253F" w:rsidRDefault="00C06369" w:rsidP="00C23201">
      <w:pPr>
        <w:jc w:val="center"/>
        <w:rPr>
          <w:lang w:val="en-GB"/>
        </w:rPr>
      </w:pPr>
      <w:r>
        <w:rPr>
          <w:noProof/>
          <w:lang w:val="en-GB"/>
        </w:rPr>
        <w:drawing>
          <wp:inline distT="0" distB="0" distL="0" distR="0" wp14:anchorId="38B72787" wp14:editId="457218AA">
            <wp:extent cx="2937510" cy="22034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FTg0.1_30k_300ns_2_1_2Tx_2Rx_24RB_density_MCS_cdf.jpg"/>
                    <pic:cNvPicPr/>
                  </pic:nvPicPr>
                  <pic:blipFill>
                    <a:blip r:embed="rId22">
                      <a:extLst>
                        <a:ext uri="{28A0092B-C50C-407E-A947-70E740481C1C}">
                          <a14:useLocalDpi xmlns:a14="http://schemas.microsoft.com/office/drawing/2010/main" val="0"/>
                        </a:ext>
                      </a:extLst>
                    </a:blip>
                    <a:stretch>
                      <a:fillRect/>
                    </a:stretch>
                  </pic:blipFill>
                  <pic:spPr>
                    <a:xfrm>
                      <a:off x="0" y="0"/>
                      <a:ext cx="2937510" cy="2203450"/>
                    </a:xfrm>
                    <a:prstGeom prst="rect">
                      <a:avLst/>
                    </a:prstGeom>
                  </pic:spPr>
                </pic:pic>
              </a:graphicData>
            </a:graphic>
          </wp:inline>
        </w:drawing>
      </w:r>
      <w:r>
        <w:rPr>
          <w:lang w:val="en-GB"/>
        </w:rPr>
        <w:t>Figure 8. MCS cdf: DS = 300ns, 24RB</w:t>
      </w:r>
    </w:p>
    <w:p w14:paraId="3340F764" w14:textId="77777777" w:rsidR="00C06369" w:rsidRDefault="00C06369" w:rsidP="00C23201">
      <w:pPr>
        <w:jc w:val="center"/>
        <w:rPr>
          <w:lang w:val="en-GB"/>
        </w:rPr>
        <w:sectPr w:rsidR="00C06369" w:rsidSect="00C06369">
          <w:footnotePr>
            <w:numRestart w:val="eachSect"/>
          </w:footnotePr>
          <w:type w:val="continuous"/>
          <w:pgSz w:w="12240" w:h="15840" w:code="1"/>
          <w:pgMar w:top="1418" w:right="1134" w:bottom="1080" w:left="1134" w:header="680" w:footer="567" w:gutter="0"/>
          <w:cols w:num="2" w:space="720"/>
          <w:docGrid w:linePitch="272"/>
        </w:sectPr>
      </w:pPr>
    </w:p>
    <w:p w14:paraId="687CE046" w14:textId="587A84E6" w:rsidR="00C06369" w:rsidRDefault="00C06369" w:rsidP="00C23201">
      <w:pPr>
        <w:jc w:val="both"/>
        <w:rPr>
          <w:lang w:val="en-GB"/>
        </w:rPr>
      </w:pPr>
      <w:r>
        <w:rPr>
          <w:lang w:val="en-GB"/>
        </w:rPr>
        <w:t>As shown from Figure 1-8, we can see that density d = 6 provides very tiny gain with very small RB allocation, e.g., 4RB, and such a marginal gain is only observable at very low SNR. With large CSI-RS transmission bandwidth, there is no benefit of having density = 6. Moreover, from a throughput perspective, the overhead resulted by d = 6 should be counted. For a 4RB scheduling of PDSC</w:t>
      </w:r>
      <w:r w:rsidR="00630D73">
        <w:rPr>
          <w:lang w:val="en-GB"/>
        </w:rPr>
        <w:t xml:space="preserve">H and the slot has 8 symbols available for PDSCH, there are </w:t>
      </w:r>
      <w:r w:rsidR="0000347E">
        <w:rPr>
          <w:lang w:val="en-GB"/>
        </w:rPr>
        <w:t>360</w:t>
      </w:r>
      <w:r w:rsidR="00630D73">
        <w:rPr>
          <w:lang w:val="en-GB"/>
        </w:rPr>
        <w:t>REs f</w:t>
      </w:r>
      <w:r w:rsidR="0000347E">
        <w:rPr>
          <w:lang w:val="en-GB"/>
        </w:rPr>
        <w:t>or d = 6, 372 REs for d = 3 and 380</w:t>
      </w:r>
      <w:r w:rsidR="00630D73">
        <w:rPr>
          <w:lang w:val="en-GB"/>
        </w:rPr>
        <w:t>REs for d = 1</w:t>
      </w:r>
      <w:r>
        <w:rPr>
          <w:lang w:val="en-GB"/>
        </w:rPr>
        <w:t>.</w:t>
      </w:r>
      <w:r w:rsidR="00630D73">
        <w:rPr>
          <w:lang w:val="en-GB"/>
        </w:rPr>
        <w:t xml:space="preserve"> From Figure 8, at 50%, d = 6 selects MCS = 4, d = </w:t>
      </w:r>
      <w:r w:rsidR="00C80518">
        <w:rPr>
          <w:lang w:val="en-GB"/>
        </w:rPr>
        <w:t>3 selects MCS = 4, d = 1 selects MCS d = 3</w:t>
      </w:r>
      <w:r w:rsidR="00630D73">
        <w:rPr>
          <w:lang w:val="en-GB"/>
        </w:rPr>
        <w:t xml:space="preserve">, with SNR </w:t>
      </w:r>
      <w:r w:rsidR="00630D73">
        <w:rPr>
          <w:lang w:val="en-GB"/>
        </w:rPr>
        <w:lastRenderedPageBreak/>
        <w:t>= -8dB. The modulation order for MCS = 3 and MCS = 4 are QPSK, and the coding rate are 0.1</w:t>
      </w:r>
      <w:r w:rsidR="0000347E">
        <w:rPr>
          <w:lang w:val="en-GB"/>
        </w:rPr>
        <w:t>520 and 0.1867</w:t>
      </w:r>
      <w:r w:rsidR="00630D73">
        <w:rPr>
          <w:lang w:val="en-GB"/>
        </w:rPr>
        <w:t>, respectively. Then, we can derive the throughput with BLER = 10% as</w:t>
      </w:r>
    </w:p>
    <w:p w14:paraId="6E6CC6B2" w14:textId="4FCF5A3B" w:rsidR="00630D73" w:rsidRPr="00C80518" w:rsidRDefault="00630D73" w:rsidP="00C23201">
      <w:pPr>
        <w:pStyle w:val="ListParagraph"/>
        <w:numPr>
          <w:ilvl w:val="0"/>
          <w:numId w:val="33"/>
        </w:numPr>
        <w:jc w:val="both"/>
        <w:rPr>
          <w:rFonts w:ascii="Times New Roman" w:eastAsia="宋体" w:hAnsi="Times New Roman"/>
          <w:sz w:val="20"/>
          <w:szCs w:val="20"/>
          <w:lang w:val="en-GB"/>
        </w:rPr>
      </w:pPr>
      <w:r w:rsidRPr="00C80518">
        <w:rPr>
          <w:rFonts w:ascii="Times New Roman" w:eastAsia="宋体" w:hAnsi="Times New Roman"/>
          <w:sz w:val="20"/>
          <w:szCs w:val="20"/>
          <w:lang w:val="en-GB"/>
        </w:rPr>
        <w:t>For d = 6, THPT = 2*</w:t>
      </w:r>
      <w:r w:rsidR="0000347E">
        <w:rPr>
          <w:rFonts w:ascii="Times New Roman" w:eastAsia="宋体" w:hAnsi="Times New Roman"/>
          <w:sz w:val="20"/>
          <w:szCs w:val="20"/>
          <w:lang w:val="en-GB"/>
        </w:rPr>
        <w:t>0.1867*360</w:t>
      </w:r>
      <w:r w:rsidRPr="00C80518">
        <w:rPr>
          <w:rFonts w:ascii="Times New Roman" w:eastAsia="宋体" w:hAnsi="Times New Roman"/>
          <w:sz w:val="20"/>
          <w:szCs w:val="20"/>
          <w:lang w:val="en-GB"/>
        </w:rPr>
        <w:t xml:space="preserve">*0.9 = </w:t>
      </w:r>
      <w:r w:rsidR="0000347E">
        <w:rPr>
          <w:rFonts w:ascii="Times New Roman" w:eastAsia="宋体" w:hAnsi="Times New Roman"/>
          <w:sz w:val="20"/>
          <w:szCs w:val="20"/>
          <w:lang w:val="en-GB"/>
        </w:rPr>
        <w:t>121</w:t>
      </w:r>
      <w:r w:rsidRPr="00C80518">
        <w:rPr>
          <w:rFonts w:ascii="Times New Roman" w:eastAsia="宋体" w:hAnsi="Times New Roman"/>
          <w:sz w:val="20"/>
          <w:szCs w:val="20"/>
          <w:lang w:val="en-GB"/>
        </w:rPr>
        <w:t xml:space="preserve"> bits/slot</w:t>
      </w:r>
    </w:p>
    <w:p w14:paraId="1ABEBB4E" w14:textId="3B43C1C4" w:rsidR="00630D73" w:rsidRPr="00C80518" w:rsidRDefault="00630D73" w:rsidP="00C23201">
      <w:pPr>
        <w:pStyle w:val="ListParagraph"/>
        <w:numPr>
          <w:ilvl w:val="0"/>
          <w:numId w:val="33"/>
        </w:numPr>
        <w:jc w:val="both"/>
        <w:rPr>
          <w:rFonts w:ascii="Times New Roman" w:eastAsia="宋体" w:hAnsi="Times New Roman"/>
          <w:sz w:val="20"/>
          <w:szCs w:val="20"/>
          <w:lang w:val="en-GB"/>
        </w:rPr>
      </w:pPr>
      <w:r w:rsidRPr="00C80518">
        <w:rPr>
          <w:rFonts w:ascii="Times New Roman" w:eastAsia="宋体" w:hAnsi="Times New Roman"/>
          <w:sz w:val="20"/>
          <w:szCs w:val="20"/>
          <w:lang w:val="en-GB"/>
        </w:rPr>
        <w:t>For d = 3, THPT = 2*0.</w:t>
      </w:r>
      <w:r w:rsidR="0000347E">
        <w:rPr>
          <w:rFonts w:ascii="Times New Roman" w:eastAsia="宋体" w:hAnsi="Times New Roman"/>
          <w:sz w:val="20"/>
          <w:szCs w:val="20"/>
          <w:lang w:val="en-GB"/>
        </w:rPr>
        <w:t>1867*372</w:t>
      </w:r>
      <w:r w:rsidRPr="00C80518">
        <w:rPr>
          <w:rFonts w:ascii="Times New Roman" w:eastAsia="宋体" w:hAnsi="Times New Roman"/>
          <w:sz w:val="20"/>
          <w:szCs w:val="20"/>
          <w:lang w:val="en-GB"/>
        </w:rPr>
        <w:t xml:space="preserve">*0.9 = </w:t>
      </w:r>
      <w:r w:rsidR="0000347E">
        <w:rPr>
          <w:rFonts w:ascii="Times New Roman" w:eastAsia="宋体" w:hAnsi="Times New Roman"/>
          <w:sz w:val="20"/>
          <w:szCs w:val="20"/>
          <w:lang w:val="en-GB"/>
        </w:rPr>
        <w:t>125</w:t>
      </w:r>
      <w:r w:rsidRPr="00C80518">
        <w:rPr>
          <w:rFonts w:ascii="Times New Roman" w:eastAsia="宋体" w:hAnsi="Times New Roman"/>
          <w:sz w:val="20"/>
          <w:szCs w:val="20"/>
          <w:lang w:val="en-GB"/>
        </w:rPr>
        <w:t xml:space="preserve"> bits/slot</w:t>
      </w:r>
    </w:p>
    <w:p w14:paraId="4DAC826D" w14:textId="19DF208A" w:rsidR="00C80518" w:rsidRPr="00C80518" w:rsidRDefault="0000347E" w:rsidP="00C23201">
      <w:pPr>
        <w:pStyle w:val="ListParagraph"/>
        <w:numPr>
          <w:ilvl w:val="0"/>
          <w:numId w:val="33"/>
        </w:numPr>
        <w:jc w:val="both"/>
        <w:rPr>
          <w:rFonts w:ascii="Times New Roman" w:eastAsia="宋体" w:hAnsi="Times New Roman"/>
          <w:sz w:val="20"/>
          <w:szCs w:val="20"/>
          <w:lang w:val="en-GB"/>
        </w:rPr>
      </w:pPr>
      <w:r>
        <w:rPr>
          <w:rFonts w:ascii="Times New Roman" w:eastAsia="宋体" w:hAnsi="Times New Roman"/>
          <w:sz w:val="20"/>
          <w:szCs w:val="20"/>
          <w:lang w:val="en-GB"/>
        </w:rPr>
        <w:t>For d = 1, THPT = 2*0.1520*380</w:t>
      </w:r>
      <w:r w:rsidR="00C80518" w:rsidRPr="00C80518">
        <w:rPr>
          <w:rFonts w:ascii="Times New Roman" w:eastAsia="宋体" w:hAnsi="Times New Roman"/>
          <w:sz w:val="20"/>
          <w:szCs w:val="20"/>
          <w:lang w:val="en-GB"/>
        </w:rPr>
        <w:t xml:space="preserve">*0.9 = </w:t>
      </w:r>
      <w:r>
        <w:rPr>
          <w:rFonts w:ascii="Times New Roman" w:eastAsia="宋体" w:hAnsi="Times New Roman"/>
          <w:sz w:val="20"/>
          <w:szCs w:val="20"/>
          <w:lang w:val="en-GB"/>
        </w:rPr>
        <w:t>104</w:t>
      </w:r>
      <w:r w:rsidR="00C80518" w:rsidRPr="00C80518">
        <w:rPr>
          <w:rFonts w:ascii="Times New Roman" w:eastAsia="宋体" w:hAnsi="Times New Roman"/>
          <w:sz w:val="20"/>
          <w:szCs w:val="20"/>
          <w:lang w:val="en-GB"/>
        </w:rPr>
        <w:t xml:space="preserve"> bits/slot</w:t>
      </w:r>
    </w:p>
    <w:p w14:paraId="76595666" w14:textId="1C49C418" w:rsidR="00C80518" w:rsidRPr="00C06369" w:rsidRDefault="00C80518" w:rsidP="00C23201">
      <w:pPr>
        <w:jc w:val="both"/>
        <w:rPr>
          <w:lang w:val="en-GB"/>
        </w:rPr>
      </w:pPr>
      <w:r>
        <w:rPr>
          <w:lang w:val="en-GB"/>
        </w:rPr>
        <w:t xml:space="preserve">Apparently, density d = 6 does not yield a better performance than </w:t>
      </w:r>
      <w:r w:rsidR="0000347E">
        <w:rPr>
          <w:lang w:val="en-GB"/>
        </w:rPr>
        <w:t>density = 3</w:t>
      </w:r>
      <w:r>
        <w:rPr>
          <w:lang w:val="en-GB"/>
        </w:rPr>
        <w:t>. Hence, based on the discussion, we propose</w:t>
      </w:r>
    </w:p>
    <w:p w14:paraId="4C2DBC2C" w14:textId="3495CF4B" w:rsidR="004A053C" w:rsidRPr="004A053C" w:rsidRDefault="004A053C" w:rsidP="00C23201">
      <w:pPr>
        <w:jc w:val="both"/>
        <w:rPr>
          <w:b/>
          <w:i/>
          <w:lang w:val="en-GB"/>
        </w:rPr>
      </w:pPr>
      <w:r w:rsidRPr="004A053C">
        <w:rPr>
          <w:b/>
          <w:i/>
          <w:lang w:val="en-GB"/>
        </w:rPr>
        <w:t>Proposal</w:t>
      </w:r>
      <w:r>
        <w:rPr>
          <w:b/>
          <w:i/>
          <w:lang w:val="en-GB"/>
        </w:rPr>
        <w:t xml:space="preserve"> 4</w:t>
      </w:r>
      <w:r w:rsidRPr="004A053C">
        <w:rPr>
          <w:b/>
          <w:i/>
          <w:lang w:val="en-GB"/>
        </w:rPr>
        <w:t>: CSI-RS density equal to 6REs/RB/port should be avoided.</w:t>
      </w:r>
    </w:p>
    <w:p w14:paraId="1FBD6988" w14:textId="67646033" w:rsidR="0010767A" w:rsidRDefault="0010767A" w:rsidP="00C23201">
      <w:pPr>
        <w:pStyle w:val="Heading2"/>
        <w:jc w:val="both"/>
      </w:pPr>
      <w:r>
        <w:t>CSI-RS transmission bandwidth</w:t>
      </w:r>
    </w:p>
    <w:p w14:paraId="078B3B7E" w14:textId="7A23DB0F" w:rsidR="001F6A81" w:rsidRDefault="001F6A81" w:rsidP="00C23201">
      <w:pPr>
        <w:jc w:val="both"/>
        <w:rPr>
          <w:lang w:val="en-GB"/>
        </w:rPr>
      </w:pPr>
      <w:r>
        <w:rPr>
          <w:lang w:val="en-GB"/>
        </w:rPr>
        <w:t>In the last meeting, it has been agreed that when the CSI-RS transmission bandwidth is smaller than the corresponding BWP, it should be greater than X RBs and the value of X is FFS</w:t>
      </w:r>
      <w:r w:rsidR="001F0975">
        <w:rPr>
          <w:lang w:val="en-GB"/>
        </w:rPr>
        <w:t xml:space="preserve"> [1]</w:t>
      </w:r>
      <w:r>
        <w:rPr>
          <w:lang w:val="en-GB"/>
        </w:rPr>
        <w:t>. There are some proposals in the email discussion that the transmission bandwidth can be as small as 4RBs. To justify what is the minimum bandwidth, we provide some simulation results from CSI acquisition perspective. The simulation setup is similar to the previous section.</w:t>
      </w:r>
    </w:p>
    <w:p w14:paraId="41775CA8" w14:textId="77777777" w:rsidR="001F6A81" w:rsidRDefault="001F6A81" w:rsidP="00C23201">
      <w:pPr>
        <w:jc w:val="both"/>
        <w:rPr>
          <w:lang w:val="en-GB"/>
        </w:rPr>
        <w:sectPr w:rsidR="001F6A81" w:rsidSect="004F2A55">
          <w:footnotePr>
            <w:numRestart w:val="eachSect"/>
          </w:footnotePr>
          <w:type w:val="continuous"/>
          <w:pgSz w:w="12240" w:h="15840" w:code="1"/>
          <w:pgMar w:top="1418" w:right="1134" w:bottom="1080" w:left="1134" w:header="680" w:footer="567" w:gutter="0"/>
          <w:cols w:space="720"/>
          <w:docGrid w:linePitch="272"/>
        </w:sectPr>
      </w:pPr>
    </w:p>
    <w:p w14:paraId="49E0ACF8" w14:textId="0FC2DBCF" w:rsidR="001F6A81" w:rsidRDefault="001F6A81" w:rsidP="00C23201">
      <w:pPr>
        <w:jc w:val="center"/>
        <w:rPr>
          <w:lang w:val="en-GB"/>
        </w:rPr>
      </w:pPr>
      <w:r>
        <w:rPr>
          <w:noProof/>
          <w:lang w:val="en-GB"/>
        </w:rPr>
        <w:drawing>
          <wp:inline distT="0" distB="0" distL="0" distR="0" wp14:anchorId="4A7361F2" wp14:editId="2CB9DDCF">
            <wp:extent cx="3014406" cy="2260804"/>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FTg0.1_30k_100ns_2_1_2Tx_2Rx_D1_BW_SE_cdf.jpg"/>
                    <pic:cNvPicPr/>
                  </pic:nvPicPr>
                  <pic:blipFill>
                    <a:blip r:embed="rId23">
                      <a:extLst>
                        <a:ext uri="{28A0092B-C50C-407E-A947-70E740481C1C}">
                          <a14:useLocalDpi xmlns:a14="http://schemas.microsoft.com/office/drawing/2010/main" val="0"/>
                        </a:ext>
                      </a:extLst>
                    </a:blip>
                    <a:stretch>
                      <a:fillRect/>
                    </a:stretch>
                  </pic:blipFill>
                  <pic:spPr>
                    <a:xfrm>
                      <a:off x="0" y="0"/>
                      <a:ext cx="3033176" cy="2274881"/>
                    </a:xfrm>
                    <a:prstGeom prst="rect">
                      <a:avLst/>
                    </a:prstGeom>
                  </pic:spPr>
                </pic:pic>
              </a:graphicData>
            </a:graphic>
          </wp:inline>
        </w:drawing>
      </w:r>
    </w:p>
    <w:p w14:paraId="512369D6" w14:textId="1150C120" w:rsidR="001F6A81" w:rsidRDefault="001F6A81" w:rsidP="00C23201">
      <w:pPr>
        <w:jc w:val="center"/>
        <w:rPr>
          <w:lang w:val="en-GB"/>
        </w:rPr>
      </w:pPr>
      <w:r>
        <w:rPr>
          <w:lang w:val="en-GB"/>
        </w:rPr>
        <w:t>Figure 9. SE cdf: DS = 100ns, density = 1</w:t>
      </w:r>
    </w:p>
    <w:p w14:paraId="084E039A" w14:textId="4B088A3F" w:rsidR="001F6A81" w:rsidRDefault="001F6A81" w:rsidP="00C23201">
      <w:pPr>
        <w:jc w:val="center"/>
        <w:rPr>
          <w:lang w:val="en-GB"/>
        </w:rPr>
      </w:pPr>
      <w:r>
        <w:rPr>
          <w:noProof/>
          <w:lang w:val="en-GB"/>
        </w:rPr>
        <w:drawing>
          <wp:inline distT="0" distB="0" distL="0" distR="0" wp14:anchorId="77B00248" wp14:editId="33EF60D5">
            <wp:extent cx="3022397" cy="2266798"/>
            <wp:effectExtent l="0" t="0" r="698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FTg0.1_30k_100ns_2_1_2Tx_2Rx_D1_BW_MCS_cdf.jpg"/>
                    <pic:cNvPicPr/>
                  </pic:nvPicPr>
                  <pic:blipFill>
                    <a:blip r:embed="rId24">
                      <a:extLst>
                        <a:ext uri="{28A0092B-C50C-407E-A947-70E740481C1C}">
                          <a14:useLocalDpi xmlns:a14="http://schemas.microsoft.com/office/drawing/2010/main" val="0"/>
                        </a:ext>
                      </a:extLst>
                    </a:blip>
                    <a:stretch>
                      <a:fillRect/>
                    </a:stretch>
                  </pic:blipFill>
                  <pic:spPr>
                    <a:xfrm>
                      <a:off x="0" y="0"/>
                      <a:ext cx="3050071" cy="2287553"/>
                    </a:xfrm>
                    <a:prstGeom prst="rect">
                      <a:avLst/>
                    </a:prstGeom>
                  </pic:spPr>
                </pic:pic>
              </a:graphicData>
            </a:graphic>
          </wp:inline>
        </w:drawing>
      </w:r>
    </w:p>
    <w:p w14:paraId="72EDB264" w14:textId="2C165A13" w:rsidR="001F6A81" w:rsidRDefault="001F6A81" w:rsidP="00C23201">
      <w:pPr>
        <w:jc w:val="center"/>
        <w:rPr>
          <w:lang w:val="en-GB"/>
        </w:rPr>
      </w:pPr>
      <w:r>
        <w:rPr>
          <w:lang w:val="en-GB"/>
        </w:rPr>
        <w:t xml:space="preserve">Figure 10. </w:t>
      </w:r>
      <w:r w:rsidR="00C23201">
        <w:rPr>
          <w:lang w:val="en-GB"/>
        </w:rPr>
        <w:t>MCS</w:t>
      </w:r>
      <w:r>
        <w:rPr>
          <w:lang w:val="en-GB"/>
        </w:rPr>
        <w:t xml:space="preserve"> cdf: DS = 100ns, density = 1</w:t>
      </w:r>
    </w:p>
    <w:p w14:paraId="447D5E17" w14:textId="77777777" w:rsidR="001F6A81" w:rsidRDefault="001F6A81" w:rsidP="00C23201">
      <w:pPr>
        <w:jc w:val="center"/>
        <w:rPr>
          <w:lang w:val="en-GB"/>
        </w:rPr>
        <w:sectPr w:rsidR="001F6A81" w:rsidSect="001F6A81">
          <w:footnotePr>
            <w:numRestart w:val="eachSect"/>
          </w:footnotePr>
          <w:type w:val="continuous"/>
          <w:pgSz w:w="12240" w:h="15840" w:code="1"/>
          <w:pgMar w:top="1418" w:right="1134" w:bottom="1080" w:left="1134" w:header="680" w:footer="567" w:gutter="0"/>
          <w:cols w:num="2" w:space="720"/>
          <w:docGrid w:linePitch="272"/>
        </w:sectPr>
      </w:pPr>
    </w:p>
    <w:p w14:paraId="21AC72A6" w14:textId="2B9A1342" w:rsidR="001F6A81" w:rsidRDefault="00C23201" w:rsidP="00C23201">
      <w:pPr>
        <w:jc w:val="both"/>
        <w:rPr>
          <w:lang w:val="en-GB"/>
        </w:rPr>
      </w:pPr>
      <w:r>
        <w:rPr>
          <w:lang w:val="en-GB"/>
        </w:rPr>
        <w:t>As can be seen from Figure 9 and 10, CSI-RS transmission bandwidth smaller than 20RBs yields a SE/MCS loss, especially for 4RB allocation, the performance loss is not acceptable. Based on this observation, we propose</w:t>
      </w:r>
    </w:p>
    <w:p w14:paraId="10CB5FDE" w14:textId="6B1B0B3E" w:rsidR="004A053C" w:rsidRPr="004A053C" w:rsidRDefault="004A053C" w:rsidP="00C23201">
      <w:pPr>
        <w:jc w:val="both"/>
        <w:rPr>
          <w:b/>
          <w:i/>
          <w:lang w:val="en-GB"/>
        </w:rPr>
      </w:pPr>
      <w:r w:rsidRPr="004A053C">
        <w:rPr>
          <w:b/>
          <w:i/>
          <w:lang w:val="en-GB"/>
        </w:rPr>
        <w:t>Proposal 5: CSI-RS transmission bandwidth should be greater than or equal to 20RBs.</w:t>
      </w:r>
    </w:p>
    <w:p w14:paraId="3247A5CB" w14:textId="3D77033D" w:rsidR="0010767A" w:rsidRDefault="0010767A" w:rsidP="00C23201">
      <w:pPr>
        <w:pStyle w:val="Heading2"/>
        <w:jc w:val="both"/>
      </w:pPr>
      <w:r>
        <w:t>Power offset relative to other RSs</w:t>
      </w:r>
    </w:p>
    <w:p w14:paraId="19C40EEF" w14:textId="608C45CD" w:rsidR="004A053C" w:rsidRDefault="004A053C" w:rsidP="00C23201">
      <w:pPr>
        <w:jc w:val="both"/>
        <w:rPr>
          <w:lang w:val="en-GB"/>
        </w:rPr>
      </w:pPr>
      <w:r>
        <w:rPr>
          <w:lang w:val="en-GB"/>
        </w:rPr>
        <w:t>In LTE, CSI-RS is mainly used for CSI acquisition, hence power ratio between CSI-RS and PDSCH, denoted by Pc_PDSCH, should be configured to UE so that UE can report CSI assuming a relatively same power as the PDSCH. In NR, CSI-RS has many functionalities. For CSI acquisition, we think the power ratio between CSIRS and PDSCH should be configured to UE, the value of Pc_PDSCH needs further discussion from RAN4 perspective.</w:t>
      </w:r>
    </w:p>
    <w:p w14:paraId="530466C8" w14:textId="28DA7F7B" w:rsidR="004A053C" w:rsidRDefault="004A053C" w:rsidP="00C23201">
      <w:pPr>
        <w:jc w:val="both"/>
        <w:rPr>
          <w:lang w:val="en-GB"/>
        </w:rPr>
      </w:pPr>
      <w:r>
        <w:rPr>
          <w:lang w:val="en-GB"/>
        </w:rPr>
        <w:t>In NR, CSI-RS is also used for beam management. It has been agreed that to perform beam failure detection, UE has to be aware of the power ratio between CSI-RS and the PDDCH DMRS, so that UE can evaluate the hypothetical BLER of PDCCH using the channel measurement. During the extension email discussion after the last meeting, 3 alternatives were proposed to allow UE be aware of this value.</w:t>
      </w:r>
    </w:p>
    <w:p w14:paraId="36409DF9" w14:textId="77777777" w:rsidR="00800B68" w:rsidRPr="004A053C" w:rsidRDefault="00FB6887" w:rsidP="00C23201">
      <w:pPr>
        <w:numPr>
          <w:ilvl w:val="0"/>
          <w:numId w:val="32"/>
        </w:numPr>
        <w:jc w:val="both"/>
      </w:pPr>
      <w:r w:rsidRPr="004A053C">
        <w:t>Alt-1: Explicitly signal to UE the Pc_PDCCH_DMRS via RRC</w:t>
      </w:r>
    </w:p>
    <w:p w14:paraId="67F92163" w14:textId="3EA961D5" w:rsidR="00800B68" w:rsidRPr="004A053C" w:rsidRDefault="00FB6887" w:rsidP="00C23201">
      <w:pPr>
        <w:numPr>
          <w:ilvl w:val="0"/>
          <w:numId w:val="32"/>
        </w:numPr>
        <w:jc w:val="both"/>
      </w:pPr>
      <w:r w:rsidRPr="004A053C">
        <w:t>Alt-2: Pc_PDCCH_DMRS is implicitly derived from Pc_PDSCH</w:t>
      </w:r>
    </w:p>
    <w:p w14:paraId="5B82BB30" w14:textId="77777777" w:rsidR="00800B68" w:rsidRPr="004A053C" w:rsidRDefault="00FB6887" w:rsidP="00C23201">
      <w:pPr>
        <w:numPr>
          <w:ilvl w:val="0"/>
          <w:numId w:val="32"/>
        </w:numPr>
        <w:jc w:val="both"/>
      </w:pPr>
      <w:r w:rsidRPr="004A053C">
        <w:t>Alt-3: Specify UE assumptions for Pc_PDCCH_DMRS, e.g., 0dB for case A, 3dB for case B, etc</w:t>
      </w:r>
    </w:p>
    <w:p w14:paraId="61595BC9" w14:textId="387A5C90" w:rsidR="004A053C" w:rsidRDefault="00EF09B6" w:rsidP="00C23201">
      <w:pPr>
        <w:jc w:val="both"/>
      </w:pPr>
      <w:r>
        <w:lastRenderedPageBreak/>
        <w:t>In our view, Alt-1 is the most flexible way and the value of Pc_PDCCH_DMRS is determined upto the network, UE does not need to do any additional operation to derive the power ratio assumption. Alt-2 needs to be carefully studied whether and how the Pc_PDCCH_DMRS can be derived from Pc_PDSCH. As beam failure detection is important for mmW, the reliability of such derivation should be carefully studied. Alt-3 has the same problem as Alt-2, the assumption for each case needs to be determined from RAN4 perspective.</w:t>
      </w:r>
    </w:p>
    <w:p w14:paraId="493DC9B9" w14:textId="12845E65" w:rsidR="00EF09B6" w:rsidRDefault="00EF09B6" w:rsidP="00C23201">
      <w:pPr>
        <w:jc w:val="both"/>
      </w:pPr>
      <w:r>
        <w:t>Besides, a third power ratio was proposed. That is, the power offset between CSI-RS and SS. The objective of this ratio is to support joint CSI-RS/SS block based RSRP calculation. In our view, this parameter is necessary, but a wide range of values (e.g., negative values) should be considered. Based on the above discussion, we propose</w:t>
      </w:r>
    </w:p>
    <w:p w14:paraId="7B260D8C" w14:textId="0C25699A" w:rsidR="00EF09B6" w:rsidRPr="00EF09B6" w:rsidRDefault="00EF09B6" w:rsidP="00C23201">
      <w:pPr>
        <w:jc w:val="both"/>
        <w:rPr>
          <w:b/>
          <w:i/>
        </w:rPr>
      </w:pPr>
      <w:r w:rsidRPr="00EF09B6">
        <w:rPr>
          <w:b/>
          <w:i/>
        </w:rPr>
        <w:t>Proposal 6: UE should be aware of the power ratio between CSI-RS and PDCCH DMRS. Details to be carefully studied.</w:t>
      </w:r>
    </w:p>
    <w:p w14:paraId="125100BB" w14:textId="7FD65CC5" w:rsidR="00EF09B6" w:rsidRPr="00EF09B6" w:rsidRDefault="00EF09B6" w:rsidP="00C23201">
      <w:pPr>
        <w:jc w:val="both"/>
        <w:rPr>
          <w:b/>
          <w:i/>
        </w:rPr>
      </w:pPr>
      <w:r w:rsidRPr="00EF09B6">
        <w:rPr>
          <w:b/>
          <w:i/>
        </w:rPr>
        <w:t>Proposal 7: The power ratio between CSI-RS and SS block should be provided to UE, the candidate values should span a wide range including negative values.</w:t>
      </w:r>
    </w:p>
    <w:p w14:paraId="6CADF4F0" w14:textId="77777777" w:rsidR="00821B54" w:rsidRDefault="00821B54" w:rsidP="00C23201">
      <w:pPr>
        <w:pStyle w:val="Heading2"/>
        <w:jc w:val="both"/>
      </w:pPr>
      <w:r>
        <w:t>QCL information within a CSI-RS resource</w:t>
      </w:r>
    </w:p>
    <w:p w14:paraId="689A82D0" w14:textId="46AD2317" w:rsidR="00821B54" w:rsidRDefault="00821B54" w:rsidP="00C23201">
      <w:pPr>
        <w:jc w:val="both"/>
        <w:rPr>
          <w:lang w:val="en-GB"/>
        </w:rPr>
      </w:pPr>
      <w:r>
        <w:rPr>
          <w:lang w:val="en-GB"/>
        </w:rPr>
        <w:t>It was agreed in the #90 that non-QCLed ports in one CSI-RS resource is supported</w:t>
      </w:r>
      <w:r w:rsidR="001F0975">
        <w:rPr>
          <w:lang w:val="en-GB"/>
        </w:rPr>
        <w:t xml:space="preserve"> [1]</w:t>
      </w:r>
      <w:r>
        <w:rPr>
          <w:lang w:val="en-GB"/>
        </w:rPr>
        <w:t xml:space="preserve">. However, it is preferred that the CSI-RS ports in one CDM group should be QCLed. This is because </w:t>
      </w:r>
      <w:r w:rsidRPr="00C079FA">
        <w:rPr>
          <w:lang w:val="en-GB"/>
        </w:rPr>
        <w:t>the UE algorithm is more complicated in order to get good performance since the UE cannot assume that long term statistics are the same across CDMed ports</w:t>
      </w:r>
      <w:r>
        <w:rPr>
          <w:lang w:val="en-GB"/>
        </w:rPr>
        <w:t>. Moreover, the total number of QCL assumptions in one CSI-RS resource should be limited. This is because UE cannot keep too many tracking loops to perform channel measurement. Too many tracking loops would increase the processing complexity and lower the efficiency in channel estimation and CSI calculation, thus cannot match the CSI report timing configured by the network. Hence, we propose</w:t>
      </w:r>
    </w:p>
    <w:p w14:paraId="0A99477F" w14:textId="794B460A" w:rsidR="00821B54" w:rsidRDefault="00821B54" w:rsidP="00C23201">
      <w:pPr>
        <w:jc w:val="both"/>
        <w:rPr>
          <w:b/>
          <w:i/>
          <w:lang w:val="en-GB"/>
        </w:rPr>
      </w:pPr>
      <w:r w:rsidRPr="00C079FA">
        <w:rPr>
          <w:b/>
          <w:i/>
          <w:lang w:val="en-GB"/>
        </w:rPr>
        <w:t>Proposal</w:t>
      </w:r>
      <w:r>
        <w:rPr>
          <w:b/>
          <w:i/>
          <w:lang w:val="en-GB"/>
        </w:rPr>
        <w:t xml:space="preserve"> </w:t>
      </w:r>
      <w:r w:rsidR="002D7CBA">
        <w:rPr>
          <w:b/>
          <w:i/>
          <w:lang w:val="en-GB"/>
        </w:rPr>
        <w:t>8</w:t>
      </w:r>
      <w:r w:rsidRPr="00C079FA">
        <w:rPr>
          <w:b/>
          <w:i/>
          <w:lang w:val="en-GB"/>
        </w:rPr>
        <w:t>: From UE perspective, CDM-ed ports in a CSI-RS resource are always QCLed</w:t>
      </w:r>
      <w:r>
        <w:rPr>
          <w:b/>
          <w:i/>
          <w:lang w:val="en-GB"/>
        </w:rPr>
        <w:t>, and the max number of different QCL assumptions should be limited to 2 per CSI-RS resource</w:t>
      </w:r>
      <w:r w:rsidRPr="00C079FA">
        <w:rPr>
          <w:b/>
          <w:i/>
          <w:lang w:val="en-GB"/>
        </w:rPr>
        <w:t>.</w:t>
      </w:r>
    </w:p>
    <w:p w14:paraId="3A36A4ED" w14:textId="032870AD" w:rsidR="00645BE0" w:rsidRDefault="00645BE0" w:rsidP="00C23201">
      <w:pPr>
        <w:jc w:val="both"/>
        <w:rPr>
          <w:b/>
          <w:i/>
          <w:lang w:val="en-GB"/>
        </w:rPr>
      </w:pPr>
      <w:r>
        <w:rPr>
          <w:b/>
          <w:i/>
          <w:lang w:val="en-GB"/>
        </w:rPr>
        <w:t>Proposal</w:t>
      </w:r>
      <w:r w:rsidR="002D7CBA">
        <w:rPr>
          <w:b/>
          <w:i/>
          <w:lang w:val="en-GB"/>
        </w:rPr>
        <w:t xml:space="preserve"> 9</w:t>
      </w:r>
      <w:r>
        <w:rPr>
          <w:b/>
          <w:i/>
          <w:lang w:val="en-GB"/>
        </w:rPr>
        <w:t xml:space="preserve">: </w:t>
      </w:r>
      <w:r w:rsidR="002D7CBA">
        <w:rPr>
          <w:b/>
          <w:i/>
          <w:lang w:val="en-GB"/>
        </w:rPr>
        <w:t xml:space="preserve">Specify the </w:t>
      </w:r>
      <w:r>
        <w:rPr>
          <w:b/>
          <w:i/>
          <w:lang w:val="en-GB"/>
        </w:rPr>
        <w:t>max</w:t>
      </w:r>
      <w:r w:rsidR="002D7CBA">
        <w:rPr>
          <w:b/>
          <w:i/>
          <w:lang w:val="en-GB"/>
        </w:rPr>
        <w:t>imal number</w:t>
      </w:r>
      <w:r>
        <w:rPr>
          <w:b/>
          <w:i/>
          <w:lang w:val="en-GB"/>
        </w:rPr>
        <w:t xml:space="preserve"> of total non-QCLed groups</w:t>
      </w:r>
      <w:r w:rsidR="002D7CBA">
        <w:rPr>
          <w:b/>
          <w:i/>
          <w:lang w:val="en-GB"/>
        </w:rPr>
        <w:t xml:space="preserve"> across all CC/BWP</w:t>
      </w:r>
      <w:r>
        <w:rPr>
          <w:b/>
          <w:i/>
          <w:lang w:val="en-GB"/>
        </w:rPr>
        <w:t xml:space="preserve"> as UE capability</w:t>
      </w:r>
      <w:r w:rsidR="002D7CBA">
        <w:rPr>
          <w:b/>
          <w:i/>
          <w:lang w:val="en-GB"/>
        </w:rPr>
        <w:t>.</w:t>
      </w:r>
    </w:p>
    <w:p w14:paraId="193E69DE" w14:textId="77777777" w:rsidR="00484501" w:rsidRPr="000855E5" w:rsidRDefault="00484501" w:rsidP="00484501">
      <w:pPr>
        <w:pStyle w:val="Heading2"/>
        <w:jc w:val="both"/>
      </w:pPr>
      <w:r w:rsidRPr="000855E5">
        <w:t>CSI-RS resource pattern for 4 port case</w:t>
      </w:r>
    </w:p>
    <w:p w14:paraId="0A702093" w14:textId="4A7DDE1D" w:rsidR="00484501" w:rsidRDefault="00484501" w:rsidP="00484501">
      <w:pPr>
        <w:jc w:val="both"/>
        <w:rPr>
          <w:lang w:val="en-GB"/>
        </w:rPr>
      </w:pPr>
      <w:r w:rsidRPr="000855E5">
        <w:rPr>
          <w:lang w:val="en-GB"/>
        </w:rPr>
        <w:t xml:space="preserve">After the last meeting, there was a discussion </w:t>
      </w:r>
      <w:r>
        <w:rPr>
          <w:lang w:val="en-GB"/>
        </w:rPr>
        <w:t xml:space="preserve">on whether component pattern (Y, </w:t>
      </w:r>
      <w:r w:rsidRPr="000855E5">
        <w:rPr>
          <w:lang w:val="en-GB"/>
        </w:rPr>
        <w:t>Z) = (2,</w:t>
      </w:r>
      <w:r>
        <w:rPr>
          <w:lang w:val="en-GB"/>
        </w:rPr>
        <w:t xml:space="preserve"> </w:t>
      </w:r>
      <w:r w:rsidRPr="000855E5">
        <w:rPr>
          <w:lang w:val="en-GB"/>
        </w:rPr>
        <w:t xml:space="preserve">2) should be adopted for 4 port case. In our understanding, for 4 port case, both (2,2) and (4,1) patterns were discussed.  As there is </w:t>
      </w:r>
      <w:r>
        <w:rPr>
          <w:lang w:val="en-GB"/>
        </w:rPr>
        <w:t xml:space="preserve">a </w:t>
      </w:r>
      <w:r w:rsidRPr="000855E5">
        <w:rPr>
          <w:lang w:val="en-GB"/>
        </w:rPr>
        <w:t xml:space="preserve">big concern regarding too many patterns for a given number of ports, the agreement in </w:t>
      </w:r>
      <w:r>
        <w:rPr>
          <w:lang w:val="en-GB"/>
        </w:rPr>
        <w:t>RAN1</w:t>
      </w:r>
      <w:r w:rsidRPr="000855E5">
        <w:rPr>
          <w:lang w:val="en-GB"/>
        </w:rPr>
        <w:t>#90 is to remove the RE pattern for N = 2 with (Y, Z) = (2, 2), but just keep the pattern for N = 1 with (Y, Z) = (4, 1).</w:t>
      </w:r>
      <w:r>
        <w:rPr>
          <w:lang w:val="en-GB"/>
        </w:rPr>
        <w:t xml:space="preserve"> Hence, we propose</w:t>
      </w:r>
    </w:p>
    <w:p w14:paraId="0A9E605A" w14:textId="44D112C7" w:rsidR="00484501" w:rsidRPr="000855E5" w:rsidRDefault="00484501" w:rsidP="00484501">
      <w:pPr>
        <w:jc w:val="both"/>
        <w:rPr>
          <w:b/>
          <w:i/>
        </w:rPr>
      </w:pPr>
      <w:r w:rsidRPr="000855E5">
        <w:rPr>
          <w:b/>
          <w:i/>
          <w:lang w:val="en-GB"/>
        </w:rPr>
        <w:t xml:space="preserve">Proposal 10: For 4 port case, </w:t>
      </w:r>
      <w:r>
        <w:rPr>
          <w:b/>
          <w:i/>
          <w:lang w:val="en-GB"/>
        </w:rPr>
        <w:t>the CSI-RS</w:t>
      </w:r>
      <w:r w:rsidRPr="000855E5">
        <w:rPr>
          <w:b/>
          <w:i/>
          <w:lang w:val="en-GB"/>
        </w:rPr>
        <w:t xml:space="preserve"> RE pattern for N = 2 with (Y, Z) = (2, 2)</w:t>
      </w:r>
      <w:r>
        <w:rPr>
          <w:b/>
          <w:i/>
          <w:lang w:val="en-GB"/>
        </w:rPr>
        <w:t xml:space="preserve"> is not supported in NR</w:t>
      </w:r>
      <w:r w:rsidRPr="000855E5">
        <w:rPr>
          <w:b/>
          <w:i/>
          <w:lang w:val="en-GB"/>
        </w:rPr>
        <w:t>.</w:t>
      </w:r>
    </w:p>
    <w:p w14:paraId="1A950084" w14:textId="005EBCA4" w:rsidR="00E3066B" w:rsidRPr="00823910" w:rsidRDefault="00E3066B" w:rsidP="00C23201">
      <w:pPr>
        <w:pStyle w:val="Heading1"/>
        <w:spacing w:before="120"/>
        <w:jc w:val="both"/>
      </w:pPr>
      <w:r w:rsidRPr="00823910">
        <w:t>Conclusions</w:t>
      </w:r>
    </w:p>
    <w:p w14:paraId="139119EC" w14:textId="5DE6C727" w:rsidR="00811B4D" w:rsidRPr="00823910" w:rsidRDefault="00E3066B" w:rsidP="00C23201">
      <w:pPr>
        <w:spacing w:before="120" w:after="120"/>
        <w:jc w:val="both"/>
        <w:rPr>
          <w:lang w:val="en-GB"/>
        </w:rPr>
      </w:pPr>
      <w:r w:rsidRPr="00823910">
        <w:rPr>
          <w:lang w:val="en-GB"/>
        </w:rPr>
        <w:t xml:space="preserve">To summarize, we discussed </w:t>
      </w:r>
      <w:r w:rsidR="00AC53CD" w:rsidRPr="00823910">
        <w:rPr>
          <w:lang w:val="en-GB"/>
        </w:rPr>
        <w:t>some open issues of CSI-RS</w:t>
      </w:r>
      <w:r w:rsidR="00C51D5C" w:rsidRPr="00823910">
        <w:rPr>
          <w:lang w:val="en-GB"/>
        </w:rPr>
        <w:t xml:space="preserve"> for CSI acquisition.</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33AA9BD0" w14:textId="0BF3D549" w:rsidR="004A3A5C" w:rsidRPr="009A364F" w:rsidRDefault="009A364F" w:rsidP="00C23201">
      <w:pPr>
        <w:spacing w:before="120" w:after="120"/>
        <w:jc w:val="both"/>
        <w:rPr>
          <w:b/>
          <w:i/>
          <w:lang w:val="en-GB"/>
        </w:rPr>
      </w:pPr>
      <w:r>
        <w:rPr>
          <w:b/>
          <w:i/>
          <w:lang w:val="en-GB"/>
        </w:rPr>
        <w:t xml:space="preserve">Proposal 1: </w:t>
      </w:r>
      <w:r w:rsidRPr="006166DF">
        <w:rPr>
          <w:b/>
          <w:i/>
          <w:lang w:val="en-GB"/>
        </w:rPr>
        <w:t>NR should include {4</w:t>
      </w:r>
      <w:r w:rsidRPr="009A364F">
        <w:rPr>
          <w:b/>
          <w:i/>
          <w:lang w:val="en-GB"/>
        </w:rPr>
        <w:t>th</w:t>
      </w:r>
      <w:r w:rsidRPr="006166DF">
        <w:rPr>
          <w:b/>
          <w:i/>
          <w:lang w:val="en-GB"/>
        </w:rPr>
        <w:t xml:space="preserve"> , 5</w:t>
      </w:r>
      <w:r w:rsidRPr="009A364F">
        <w:rPr>
          <w:b/>
          <w:i/>
          <w:lang w:val="en-GB"/>
        </w:rPr>
        <w:t>th</w:t>
      </w:r>
      <w:r w:rsidRPr="006166DF">
        <w:rPr>
          <w:b/>
          <w:i/>
          <w:lang w:val="en-GB"/>
        </w:rPr>
        <w:t>} OFDM symbols in a slot structure for CSI-RS transmission.</w:t>
      </w:r>
    </w:p>
    <w:p w14:paraId="7DCC13D6" w14:textId="77777777" w:rsidR="00323276" w:rsidRDefault="00323276" w:rsidP="00C23201">
      <w:pPr>
        <w:spacing w:before="120" w:after="120"/>
        <w:jc w:val="both"/>
        <w:rPr>
          <w:b/>
          <w:i/>
          <w:lang w:val="en-GB"/>
        </w:rPr>
      </w:pPr>
      <w:r>
        <w:rPr>
          <w:b/>
          <w:i/>
          <w:lang w:val="en-GB"/>
        </w:rPr>
        <w:t>Proposal 2: CSI-RS sequence is generated using</w:t>
      </w:r>
    </w:p>
    <w:p w14:paraId="1921EEE8" w14:textId="77777777" w:rsidR="00323276" w:rsidRDefault="00CF4014" w:rsidP="00C23201">
      <w:pPr>
        <w:numPr>
          <w:ilvl w:val="1"/>
          <w:numId w:val="31"/>
        </w:numPr>
        <w:overflowPunct/>
        <w:autoSpaceDE/>
        <w:autoSpaceDN/>
        <w:adjustRightInd/>
        <w:spacing w:after="0"/>
        <w:jc w:val="both"/>
        <w:textAlignment w:val="auto"/>
        <w:rPr>
          <w:rFonts w:eastAsia="Times New Roman"/>
          <w:lang w:eastAsia="zh-CN"/>
        </w:rPr>
      </w:pPr>
      <m:oMath>
        <m:sSub>
          <m:sSubPr>
            <m:ctrlPr>
              <w:rPr>
                <w:rFonts w:ascii="Cambria Math" w:eastAsiaTheme="minorEastAsia" w:hAnsi="Cambria Math" w:cs="Calibri"/>
                <w:i/>
                <w:iCs/>
                <w:sz w:val="22"/>
                <w:szCs w:val="22"/>
              </w:rPr>
            </m:ctrlPr>
          </m:sSubPr>
          <m:e>
            <m:r>
              <w:rPr>
                <w:rFonts w:ascii="Cambria Math" w:eastAsia="Times New Roman" w:hAnsi="Cambria Math"/>
              </w:rPr>
              <m:t>c</m:t>
            </m:r>
          </m:e>
          <m:sub>
            <m:r>
              <w:rPr>
                <w:rFonts w:ascii="Cambria Math" w:eastAsia="Times New Roman" w:hAnsi="Cambria Math"/>
              </w:rPr>
              <m:t>init</m:t>
            </m:r>
          </m:sub>
        </m:sSub>
        <m:r>
          <w:rPr>
            <w:rFonts w:ascii="Cambria Math" w:eastAsia="Times New Roman" w:hAnsi="Cambria Math"/>
          </w:rPr>
          <m:t>=</m:t>
        </m:r>
        <m:d>
          <m:dPr>
            <m:begChr m:val="["/>
            <m:endChr m:val="]"/>
            <m:ctrlPr>
              <w:rPr>
                <w:rFonts w:ascii="Cambria Math" w:eastAsiaTheme="minorEastAsia" w:hAnsi="Cambria Math" w:cs="Calibri"/>
                <w:i/>
                <w:iCs/>
                <w:sz w:val="22"/>
                <w:szCs w:val="22"/>
              </w:rPr>
            </m:ctrlPr>
          </m:dPr>
          <m:e>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r>
                      <w:rPr>
                        <w:rFonts w:ascii="Cambria Math" w:eastAsia="Times New Roman" w:hAnsi="Cambria Math"/>
                      </w:rPr>
                      <m:t>n</m:t>
                    </m:r>
                  </m:e>
                  <m:sub>
                    <m:r>
                      <w:rPr>
                        <w:rFonts w:ascii="Cambria Math" w:eastAsia="Times New Roman" w:hAnsi="Cambria Math"/>
                      </w:rPr>
                      <m:t>s</m:t>
                    </m:r>
                  </m:sub>
                </m:sSub>
                <m:r>
                  <w:rPr>
                    <w:rFonts w:ascii="Cambria Math" w:eastAsia="Times New Roman" w:hAnsi="Cambria Math"/>
                  </w:rPr>
                  <m:t>⋅14+l+1</m:t>
                </m:r>
              </m:e>
            </m:d>
            <m:r>
              <w:rPr>
                <w:rFonts w:ascii="Cambria Math" w:eastAsia="Times New Roman" w:hAnsi="Cambria Math"/>
              </w:rPr>
              <m:t>⋅(2⋅</m:t>
            </m:r>
            <m:sSubSup>
              <m:sSubSupPr>
                <m:ctrlPr>
                  <w:rPr>
                    <w:rFonts w:ascii="Cambria Math" w:eastAsiaTheme="minorEastAsia" w:hAnsi="Cambria Math" w:cs="Calibri"/>
                    <w:i/>
                    <w:iCs/>
                    <w:sz w:val="22"/>
                    <w:szCs w:val="22"/>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CSIRS</m:t>
                </m:r>
              </m:sup>
            </m:sSubSup>
            <m:r>
              <w:rPr>
                <w:rFonts w:ascii="Cambria Math" w:eastAsia="Times New Roman" w:hAnsi="Cambria Math"/>
              </w:rPr>
              <m:t>+1)</m:t>
            </m:r>
          </m:e>
        </m:d>
        <m:r>
          <w:rPr>
            <w:rFonts w:ascii="Cambria Math" w:eastAsia="Times New Roman" w:hAnsi="Cambria Math"/>
          </w:rPr>
          <m:t>mod</m:t>
        </m:r>
        <m:sSup>
          <m:sSupPr>
            <m:ctrlPr>
              <w:rPr>
                <w:rFonts w:ascii="Cambria Math" w:eastAsiaTheme="minorEastAsia" w:hAnsi="Cambria Math" w:cs="Calibri"/>
                <w:i/>
                <w:iCs/>
                <w:sz w:val="22"/>
                <w:szCs w:val="22"/>
              </w:rPr>
            </m:ctrlPr>
          </m:sSupPr>
          <m:e>
            <m:r>
              <w:rPr>
                <w:rFonts w:ascii="Cambria Math" w:eastAsia="Times New Roman" w:hAnsi="Cambria Math"/>
              </w:rPr>
              <m:t>2</m:t>
            </m:r>
          </m:e>
          <m:sup>
            <m:r>
              <w:rPr>
                <w:rFonts w:ascii="Cambria Math" w:eastAsia="Times New Roman" w:hAnsi="Cambria Math"/>
              </w:rPr>
              <m:t>20</m:t>
            </m:r>
          </m:sup>
        </m:sSup>
        <m:r>
          <w:rPr>
            <w:rFonts w:ascii="Cambria Math" w:eastAsia="Times New Roman" w:hAnsi="Cambria Math"/>
          </w:rPr>
          <m:t>⋅</m:t>
        </m:r>
        <m:sSup>
          <m:sSupPr>
            <m:ctrlPr>
              <w:rPr>
                <w:rFonts w:ascii="Cambria Math" w:eastAsiaTheme="minorEastAsia" w:hAnsi="Cambria Math" w:cs="Calibri"/>
                <w:i/>
                <w:iCs/>
                <w:sz w:val="22"/>
                <w:szCs w:val="22"/>
              </w:rPr>
            </m:ctrlPr>
          </m:sSupPr>
          <m:e>
            <m:r>
              <w:rPr>
                <w:rFonts w:ascii="Cambria Math" w:eastAsia="Times New Roman" w:hAnsi="Cambria Math"/>
              </w:rPr>
              <m:t>2</m:t>
            </m:r>
          </m:e>
          <m:sup>
            <m:r>
              <w:rPr>
                <w:rFonts w:ascii="Cambria Math" w:eastAsia="Times New Roman" w:hAnsi="Cambria Math"/>
              </w:rPr>
              <m:t>11</m:t>
            </m:r>
          </m:sup>
        </m:sSup>
        <m:r>
          <w:rPr>
            <w:rFonts w:ascii="Cambria Math" w:eastAsia="Times New Roman" w:hAnsi="Cambria Math"/>
          </w:rPr>
          <m:t>+</m:t>
        </m:r>
        <m:sSubSup>
          <m:sSubSupPr>
            <m:ctrlPr>
              <w:rPr>
                <w:rFonts w:ascii="Cambria Math" w:eastAsiaTheme="minorEastAsia" w:hAnsi="Cambria Math" w:cs="Calibri"/>
                <w:i/>
                <w:iCs/>
                <w:sz w:val="22"/>
                <w:szCs w:val="22"/>
              </w:rPr>
            </m:ctrlPr>
          </m:sSubSupPr>
          <m:e>
            <m:r>
              <w:rPr>
                <w:rFonts w:ascii="Cambria Math" w:eastAsia="Times New Roman" w:hAnsi="Cambria Math"/>
              </w:rPr>
              <m:t>2⋅n</m:t>
            </m:r>
          </m:e>
          <m:sub>
            <m:r>
              <w:rPr>
                <w:rFonts w:ascii="Cambria Math" w:eastAsia="Times New Roman" w:hAnsi="Cambria Math"/>
              </w:rPr>
              <m:t>ID</m:t>
            </m:r>
          </m:sub>
          <m:sup>
            <m:r>
              <w:rPr>
                <w:rFonts w:ascii="Cambria Math" w:eastAsia="Times New Roman" w:hAnsi="Cambria Math"/>
              </w:rPr>
              <m:t>CSIRS</m:t>
            </m:r>
          </m:sup>
        </m:sSubSup>
        <m:r>
          <w:rPr>
            <w:rFonts w:ascii="Cambria Math" w:eastAsia="Times New Roman" w:hAnsi="Cambria Math"/>
          </w:rPr>
          <m:t>+1</m:t>
        </m:r>
      </m:oMath>
    </w:p>
    <w:p w14:paraId="45D6FEFE" w14:textId="138EA7A7" w:rsidR="00323276" w:rsidRPr="00A9318A" w:rsidRDefault="00CF4014" w:rsidP="00C23201">
      <w:pPr>
        <w:numPr>
          <w:ilvl w:val="2"/>
          <w:numId w:val="31"/>
        </w:numPr>
        <w:overflowPunct/>
        <w:autoSpaceDE/>
        <w:autoSpaceDN/>
        <w:adjustRightInd/>
        <w:spacing w:after="0"/>
        <w:jc w:val="both"/>
        <w:textAlignment w:val="auto"/>
        <w:rPr>
          <w:rFonts w:eastAsia="Times New Roman"/>
          <w:b/>
          <w:i/>
        </w:rPr>
      </w:pPr>
      <m:oMath>
        <m:sSubSup>
          <m:sSubSupPr>
            <m:ctrlPr>
              <w:rPr>
                <w:rFonts w:ascii="Cambria Math" w:eastAsiaTheme="minorEastAsia" w:hAnsi="Cambria Math" w:cs="Calibri"/>
                <w:b/>
                <w:i/>
                <w:iCs/>
                <w:sz w:val="22"/>
                <w:szCs w:val="22"/>
              </w:rPr>
            </m:ctrlPr>
          </m:sSubSupPr>
          <m:e>
            <m:r>
              <m:rPr>
                <m:sty m:val="bi"/>
              </m:rPr>
              <w:rPr>
                <w:rFonts w:ascii="Cambria Math" w:eastAsia="Times New Roman" w:hAnsi="Cambria Math"/>
              </w:rPr>
              <m:t>n</m:t>
            </m:r>
          </m:e>
          <m:sub>
            <m:r>
              <m:rPr>
                <m:sty m:val="bi"/>
              </m:rPr>
              <w:rPr>
                <w:rFonts w:ascii="Cambria Math" w:eastAsia="Times New Roman" w:hAnsi="Cambria Math"/>
              </w:rPr>
              <m:t>ID</m:t>
            </m:r>
          </m:sub>
          <m:sup>
            <m:r>
              <m:rPr>
                <m:sty m:val="bi"/>
              </m:rPr>
              <w:rPr>
                <w:rFonts w:ascii="Cambria Math" w:eastAsia="Times New Roman" w:hAnsi="Cambria Math"/>
              </w:rPr>
              <m:t>CSIRS</m:t>
            </m:r>
          </m:sup>
        </m:sSubSup>
      </m:oMath>
      <w:r w:rsidR="00323276" w:rsidRPr="00A9318A">
        <w:rPr>
          <w:rFonts w:eastAsia="Times New Roman"/>
          <w:b/>
          <w:i/>
        </w:rPr>
        <w:t xml:space="preserve"> </w:t>
      </w:r>
      <w:r w:rsidR="00C57F51">
        <w:rPr>
          <w:rFonts w:eastAsia="Times New Roman"/>
          <w:b/>
          <w:i/>
        </w:rPr>
        <w:t xml:space="preserve">with 10 bits </w:t>
      </w:r>
      <w:r w:rsidR="00323276" w:rsidRPr="00A9318A">
        <w:rPr>
          <w:rFonts w:eastAsia="Times New Roman"/>
          <w:b/>
          <w:i/>
        </w:rPr>
        <w:t>is physical cell ID unless configured otherwise by higher layers</w:t>
      </w:r>
    </w:p>
    <w:p w14:paraId="64011F67" w14:textId="0714069B" w:rsidR="00323276" w:rsidRDefault="00323276" w:rsidP="00C23201">
      <w:pPr>
        <w:numPr>
          <w:ilvl w:val="2"/>
          <w:numId w:val="31"/>
        </w:numPr>
        <w:overflowPunct/>
        <w:autoSpaceDE/>
        <w:autoSpaceDN/>
        <w:adjustRightInd/>
        <w:spacing w:after="0"/>
        <w:jc w:val="both"/>
        <w:textAlignment w:val="auto"/>
        <w:rPr>
          <w:rFonts w:eastAsia="Times New Roman"/>
          <w:b/>
          <w:i/>
        </w:rPr>
      </w:pPr>
      <w:r w:rsidRPr="00A9318A">
        <w:rPr>
          <w:rFonts w:eastAsia="Times New Roman"/>
          <w:b/>
          <w:i/>
        </w:rPr>
        <w:t xml:space="preserve">For scenarios with OCC in time, </w:t>
      </w:r>
      <m:oMath>
        <m:r>
          <m:rPr>
            <m:sty m:val="bi"/>
          </m:rPr>
          <w:rPr>
            <w:rFonts w:ascii="Cambria Math" w:eastAsia="Times New Roman" w:hAnsi="Cambria Math"/>
          </w:rPr>
          <m:t>l</m:t>
        </m:r>
      </m:oMath>
      <w:r w:rsidRPr="00A9318A">
        <w:rPr>
          <w:rFonts w:eastAsia="Times New Roman"/>
          <w:b/>
          <w:i/>
        </w:rPr>
        <w:t xml:space="preserve"> is the location of CSIRS symbol</w:t>
      </w:r>
      <w:r>
        <w:rPr>
          <w:rFonts w:eastAsia="Times New Roman"/>
          <w:b/>
          <w:i/>
        </w:rPr>
        <w:t>.</w:t>
      </w:r>
    </w:p>
    <w:p w14:paraId="41DDFB33" w14:textId="77777777" w:rsidR="00323276" w:rsidRPr="00323276" w:rsidRDefault="00323276" w:rsidP="00C23201">
      <w:pPr>
        <w:spacing w:before="120" w:after="120"/>
        <w:jc w:val="both"/>
        <w:rPr>
          <w:b/>
          <w:i/>
          <w:lang w:val="en-GB"/>
        </w:rPr>
      </w:pPr>
      <w:r w:rsidRPr="00323276">
        <w:rPr>
          <w:b/>
          <w:i/>
          <w:lang w:val="en-GB"/>
        </w:rPr>
        <w:t>Proposal 3: Restriction on the periodicity should be employed based on SCS, {5, 10} slots should be avoided for SCS = 60kHz/120kHz and above.</w:t>
      </w:r>
    </w:p>
    <w:p w14:paraId="552072A7" w14:textId="77777777" w:rsidR="00323276" w:rsidRPr="004A053C" w:rsidRDefault="00323276" w:rsidP="00C23201">
      <w:pPr>
        <w:jc w:val="both"/>
        <w:rPr>
          <w:b/>
          <w:i/>
          <w:lang w:val="en-GB"/>
        </w:rPr>
      </w:pPr>
      <w:r w:rsidRPr="004A053C">
        <w:rPr>
          <w:b/>
          <w:i/>
          <w:lang w:val="en-GB"/>
        </w:rPr>
        <w:t>Proposal</w:t>
      </w:r>
      <w:r>
        <w:rPr>
          <w:b/>
          <w:i/>
          <w:lang w:val="en-GB"/>
        </w:rPr>
        <w:t xml:space="preserve"> 4</w:t>
      </w:r>
      <w:r w:rsidRPr="004A053C">
        <w:rPr>
          <w:b/>
          <w:i/>
          <w:lang w:val="en-GB"/>
        </w:rPr>
        <w:t>: CSI-RS density equal to 6REs/RB/port should be avoided.</w:t>
      </w:r>
    </w:p>
    <w:p w14:paraId="260386D9" w14:textId="77777777" w:rsidR="00323276" w:rsidRPr="004A053C" w:rsidRDefault="00323276" w:rsidP="00C23201">
      <w:pPr>
        <w:jc w:val="both"/>
        <w:rPr>
          <w:b/>
          <w:i/>
          <w:lang w:val="en-GB"/>
        </w:rPr>
      </w:pPr>
      <w:r w:rsidRPr="004A053C">
        <w:rPr>
          <w:b/>
          <w:i/>
          <w:lang w:val="en-GB"/>
        </w:rPr>
        <w:t>Proposal 5: CSI-RS transmission bandwidth should be greater than or equal to 20RBs.</w:t>
      </w:r>
    </w:p>
    <w:p w14:paraId="3FEB5E08" w14:textId="77777777" w:rsidR="00323276" w:rsidRPr="00EF09B6" w:rsidRDefault="00323276" w:rsidP="00C23201">
      <w:pPr>
        <w:jc w:val="both"/>
        <w:rPr>
          <w:b/>
          <w:i/>
        </w:rPr>
      </w:pPr>
      <w:r w:rsidRPr="00EF09B6">
        <w:rPr>
          <w:b/>
          <w:i/>
        </w:rPr>
        <w:t>Proposal 6: UE should be aware of the power ratio between CSI-RS and PDCCH DMRS. Details to be carefully studied.</w:t>
      </w:r>
    </w:p>
    <w:p w14:paraId="43831EAA" w14:textId="77777777" w:rsidR="00323276" w:rsidRPr="00EF09B6" w:rsidRDefault="00323276" w:rsidP="00C23201">
      <w:pPr>
        <w:jc w:val="both"/>
        <w:rPr>
          <w:b/>
          <w:i/>
        </w:rPr>
      </w:pPr>
      <w:r w:rsidRPr="00EF09B6">
        <w:rPr>
          <w:b/>
          <w:i/>
        </w:rPr>
        <w:lastRenderedPageBreak/>
        <w:t>Proposal 7: The power ratio between CSI-RS and SS block should be provided to UE, the candidate values should span a wide range including negative values.</w:t>
      </w:r>
    </w:p>
    <w:p w14:paraId="02827207" w14:textId="77777777" w:rsidR="00323276" w:rsidRDefault="00323276" w:rsidP="00C23201">
      <w:pPr>
        <w:jc w:val="both"/>
        <w:rPr>
          <w:b/>
          <w:i/>
          <w:lang w:val="en-GB"/>
        </w:rPr>
      </w:pPr>
      <w:r w:rsidRPr="00C079FA">
        <w:rPr>
          <w:b/>
          <w:i/>
          <w:lang w:val="en-GB"/>
        </w:rPr>
        <w:t>Proposal</w:t>
      </w:r>
      <w:r>
        <w:rPr>
          <w:b/>
          <w:i/>
          <w:lang w:val="en-GB"/>
        </w:rPr>
        <w:t xml:space="preserve"> 8</w:t>
      </w:r>
      <w:r w:rsidRPr="00C079FA">
        <w:rPr>
          <w:b/>
          <w:i/>
          <w:lang w:val="en-GB"/>
        </w:rPr>
        <w:t>: From UE perspective, CDM-ed ports in a CSI-RS resource are always QCLed</w:t>
      </w:r>
      <w:r>
        <w:rPr>
          <w:b/>
          <w:i/>
          <w:lang w:val="en-GB"/>
        </w:rPr>
        <w:t>, and the max number of different QCL assumptions should be limited to 2 per CSI-RS resource</w:t>
      </w:r>
      <w:r w:rsidRPr="00C079FA">
        <w:rPr>
          <w:b/>
          <w:i/>
          <w:lang w:val="en-GB"/>
        </w:rPr>
        <w:t>.</w:t>
      </w:r>
    </w:p>
    <w:p w14:paraId="615D1DF4" w14:textId="375DC7DC" w:rsidR="00323276" w:rsidRPr="000D60E6" w:rsidRDefault="00323276" w:rsidP="00C23201">
      <w:pPr>
        <w:jc w:val="both"/>
        <w:rPr>
          <w:b/>
          <w:i/>
          <w:lang w:val="en-GB"/>
        </w:rPr>
      </w:pPr>
      <w:r>
        <w:rPr>
          <w:b/>
          <w:i/>
          <w:lang w:val="en-GB"/>
        </w:rPr>
        <w:t xml:space="preserve">Proposal 9: Specify the maximal number of total non-QCLed groups </w:t>
      </w:r>
      <w:r w:rsidR="00C57F51" w:rsidRPr="00C57F51">
        <w:rPr>
          <w:b/>
          <w:i/>
          <w:lang w:val="en-GB"/>
        </w:rPr>
        <w:t>across the CSI-RS resources across all CC/BWP as a UE capability</w:t>
      </w:r>
      <w:r>
        <w:rPr>
          <w:b/>
          <w:i/>
          <w:lang w:val="en-GB"/>
        </w:rPr>
        <w:t>.</w:t>
      </w:r>
    </w:p>
    <w:p w14:paraId="264E14E5" w14:textId="229E3EE5" w:rsidR="00323276" w:rsidRPr="00860054" w:rsidRDefault="00860054" w:rsidP="00860054">
      <w:pPr>
        <w:jc w:val="both"/>
        <w:rPr>
          <w:b/>
          <w:i/>
        </w:rPr>
      </w:pPr>
      <w:r w:rsidRPr="000855E5">
        <w:rPr>
          <w:b/>
          <w:i/>
          <w:lang w:val="en-GB"/>
        </w:rPr>
        <w:t xml:space="preserve">Proposal 10: For 4 port case, </w:t>
      </w:r>
      <w:r>
        <w:rPr>
          <w:b/>
          <w:i/>
          <w:lang w:val="en-GB"/>
        </w:rPr>
        <w:t>the CSI-RS</w:t>
      </w:r>
      <w:r w:rsidRPr="000855E5">
        <w:rPr>
          <w:b/>
          <w:i/>
          <w:lang w:val="en-GB"/>
        </w:rPr>
        <w:t xml:space="preserve"> RE pattern for N = 2 with (Y, Z) = (2, 2)</w:t>
      </w:r>
      <w:r>
        <w:rPr>
          <w:b/>
          <w:i/>
          <w:lang w:val="en-GB"/>
        </w:rPr>
        <w:t xml:space="preserve"> is not supported in NR</w:t>
      </w:r>
      <w:r w:rsidRPr="000855E5">
        <w:rPr>
          <w:b/>
          <w:i/>
          <w:lang w:val="en-GB"/>
        </w:rPr>
        <w:t>.</w:t>
      </w:r>
    </w:p>
    <w:p w14:paraId="3F57E30F" w14:textId="77777777" w:rsidR="00E3066B" w:rsidRPr="00823910" w:rsidRDefault="00E3066B" w:rsidP="00C23201">
      <w:pPr>
        <w:pStyle w:val="Heading1"/>
        <w:spacing w:before="120"/>
        <w:jc w:val="both"/>
        <w:textAlignment w:val="auto"/>
        <w:rPr>
          <w:lang w:val="en-US"/>
        </w:rPr>
      </w:pPr>
      <w:r w:rsidRPr="00823910">
        <w:rPr>
          <w:lang w:val="en-US"/>
        </w:rPr>
        <w:t>References</w:t>
      </w:r>
    </w:p>
    <w:p w14:paraId="45858B2F" w14:textId="689B2292" w:rsidR="00B31E07" w:rsidRDefault="001F0975" w:rsidP="00C23201">
      <w:pPr>
        <w:pStyle w:val="References"/>
        <w:numPr>
          <w:ilvl w:val="0"/>
          <w:numId w:val="4"/>
        </w:numPr>
        <w:snapToGrid/>
        <w:spacing w:after="40" w:line="257" w:lineRule="auto"/>
        <w:rPr>
          <w:rFonts w:ascii="Times New Roman" w:hAnsi="Times New Roman"/>
          <w:sz w:val="20"/>
          <w:szCs w:val="20"/>
          <w:lang w:val="en-GB"/>
        </w:rPr>
      </w:pPr>
      <w:bookmarkStart w:id="2" w:name="_Ref462649278"/>
      <w:bookmarkStart w:id="3" w:name="_Ref458331720"/>
      <w:r>
        <w:rPr>
          <w:rFonts w:ascii="Times New Roman" w:hAnsi="Times New Roman"/>
          <w:sz w:val="20"/>
          <w:szCs w:val="20"/>
          <w:lang w:val="en-GB"/>
        </w:rPr>
        <w:t>Chairman notes, 3GPP RAN1 #90bis, Prague, Czech</w:t>
      </w:r>
      <w:r w:rsidR="00B31E07" w:rsidRPr="00823910">
        <w:rPr>
          <w:rFonts w:ascii="Times New Roman" w:hAnsi="Times New Roman"/>
          <w:sz w:val="20"/>
          <w:szCs w:val="20"/>
          <w:lang w:val="en-GB"/>
        </w:rPr>
        <w:t>.</w:t>
      </w:r>
    </w:p>
    <w:bookmarkEnd w:id="2"/>
    <w:bookmarkEnd w:id="3"/>
    <w:p w14:paraId="2F39627E" w14:textId="706006CF" w:rsidR="004A567D" w:rsidRPr="00603FFE" w:rsidRDefault="004A567D" w:rsidP="00C23201">
      <w:pPr>
        <w:pStyle w:val="References"/>
        <w:numPr>
          <w:ilvl w:val="0"/>
          <w:numId w:val="0"/>
        </w:numPr>
        <w:snapToGrid/>
        <w:spacing w:after="40" w:line="257" w:lineRule="auto"/>
        <w:rPr>
          <w:rFonts w:ascii="Times New Roman" w:hAnsi="Times New Roman"/>
          <w:sz w:val="20"/>
          <w:szCs w:val="20"/>
          <w:lang w:val="en-GB"/>
        </w:rPr>
      </w:pPr>
    </w:p>
    <w:sectPr w:rsidR="004A567D" w:rsidRPr="00603FFE"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5CD95" w14:textId="77777777" w:rsidR="00CF4014" w:rsidRDefault="00CF4014">
      <w:r>
        <w:separator/>
      </w:r>
    </w:p>
  </w:endnote>
  <w:endnote w:type="continuationSeparator" w:id="0">
    <w:p w14:paraId="4E287F9F" w14:textId="77777777" w:rsidR="00CF4014" w:rsidRDefault="00CF4014">
      <w:r>
        <w:continuationSeparator/>
      </w:r>
    </w:p>
  </w:endnote>
  <w:endnote w:type="continuationNotice" w:id="1">
    <w:p w14:paraId="6E854C2D" w14:textId="77777777" w:rsidR="00CF4014" w:rsidRDefault="00CF4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384A17" w:rsidRDefault="00384A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84A17" w:rsidRDefault="00384A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79FCFC26" w:rsidR="00384A17" w:rsidRDefault="00384A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56F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56FB">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16BEA" w14:textId="77777777" w:rsidR="00CF4014" w:rsidRDefault="00CF4014">
      <w:r>
        <w:separator/>
      </w:r>
    </w:p>
  </w:footnote>
  <w:footnote w:type="continuationSeparator" w:id="0">
    <w:p w14:paraId="10BB764B" w14:textId="77777777" w:rsidR="00CF4014" w:rsidRDefault="00CF4014">
      <w:r>
        <w:continuationSeparator/>
      </w:r>
    </w:p>
  </w:footnote>
  <w:footnote w:type="continuationNotice" w:id="1">
    <w:p w14:paraId="1612C680" w14:textId="77777777" w:rsidR="00CF4014" w:rsidRDefault="00CF4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384A17" w:rsidRDefault="00384A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F60856"/>
    <w:multiLevelType w:val="hybridMultilevel"/>
    <w:tmpl w:val="BE766914"/>
    <w:lvl w:ilvl="0" w:tplc="F814DF66">
      <w:start w:val="1"/>
      <w:numFmt w:val="bullet"/>
      <w:lvlText w:val="•"/>
      <w:lvlJc w:val="left"/>
      <w:pPr>
        <w:tabs>
          <w:tab w:val="num" w:pos="360"/>
        </w:tabs>
        <w:ind w:left="360" w:hanging="360"/>
      </w:pPr>
      <w:rPr>
        <w:rFonts w:ascii="Arial" w:hAnsi="Arial" w:hint="default"/>
      </w:rPr>
    </w:lvl>
    <w:lvl w:ilvl="1" w:tplc="D2721D2C">
      <w:numFmt w:val="bullet"/>
      <w:lvlText w:val="–"/>
      <w:lvlJc w:val="left"/>
      <w:pPr>
        <w:tabs>
          <w:tab w:val="num" w:pos="1080"/>
        </w:tabs>
        <w:ind w:left="1080" w:hanging="360"/>
      </w:pPr>
      <w:rPr>
        <w:rFonts w:ascii="Arial" w:hAnsi="Arial" w:hint="default"/>
      </w:rPr>
    </w:lvl>
    <w:lvl w:ilvl="2" w:tplc="7E063328">
      <w:start w:val="1"/>
      <w:numFmt w:val="bullet"/>
      <w:lvlText w:val="•"/>
      <w:lvlJc w:val="left"/>
      <w:pPr>
        <w:tabs>
          <w:tab w:val="num" w:pos="1800"/>
        </w:tabs>
        <w:ind w:left="1800" w:hanging="360"/>
      </w:pPr>
      <w:rPr>
        <w:rFonts w:ascii="Arial" w:hAnsi="Arial" w:hint="default"/>
      </w:rPr>
    </w:lvl>
    <w:lvl w:ilvl="3" w:tplc="E66C5E7C" w:tentative="1">
      <w:start w:val="1"/>
      <w:numFmt w:val="bullet"/>
      <w:lvlText w:val="•"/>
      <w:lvlJc w:val="left"/>
      <w:pPr>
        <w:tabs>
          <w:tab w:val="num" w:pos="2520"/>
        </w:tabs>
        <w:ind w:left="2520" w:hanging="360"/>
      </w:pPr>
      <w:rPr>
        <w:rFonts w:ascii="Arial" w:hAnsi="Arial" w:hint="default"/>
      </w:rPr>
    </w:lvl>
    <w:lvl w:ilvl="4" w:tplc="2E9C5C7A" w:tentative="1">
      <w:start w:val="1"/>
      <w:numFmt w:val="bullet"/>
      <w:lvlText w:val="•"/>
      <w:lvlJc w:val="left"/>
      <w:pPr>
        <w:tabs>
          <w:tab w:val="num" w:pos="3240"/>
        </w:tabs>
        <w:ind w:left="3240" w:hanging="360"/>
      </w:pPr>
      <w:rPr>
        <w:rFonts w:ascii="Arial" w:hAnsi="Arial" w:hint="default"/>
      </w:rPr>
    </w:lvl>
    <w:lvl w:ilvl="5" w:tplc="5252A21C" w:tentative="1">
      <w:start w:val="1"/>
      <w:numFmt w:val="bullet"/>
      <w:lvlText w:val="•"/>
      <w:lvlJc w:val="left"/>
      <w:pPr>
        <w:tabs>
          <w:tab w:val="num" w:pos="3960"/>
        </w:tabs>
        <w:ind w:left="3960" w:hanging="360"/>
      </w:pPr>
      <w:rPr>
        <w:rFonts w:ascii="Arial" w:hAnsi="Arial" w:hint="default"/>
      </w:rPr>
    </w:lvl>
    <w:lvl w:ilvl="6" w:tplc="84C040A8" w:tentative="1">
      <w:start w:val="1"/>
      <w:numFmt w:val="bullet"/>
      <w:lvlText w:val="•"/>
      <w:lvlJc w:val="left"/>
      <w:pPr>
        <w:tabs>
          <w:tab w:val="num" w:pos="4680"/>
        </w:tabs>
        <w:ind w:left="4680" w:hanging="360"/>
      </w:pPr>
      <w:rPr>
        <w:rFonts w:ascii="Arial" w:hAnsi="Arial" w:hint="default"/>
      </w:rPr>
    </w:lvl>
    <w:lvl w:ilvl="7" w:tplc="BA3865E6" w:tentative="1">
      <w:start w:val="1"/>
      <w:numFmt w:val="bullet"/>
      <w:lvlText w:val="•"/>
      <w:lvlJc w:val="left"/>
      <w:pPr>
        <w:tabs>
          <w:tab w:val="num" w:pos="5400"/>
        </w:tabs>
        <w:ind w:left="5400" w:hanging="360"/>
      </w:pPr>
      <w:rPr>
        <w:rFonts w:ascii="Arial" w:hAnsi="Arial" w:hint="default"/>
      </w:rPr>
    </w:lvl>
    <w:lvl w:ilvl="8" w:tplc="98846D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F4D92"/>
    <w:multiLevelType w:val="hybridMultilevel"/>
    <w:tmpl w:val="4F1AFA9A"/>
    <w:lvl w:ilvl="0" w:tplc="A9246400">
      <w:start w:val="1"/>
      <w:numFmt w:val="bullet"/>
      <w:lvlText w:val="–"/>
      <w:lvlJc w:val="left"/>
      <w:pPr>
        <w:tabs>
          <w:tab w:val="num" w:pos="720"/>
        </w:tabs>
        <w:ind w:left="720" w:hanging="360"/>
      </w:pPr>
      <w:rPr>
        <w:rFonts w:ascii="Arial" w:hAnsi="Arial" w:hint="default"/>
      </w:rPr>
    </w:lvl>
    <w:lvl w:ilvl="1" w:tplc="EB48EFD2">
      <w:start w:val="1"/>
      <w:numFmt w:val="bullet"/>
      <w:lvlText w:val="–"/>
      <w:lvlJc w:val="left"/>
      <w:pPr>
        <w:tabs>
          <w:tab w:val="num" w:pos="1440"/>
        </w:tabs>
        <w:ind w:left="1440" w:hanging="360"/>
      </w:pPr>
      <w:rPr>
        <w:rFonts w:ascii="Arial" w:hAnsi="Arial" w:hint="default"/>
      </w:rPr>
    </w:lvl>
    <w:lvl w:ilvl="2" w:tplc="0DC82BDA" w:tentative="1">
      <w:start w:val="1"/>
      <w:numFmt w:val="bullet"/>
      <w:lvlText w:val="–"/>
      <w:lvlJc w:val="left"/>
      <w:pPr>
        <w:tabs>
          <w:tab w:val="num" w:pos="2160"/>
        </w:tabs>
        <w:ind w:left="2160" w:hanging="360"/>
      </w:pPr>
      <w:rPr>
        <w:rFonts w:ascii="Arial" w:hAnsi="Arial" w:hint="default"/>
      </w:rPr>
    </w:lvl>
    <w:lvl w:ilvl="3" w:tplc="B5A61B7E" w:tentative="1">
      <w:start w:val="1"/>
      <w:numFmt w:val="bullet"/>
      <w:lvlText w:val="–"/>
      <w:lvlJc w:val="left"/>
      <w:pPr>
        <w:tabs>
          <w:tab w:val="num" w:pos="2880"/>
        </w:tabs>
        <w:ind w:left="2880" w:hanging="360"/>
      </w:pPr>
      <w:rPr>
        <w:rFonts w:ascii="Arial" w:hAnsi="Arial" w:hint="default"/>
      </w:rPr>
    </w:lvl>
    <w:lvl w:ilvl="4" w:tplc="F12A748E" w:tentative="1">
      <w:start w:val="1"/>
      <w:numFmt w:val="bullet"/>
      <w:lvlText w:val="–"/>
      <w:lvlJc w:val="left"/>
      <w:pPr>
        <w:tabs>
          <w:tab w:val="num" w:pos="3600"/>
        </w:tabs>
        <w:ind w:left="3600" w:hanging="360"/>
      </w:pPr>
      <w:rPr>
        <w:rFonts w:ascii="Arial" w:hAnsi="Arial" w:hint="default"/>
      </w:rPr>
    </w:lvl>
    <w:lvl w:ilvl="5" w:tplc="DF4AAE8A" w:tentative="1">
      <w:start w:val="1"/>
      <w:numFmt w:val="bullet"/>
      <w:lvlText w:val="–"/>
      <w:lvlJc w:val="left"/>
      <w:pPr>
        <w:tabs>
          <w:tab w:val="num" w:pos="4320"/>
        </w:tabs>
        <w:ind w:left="4320" w:hanging="360"/>
      </w:pPr>
      <w:rPr>
        <w:rFonts w:ascii="Arial" w:hAnsi="Arial" w:hint="default"/>
      </w:rPr>
    </w:lvl>
    <w:lvl w:ilvl="6" w:tplc="7B1AF79C" w:tentative="1">
      <w:start w:val="1"/>
      <w:numFmt w:val="bullet"/>
      <w:lvlText w:val="–"/>
      <w:lvlJc w:val="left"/>
      <w:pPr>
        <w:tabs>
          <w:tab w:val="num" w:pos="5040"/>
        </w:tabs>
        <w:ind w:left="5040" w:hanging="360"/>
      </w:pPr>
      <w:rPr>
        <w:rFonts w:ascii="Arial" w:hAnsi="Arial" w:hint="default"/>
      </w:rPr>
    </w:lvl>
    <w:lvl w:ilvl="7" w:tplc="9D3209FE" w:tentative="1">
      <w:start w:val="1"/>
      <w:numFmt w:val="bullet"/>
      <w:lvlText w:val="–"/>
      <w:lvlJc w:val="left"/>
      <w:pPr>
        <w:tabs>
          <w:tab w:val="num" w:pos="5760"/>
        </w:tabs>
        <w:ind w:left="5760" w:hanging="360"/>
      </w:pPr>
      <w:rPr>
        <w:rFonts w:ascii="Arial" w:hAnsi="Arial" w:hint="default"/>
      </w:rPr>
    </w:lvl>
    <w:lvl w:ilvl="8" w:tplc="CEC03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0F54F7"/>
    <w:multiLevelType w:val="hybridMultilevel"/>
    <w:tmpl w:val="8CB215AE"/>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1D2D15"/>
    <w:multiLevelType w:val="hybridMultilevel"/>
    <w:tmpl w:val="72C6AC1C"/>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565995"/>
    <w:multiLevelType w:val="hybridMultilevel"/>
    <w:tmpl w:val="C0983E5C"/>
    <w:lvl w:ilvl="0" w:tplc="C85268C2">
      <w:start w:val="1"/>
      <w:numFmt w:val="bullet"/>
      <w:lvlText w:val=""/>
      <w:lvlJc w:val="left"/>
      <w:pPr>
        <w:tabs>
          <w:tab w:val="num" w:pos="720"/>
        </w:tabs>
        <w:ind w:left="720" w:hanging="360"/>
      </w:pPr>
      <w:rPr>
        <w:rFonts w:ascii="Symbol" w:hAnsi="Symbol" w:hint="default"/>
      </w:rPr>
    </w:lvl>
    <w:lvl w:ilvl="1" w:tplc="385ECCCC">
      <w:numFmt w:val="bullet"/>
      <w:lvlText w:val="−"/>
      <w:lvlJc w:val="left"/>
      <w:pPr>
        <w:tabs>
          <w:tab w:val="num" w:pos="1440"/>
        </w:tabs>
        <w:ind w:left="1440" w:hanging="360"/>
      </w:pPr>
      <w:rPr>
        <w:rFonts w:ascii="Calibre Regular" w:hAnsi="Calibre Regular" w:hint="default"/>
      </w:rPr>
    </w:lvl>
    <w:lvl w:ilvl="2" w:tplc="5D8AD11E">
      <w:numFmt w:val="bullet"/>
      <w:lvlText w:val="−"/>
      <w:lvlJc w:val="left"/>
      <w:pPr>
        <w:tabs>
          <w:tab w:val="num" w:pos="2160"/>
        </w:tabs>
        <w:ind w:left="2160" w:hanging="360"/>
      </w:pPr>
      <w:rPr>
        <w:rFonts w:ascii="Calibre Regular" w:hAnsi="Calibre Regular" w:hint="default"/>
      </w:rPr>
    </w:lvl>
    <w:lvl w:ilvl="3" w:tplc="FFD897DE">
      <w:start w:val="1"/>
      <w:numFmt w:val="bullet"/>
      <w:lvlText w:val=""/>
      <w:lvlJc w:val="left"/>
      <w:pPr>
        <w:tabs>
          <w:tab w:val="num" w:pos="2880"/>
        </w:tabs>
        <w:ind w:left="2880" w:hanging="360"/>
      </w:pPr>
      <w:rPr>
        <w:rFonts w:ascii="Symbol" w:hAnsi="Symbol" w:hint="default"/>
      </w:rPr>
    </w:lvl>
    <w:lvl w:ilvl="4" w:tplc="88D4A400">
      <w:start w:val="1"/>
      <w:numFmt w:val="bullet"/>
      <w:lvlText w:val=""/>
      <w:lvlJc w:val="left"/>
      <w:pPr>
        <w:tabs>
          <w:tab w:val="num" w:pos="3600"/>
        </w:tabs>
        <w:ind w:left="3600" w:hanging="360"/>
      </w:pPr>
      <w:rPr>
        <w:rFonts w:ascii="Symbol" w:hAnsi="Symbol" w:hint="default"/>
      </w:rPr>
    </w:lvl>
    <w:lvl w:ilvl="5" w:tplc="1E2CD706">
      <w:start w:val="1"/>
      <w:numFmt w:val="bullet"/>
      <w:lvlText w:val=""/>
      <w:lvlJc w:val="left"/>
      <w:pPr>
        <w:tabs>
          <w:tab w:val="num" w:pos="4320"/>
        </w:tabs>
        <w:ind w:left="4320" w:hanging="360"/>
      </w:pPr>
      <w:rPr>
        <w:rFonts w:ascii="Symbol" w:hAnsi="Symbol" w:hint="default"/>
      </w:rPr>
    </w:lvl>
    <w:lvl w:ilvl="6" w:tplc="B5307598">
      <w:start w:val="1"/>
      <w:numFmt w:val="bullet"/>
      <w:lvlText w:val=""/>
      <w:lvlJc w:val="left"/>
      <w:pPr>
        <w:tabs>
          <w:tab w:val="num" w:pos="5040"/>
        </w:tabs>
        <w:ind w:left="5040" w:hanging="360"/>
      </w:pPr>
      <w:rPr>
        <w:rFonts w:ascii="Symbol" w:hAnsi="Symbol" w:hint="default"/>
      </w:rPr>
    </w:lvl>
    <w:lvl w:ilvl="7" w:tplc="B706FE7E">
      <w:start w:val="1"/>
      <w:numFmt w:val="bullet"/>
      <w:lvlText w:val=""/>
      <w:lvlJc w:val="left"/>
      <w:pPr>
        <w:tabs>
          <w:tab w:val="num" w:pos="5760"/>
        </w:tabs>
        <w:ind w:left="5760" w:hanging="360"/>
      </w:pPr>
      <w:rPr>
        <w:rFonts w:ascii="Symbol" w:hAnsi="Symbol" w:hint="default"/>
      </w:rPr>
    </w:lvl>
    <w:lvl w:ilvl="8" w:tplc="B57CC70E">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856E69"/>
    <w:multiLevelType w:val="hybridMultilevel"/>
    <w:tmpl w:val="1CA0A5A6"/>
    <w:lvl w:ilvl="0" w:tplc="66E60D08">
      <w:start w:val="1"/>
      <w:numFmt w:val="bullet"/>
      <w:lvlText w:val="−"/>
      <w:lvlJc w:val="left"/>
      <w:pPr>
        <w:tabs>
          <w:tab w:val="num" w:pos="720"/>
        </w:tabs>
        <w:ind w:left="720" w:hanging="360"/>
      </w:pPr>
      <w:rPr>
        <w:rFonts w:ascii="Arial" w:hAnsi="Arial" w:hint="default"/>
      </w:rPr>
    </w:lvl>
    <w:lvl w:ilvl="1" w:tplc="271CCF2C">
      <w:start w:val="1"/>
      <w:numFmt w:val="bullet"/>
      <w:lvlText w:val="−"/>
      <w:lvlJc w:val="left"/>
      <w:pPr>
        <w:tabs>
          <w:tab w:val="num" w:pos="1440"/>
        </w:tabs>
        <w:ind w:left="1440" w:hanging="360"/>
      </w:pPr>
      <w:rPr>
        <w:rFonts w:ascii="Arial" w:hAnsi="Arial" w:hint="default"/>
      </w:rPr>
    </w:lvl>
    <w:lvl w:ilvl="2" w:tplc="52D2A3F8">
      <w:start w:val="1"/>
      <w:numFmt w:val="bullet"/>
      <w:lvlText w:val="−"/>
      <w:lvlJc w:val="left"/>
      <w:pPr>
        <w:tabs>
          <w:tab w:val="num" w:pos="2160"/>
        </w:tabs>
        <w:ind w:left="2160" w:hanging="360"/>
      </w:pPr>
      <w:rPr>
        <w:rFonts w:ascii="Arial" w:hAnsi="Arial" w:hint="default"/>
      </w:rPr>
    </w:lvl>
    <w:lvl w:ilvl="3" w:tplc="DBD04E0E" w:tentative="1">
      <w:start w:val="1"/>
      <w:numFmt w:val="bullet"/>
      <w:lvlText w:val="−"/>
      <w:lvlJc w:val="left"/>
      <w:pPr>
        <w:tabs>
          <w:tab w:val="num" w:pos="2880"/>
        </w:tabs>
        <w:ind w:left="2880" w:hanging="360"/>
      </w:pPr>
      <w:rPr>
        <w:rFonts w:ascii="Arial" w:hAnsi="Arial" w:hint="default"/>
      </w:rPr>
    </w:lvl>
    <w:lvl w:ilvl="4" w:tplc="C93E0C30" w:tentative="1">
      <w:start w:val="1"/>
      <w:numFmt w:val="bullet"/>
      <w:lvlText w:val="−"/>
      <w:lvlJc w:val="left"/>
      <w:pPr>
        <w:tabs>
          <w:tab w:val="num" w:pos="3600"/>
        </w:tabs>
        <w:ind w:left="3600" w:hanging="360"/>
      </w:pPr>
      <w:rPr>
        <w:rFonts w:ascii="Arial" w:hAnsi="Arial" w:hint="default"/>
      </w:rPr>
    </w:lvl>
    <w:lvl w:ilvl="5" w:tplc="CC8A72B0" w:tentative="1">
      <w:start w:val="1"/>
      <w:numFmt w:val="bullet"/>
      <w:lvlText w:val="−"/>
      <w:lvlJc w:val="left"/>
      <w:pPr>
        <w:tabs>
          <w:tab w:val="num" w:pos="4320"/>
        </w:tabs>
        <w:ind w:left="4320" w:hanging="360"/>
      </w:pPr>
      <w:rPr>
        <w:rFonts w:ascii="Arial" w:hAnsi="Arial" w:hint="default"/>
      </w:rPr>
    </w:lvl>
    <w:lvl w:ilvl="6" w:tplc="6EA05988" w:tentative="1">
      <w:start w:val="1"/>
      <w:numFmt w:val="bullet"/>
      <w:lvlText w:val="−"/>
      <w:lvlJc w:val="left"/>
      <w:pPr>
        <w:tabs>
          <w:tab w:val="num" w:pos="5040"/>
        </w:tabs>
        <w:ind w:left="5040" w:hanging="360"/>
      </w:pPr>
      <w:rPr>
        <w:rFonts w:ascii="Arial" w:hAnsi="Arial" w:hint="default"/>
      </w:rPr>
    </w:lvl>
    <w:lvl w:ilvl="7" w:tplc="127C6A08" w:tentative="1">
      <w:start w:val="1"/>
      <w:numFmt w:val="bullet"/>
      <w:lvlText w:val="−"/>
      <w:lvlJc w:val="left"/>
      <w:pPr>
        <w:tabs>
          <w:tab w:val="num" w:pos="5760"/>
        </w:tabs>
        <w:ind w:left="5760" w:hanging="360"/>
      </w:pPr>
      <w:rPr>
        <w:rFonts w:ascii="Arial" w:hAnsi="Arial" w:hint="default"/>
      </w:rPr>
    </w:lvl>
    <w:lvl w:ilvl="8" w:tplc="5106B7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F7788"/>
    <w:multiLevelType w:val="hybridMultilevel"/>
    <w:tmpl w:val="540A9E38"/>
    <w:lvl w:ilvl="0" w:tplc="9EEC3C04">
      <w:start w:val="1"/>
      <w:numFmt w:val="bullet"/>
      <w:lvlText w:val="–"/>
      <w:lvlJc w:val="left"/>
      <w:pPr>
        <w:tabs>
          <w:tab w:val="num" w:pos="360"/>
        </w:tabs>
        <w:ind w:left="360" w:hanging="360"/>
      </w:pPr>
      <w:rPr>
        <w:rFonts w:ascii="Arial" w:hAnsi="Arial" w:hint="default"/>
      </w:rPr>
    </w:lvl>
    <w:lvl w:ilvl="1" w:tplc="C5340692">
      <w:start w:val="1"/>
      <w:numFmt w:val="bullet"/>
      <w:lvlText w:val="–"/>
      <w:lvlJc w:val="left"/>
      <w:pPr>
        <w:tabs>
          <w:tab w:val="num" w:pos="1080"/>
        </w:tabs>
        <w:ind w:left="1080" w:hanging="360"/>
      </w:pPr>
      <w:rPr>
        <w:rFonts w:ascii="Arial" w:hAnsi="Arial" w:hint="default"/>
      </w:rPr>
    </w:lvl>
    <w:lvl w:ilvl="2" w:tplc="4B9C08CE">
      <w:numFmt w:val="bullet"/>
      <w:lvlText w:val="•"/>
      <w:lvlJc w:val="left"/>
      <w:pPr>
        <w:tabs>
          <w:tab w:val="num" w:pos="1800"/>
        </w:tabs>
        <w:ind w:left="1800" w:hanging="360"/>
      </w:pPr>
      <w:rPr>
        <w:rFonts w:ascii="Arial" w:hAnsi="Arial" w:hint="default"/>
      </w:rPr>
    </w:lvl>
    <w:lvl w:ilvl="3" w:tplc="20AA988C" w:tentative="1">
      <w:start w:val="1"/>
      <w:numFmt w:val="bullet"/>
      <w:lvlText w:val="–"/>
      <w:lvlJc w:val="left"/>
      <w:pPr>
        <w:tabs>
          <w:tab w:val="num" w:pos="2520"/>
        </w:tabs>
        <w:ind w:left="2520" w:hanging="360"/>
      </w:pPr>
      <w:rPr>
        <w:rFonts w:ascii="Arial" w:hAnsi="Arial" w:hint="default"/>
      </w:rPr>
    </w:lvl>
    <w:lvl w:ilvl="4" w:tplc="DC1CC65A" w:tentative="1">
      <w:start w:val="1"/>
      <w:numFmt w:val="bullet"/>
      <w:lvlText w:val="–"/>
      <w:lvlJc w:val="left"/>
      <w:pPr>
        <w:tabs>
          <w:tab w:val="num" w:pos="3240"/>
        </w:tabs>
        <w:ind w:left="3240" w:hanging="360"/>
      </w:pPr>
      <w:rPr>
        <w:rFonts w:ascii="Arial" w:hAnsi="Arial" w:hint="default"/>
      </w:rPr>
    </w:lvl>
    <w:lvl w:ilvl="5" w:tplc="E2206B18" w:tentative="1">
      <w:start w:val="1"/>
      <w:numFmt w:val="bullet"/>
      <w:lvlText w:val="–"/>
      <w:lvlJc w:val="left"/>
      <w:pPr>
        <w:tabs>
          <w:tab w:val="num" w:pos="3960"/>
        </w:tabs>
        <w:ind w:left="3960" w:hanging="360"/>
      </w:pPr>
      <w:rPr>
        <w:rFonts w:ascii="Arial" w:hAnsi="Arial" w:hint="default"/>
      </w:rPr>
    </w:lvl>
    <w:lvl w:ilvl="6" w:tplc="FEB85E20" w:tentative="1">
      <w:start w:val="1"/>
      <w:numFmt w:val="bullet"/>
      <w:lvlText w:val="–"/>
      <w:lvlJc w:val="left"/>
      <w:pPr>
        <w:tabs>
          <w:tab w:val="num" w:pos="4680"/>
        </w:tabs>
        <w:ind w:left="4680" w:hanging="360"/>
      </w:pPr>
      <w:rPr>
        <w:rFonts w:ascii="Arial" w:hAnsi="Arial" w:hint="default"/>
      </w:rPr>
    </w:lvl>
    <w:lvl w:ilvl="7" w:tplc="599AD134" w:tentative="1">
      <w:start w:val="1"/>
      <w:numFmt w:val="bullet"/>
      <w:lvlText w:val="–"/>
      <w:lvlJc w:val="left"/>
      <w:pPr>
        <w:tabs>
          <w:tab w:val="num" w:pos="5400"/>
        </w:tabs>
        <w:ind w:left="5400" w:hanging="360"/>
      </w:pPr>
      <w:rPr>
        <w:rFonts w:ascii="Arial" w:hAnsi="Arial" w:hint="default"/>
      </w:rPr>
    </w:lvl>
    <w:lvl w:ilvl="8" w:tplc="72BC34D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07069"/>
    <w:multiLevelType w:val="hybridMultilevel"/>
    <w:tmpl w:val="8CF4E64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A81301"/>
    <w:multiLevelType w:val="hybridMultilevel"/>
    <w:tmpl w:val="9A6C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2D3BDF"/>
    <w:multiLevelType w:val="hybridMultilevel"/>
    <w:tmpl w:val="258E3326"/>
    <w:lvl w:ilvl="0" w:tplc="AC62A198">
      <w:start w:val="1"/>
      <w:numFmt w:val="bullet"/>
      <w:lvlText w:val="•"/>
      <w:lvlJc w:val="left"/>
      <w:pPr>
        <w:tabs>
          <w:tab w:val="num" w:pos="360"/>
        </w:tabs>
        <w:ind w:left="360" w:hanging="360"/>
      </w:pPr>
      <w:rPr>
        <w:rFonts w:ascii="Arial" w:hAnsi="Arial" w:hint="default"/>
      </w:rPr>
    </w:lvl>
    <w:lvl w:ilvl="1" w:tplc="E90C0228">
      <w:numFmt w:val="bullet"/>
      <w:lvlText w:val="–"/>
      <w:lvlJc w:val="left"/>
      <w:pPr>
        <w:tabs>
          <w:tab w:val="num" w:pos="1080"/>
        </w:tabs>
        <w:ind w:left="1080" w:hanging="360"/>
      </w:pPr>
      <w:rPr>
        <w:rFonts w:ascii="Arial" w:hAnsi="Arial" w:hint="default"/>
      </w:rPr>
    </w:lvl>
    <w:lvl w:ilvl="2" w:tplc="34E6DAC0" w:tentative="1">
      <w:start w:val="1"/>
      <w:numFmt w:val="bullet"/>
      <w:lvlText w:val="•"/>
      <w:lvlJc w:val="left"/>
      <w:pPr>
        <w:tabs>
          <w:tab w:val="num" w:pos="1800"/>
        </w:tabs>
        <w:ind w:left="1800" w:hanging="360"/>
      </w:pPr>
      <w:rPr>
        <w:rFonts w:ascii="Arial" w:hAnsi="Arial" w:hint="default"/>
      </w:rPr>
    </w:lvl>
    <w:lvl w:ilvl="3" w:tplc="70560C78" w:tentative="1">
      <w:start w:val="1"/>
      <w:numFmt w:val="bullet"/>
      <w:lvlText w:val="•"/>
      <w:lvlJc w:val="left"/>
      <w:pPr>
        <w:tabs>
          <w:tab w:val="num" w:pos="2520"/>
        </w:tabs>
        <w:ind w:left="2520" w:hanging="360"/>
      </w:pPr>
      <w:rPr>
        <w:rFonts w:ascii="Arial" w:hAnsi="Arial" w:hint="default"/>
      </w:rPr>
    </w:lvl>
    <w:lvl w:ilvl="4" w:tplc="AFE0C170" w:tentative="1">
      <w:start w:val="1"/>
      <w:numFmt w:val="bullet"/>
      <w:lvlText w:val="•"/>
      <w:lvlJc w:val="left"/>
      <w:pPr>
        <w:tabs>
          <w:tab w:val="num" w:pos="3240"/>
        </w:tabs>
        <w:ind w:left="3240" w:hanging="360"/>
      </w:pPr>
      <w:rPr>
        <w:rFonts w:ascii="Arial" w:hAnsi="Arial" w:hint="default"/>
      </w:rPr>
    </w:lvl>
    <w:lvl w:ilvl="5" w:tplc="641043E4" w:tentative="1">
      <w:start w:val="1"/>
      <w:numFmt w:val="bullet"/>
      <w:lvlText w:val="•"/>
      <w:lvlJc w:val="left"/>
      <w:pPr>
        <w:tabs>
          <w:tab w:val="num" w:pos="3960"/>
        </w:tabs>
        <w:ind w:left="3960" w:hanging="360"/>
      </w:pPr>
      <w:rPr>
        <w:rFonts w:ascii="Arial" w:hAnsi="Arial" w:hint="default"/>
      </w:rPr>
    </w:lvl>
    <w:lvl w:ilvl="6" w:tplc="116242CA" w:tentative="1">
      <w:start w:val="1"/>
      <w:numFmt w:val="bullet"/>
      <w:lvlText w:val="•"/>
      <w:lvlJc w:val="left"/>
      <w:pPr>
        <w:tabs>
          <w:tab w:val="num" w:pos="4680"/>
        </w:tabs>
        <w:ind w:left="4680" w:hanging="360"/>
      </w:pPr>
      <w:rPr>
        <w:rFonts w:ascii="Arial" w:hAnsi="Arial" w:hint="default"/>
      </w:rPr>
    </w:lvl>
    <w:lvl w:ilvl="7" w:tplc="D61EE14C" w:tentative="1">
      <w:start w:val="1"/>
      <w:numFmt w:val="bullet"/>
      <w:lvlText w:val="•"/>
      <w:lvlJc w:val="left"/>
      <w:pPr>
        <w:tabs>
          <w:tab w:val="num" w:pos="5400"/>
        </w:tabs>
        <w:ind w:left="5400" w:hanging="360"/>
      </w:pPr>
      <w:rPr>
        <w:rFonts w:ascii="Arial" w:hAnsi="Arial" w:hint="default"/>
      </w:rPr>
    </w:lvl>
    <w:lvl w:ilvl="8" w:tplc="C3B0AB2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B845AC"/>
    <w:multiLevelType w:val="hybridMultilevel"/>
    <w:tmpl w:val="281AB46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962C88"/>
    <w:multiLevelType w:val="hybridMultilevel"/>
    <w:tmpl w:val="25FE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8" w15:restartNumberingAfterBreak="0">
    <w:nsid w:val="70B760DB"/>
    <w:multiLevelType w:val="hybridMultilevel"/>
    <w:tmpl w:val="183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B886885"/>
    <w:multiLevelType w:val="hybridMultilevel"/>
    <w:tmpl w:val="88C0CB5C"/>
    <w:lvl w:ilvl="0" w:tplc="2C7C0626">
      <w:start w:val="1"/>
      <w:numFmt w:val="bullet"/>
      <w:lvlText w:val="•"/>
      <w:lvlJc w:val="left"/>
      <w:pPr>
        <w:tabs>
          <w:tab w:val="num" w:pos="360"/>
        </w:tabs>
        <w:ind w:left="360" w:hanging="360"/>
      </w:pPr>
      <w:rPr>
        <w:rFonts w:ascii="Arial" w:hAnsi="Arial" w:hint="default"/>
      </w:rPr>
    </w:lvl>
    <w:lvl w:ilvl="1" w:tplc="1FCA120C">
      <w:start w:val="1"/>
      <w:numFmt w:val="bullet"/>
      <w:lvlText w:val="•"/>
      <w:lvlJc w:val="left"/>
      <w:pPr>
        <w:tabs>
          <w:tab w:val="num" w:pos="1080"/>
        </w:tabs>
        <w:ind w:left="1080" w:hanging="360"/>
      </w:pPr>
      <w:rPr>
        <w:rFonts w:ascii="Arial" w:hAnsi="Arial" w:hint="default"/>
      </w:rPr>
    </w:lvl>
    <w:lvl w:ilvl="2" w:tplc="BA68C178">
      <w:start w:val="1"/>
      <w:numFmt w:val="bullet"/>
      <w:lvlText w:val="•"/>
      <w:lvlJc w:val="left"/>
      <w:pPr>
        <w:tabs>
          <w:tab w:val="num" w:pos="1800"/>
        </w:tabs>
        <w:ind w:left="1800" w:hanging="360"/>
      </w:pPr>
      <w:rPr>
        <w:rFonts w:ascii="Arial" w:hAnsi="Arial" w:hint="default"/>
      </w:rPr>
    </w:lvl>
    <w:lvl w:ilvl="3" w:tplc="BB8EEB64">
      <w:numFmt w:val="bullet"/>
      <w:lvlText w:val="–"/>
      <w:lvlJc w:val="left"/>
      <w:pPr>
        <w:tabs>
          <w:tab w:val="num" w:pos="2520"/>
        </w:tabs>
        <w:ind w:left="2520" w:hanging="360"/>
      </w:pPr>
      <w:rPr>
        <w:rFonts w:ascii="Arial" w:hAnsi="Arial" w:hint="default"/>
      </w:rPr>
    </w:lvl>
    <w:lvl w:ilvl="4" w:tplc="E7425106" w:tentative="1">
      <w:start w:val="1"/>
      <w:numFmt w:val="bullet"/>
      <w:lvlText w:val="•"/>
      <w:lvlJc w:val="left"/>
      <w:pPr>
        <w:tabs>
          <w:tab w:val="num" w:pos="3240"/>
        </w:tabs>
        <w:ind w:left="3240" w:hanging="360"/>
      </w:pPr>
      <w:rPr>
        <w:rFonts w:ascii="Arial" w:hAnsi="Arial" w:hint="default"/>
      </w:rPr>
    </w:lvl>
    <w:lvl w:ilvl="5" w:tplc="E8D247F8" w:tentative="1">
      <w:start w:val="1"/>
      <w:numFmt w:val="bullet"/>
      <w:lvlText w:val="•"/>
      <w:lvlJc w:val="left"/>
      <w:pPr>
        <w:tabs>
          <w:tab w:val="num" w:pos="3960"/>
        </w:tabs>
        <w:ind w:left="3960" w:hanging="360"/>
      </w:pPr>
      <w:rPr>
        <w:rFonts w:ascii="Arial" w:hAnsi="Arial" w:hint="default"/>
      </w:rPr>
    </w:lvl>
    <w:lvl w:ilvl="6" w:tplc="7E1ECA02" w:tentative="1">
      <w:start w:val="1"/>
      <w:numFmt w:val="bullet"/>
      <w:lvlText w:val="•"/>
      <w:lvlJc w:val="left"/>
      <w:pPr>
        <w:tabs>
          <w:tab w:val="num" w:pos="4680"/>
        </w:tabs>
        <w:ind w:left="4680" w:hanging="360"/>
      </w:pPr>
      <w:rPr>
        <w:rFonts w:ascii="Arial" w:hAnsi="Arial" w:hint="default"/>
      </w:rPr>
    </w:lvl>
    <w:lvl w:ilvl="7" w:tplc="3AD8BE84" w:tentative="1">
      <w:start w:val="1"/>
      <w:numFmt w:val="bullet"/>
      <w:lvlText w:val="•"/>
      <w:lvlJc w:val="left"/>
      <w:pPr>
        <w:tabs>
          <w:tab w:val="num" w:pos="5400"/>
        </w:tabs>
        <w:ind w:left="5400" w:hanging="360"/>
      </w:pPr>
      <w:rPr>
        <w:rFonts w:ascii="Arial" w:hAnsi="Arial" w:hint="default"/>
      </w:rPr>
    </w:lvl>
    <w:lvl w:ilvl="8" w:tplc="800004A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FED05FB"/>
    <w:multiLevelType w:val="hybridMultilevel"/>
    <w:tmpl w:val="30E2C8DA"/>
    <w:lvl w:ilvl="0" w:tplc="10FC0BFA">
      <w:start w:val="1"/>
      <w:numFmt w:val="bullet"/>
      <w:lvlText w:val="–"/>
      <w:lvlJc w:val="left"/>
      <w:pPr>
        <w:tabs>
          <w:tab w:val="num" w:pos="648"/>
        </w:tabs>
        <w:ind w:left="648" w:hanging="360"/>
      </w:pPr>
      <w:rPr>
        <w:rFonts w:ascii="Arial" w:hAnsi="Arial" w:hint="default"/>
      </w:rPr>
    </w:lvl>
    <w:lvl w:ilvl="1" w:tplc="E8127854">
      <w:start w:val="1"/>
      <w:numFmt w:val="bullet"/>
      <w:lvlText w:val="–"/>
      <w:lvlJc w:val="left"/>
      <w:pPr>
        <w:tabs>
          <w:tab w:val="num" w:pos="1368"/>
        </w:tabs>
        <w:ind w:left="1368" w:hanging="360"/>
      </w:pPr>
      <w:rPr>
        <w:rFonts w:ascii="Arial" w:hAnsi="Arial" w:hint="default"/>
      </w:rPr>
    </w:lvl>
    <w:lvl w:ilvl="2" w:tplc="B61A937A">
      <w:numFmt w:val="bullet"/>
      <w:lvlText w:val="•"/>
      <w:lvlJc w:val="left"/>
      <w:pPr>
        <w:tabs>
          <w:tab w:val="num" w:pos="2088"/>
        </w:tabs>
        <w:ind w:left="2088" w:hanging="360"/>
      </w:pPr>
      <w:rPr>
        <w:rFonts w:ascii="Arial" w:hAnsi="Arial" w:hint="default"/>
      </w:rPr>
    </w:lvl>
    <w:lvl w:ilvl="3" w:tplc="55529D60" w:tentative="1">
      <w:start w:val="1"/>
      <w:numFmt w:val="bullet"/>
      <w:lvlText w:val="–"/>
      <w:lvlJc w:val="left"/>
      <w:pPr>
        <w:tabs>
          <w:tab w:val="num" w:pos="2808"/>
        </w:tabs>
        <w:ind w:left="2808" w:hanging="360"/>
      </w:pPr>
      <w:rPr>
        <w:rFonts w:ascii="Arial" w:hAnsi="Arial" w:hint="default"/>
      </w:rPr>
    </w:lvl>
    <w:lvl w:ilvl="4" w:tplc="1A849FA8" w:tentative="1">
      <w:start w:val="1"/>
      <w:numFmt w:val="bullet"/>
      <w:lvlText w:val="–"/>
      <w:lvlJc w:val="left"/>
      <w:pPr>
        <w:tabs>
          <w:tab w:val="num" w:pos="3528"/>
        </w:tabs>
        <w:ind w:left="3528" w:hanging="360"/>
      </w:pPr>
      <w:rPr>
        <w:rFonts w:ascii="Arial" w:hAnsi="Arial" w:hint="default"/>
      </w:rPr>
    </w:lvl>
    <w:lvl w:ilvl="5" w:tplc="58C87BD4" w:tentative="1">
      <w:start w:val="1"/>
      <w:numFmt w:val="bullet"/>
      <w:lvlText w:val="–"/>
      <w:lvlJc w:val="left"/>
      <w:pPr>
        <w:tabs>
          <w:tab w:val="num" w:pos="4248"/>
        </w:tabs>
        <w:ind w:left="4248" w:hanging="360"/>
      </w:pPr>
      <w:rPr>
        <w:rFonts w:ascii="Arial" w:hAnsi="Arial" w:hint="default"/>
      </w:rPr>
    </w:lvl>
    <w:lvl w:ilvl="6" w:tplc="0F7ECBA4" w:tentative="1">
      <w:start w:val="1"/>
      <w:numFmt w:val="bullet"/>
      <w:lvlText w:val="–"/>
      <w:lvlJc w:val="left"/>
      <w:pPr>
        <w:tabs>
          <w:tab w:val="num" w:pos="4968"/>
        </w:tabs>
        <w:ind w:left="4968" w:hanging="360"/>
      </w:pPr>
      <w:rPr>
        <w:rFonts w:ascii="Arial" w:hAnsi="Arial" w:hint="default"/>
      </w:rPr>
    </w:lvl>
    <w:lvl w:ilvl="7" w:tplc="068A57B0" w:tentative="1">
      <w:start w:val="1"/>
      <w:numFmt w:val="bullet"/>
      <w:lvlText w:val="–"/>
      <w:lvlJc w:val="left"/>
      <w:pPr>
        <w:tabs>
          <w:tab w:val="num" w:pos="5688"/>
        </w:tabs>
        <w:ind w:left="5688" w:hanging="360"/>
      </w:pPr>
      <w:rPr>
        <w:rFonts w:ascii="Arial" w:hAnsi="Arial" w:hint="default"/>
      </w:rPr>
    </w:lvl>
    <w:lvl w:ilvl="8" w:tplc="7EF87D5E" w:tentative="1">
      <w:start w:val="1"/>
      <w:numFmt w:val="bullet"/>
      <w:lvlText w:val="–"/>
      <w:lvlJc w:val="left"/>
      <w:pPr>
        <w:tabs>
          <w:tab w:val="num" w:pos="6408"/>
        </w:tabs>
        <w:ind w:left="6408" w:hanging="360"/>
      </w:pPr>
      <w:rPr>
        <w:rFonts w:ascii="Arial" w:hAnsi="Arial" w:hint="default"/>
      </w:rPr>
    </w:lvl>
  </w:abstractNum>
  <w:num w:numId="1">
    <w:abstractNumId w:val="8"/>
  </w:num>
  <w:num w:numId="2">
    <w:abstractNumId w:val="3"/>
  </w:num>
  <w:num w:numId="3">
    <w:abstractNumId w:val="13"/>
    <w:lvlOverride w:ilvl="0">
      <w:startOverride w:val="1"/>
    </w:lvlOverride>
  </w:num>
  <w:num w:numId="4">
    <w:abstractNumId w:val="27"/>
    <w:lvlOverride w:ilvl="0">
      <w:startOverride w:val="1"/>
    </w:lvlOverride>
  </w:num>
  <w:num w:numId="5">
    <w:abstractNumId w:val="4"/>
  </w:num>
  <w:num w:numId="6">
    <w:abstractNumId w:val="2"/>
  </w:num>
  <w:num w:numId="7">
    <w:abstractNumId w:val="26"/>
  </w:num>
  <w:num w:numId="8">
    <w:abstractNumId w:val="15"/>
  </w:num>
  <w:num w:numId="9">
    <w:abstractNumId w:val="11"/>
  </w:num>
  <w:num w:numId="10">
    <w:abstractNumId w:val="29"/>
  </w:num>
  <w:num w:numId="11">
    <w:abstractNumId w:val="21"/>
  </w:num>
  <w:num w:numId="12">
    <w:abstractNumId w:val="10"/>
  </w:num>
  <w:num w:numId="13">
    <w:abstractNumId w:val="14"/>
  </w:num>
  <w:num w:numId="14">
    <w:abstractNumId w:val="30"/>
  </w:num>
  <w:num w:numId="15">
    <w:abstractNumId w:val="7"/>
  </w:num>
  <w:num w:numId="16">
    <w:abstractNumId w:val="19"/>
  </w:num>
  <w:num w:numId="17">
    <w:abstractNumId w:val="12"/>
  </w:num>
  <w:num w:numId="18">
    <w:abstractNumId w:val="5"/>
  </w:num>
  <w:num w:numId="19">
    <w:abstractNumId w:val="22"/>
  </w:num>
  <w:num w:numId="20">
    <w:abstractNumId w:val="25"/>
  </w:num>
  <w:num w:numId="21">
    <w:abstractNumId w:val="23"/>
  </w:num>
  <w:num w:numId="22">
    <w:abstractNumId w:val="31"/>
  </w:num>
  <w:num w:numId="23">
    <w:abstractNumId w:val="32"/>
  </w:num>
  <w:num w:numId="24">
    <w:abstractNumId w:val="1"/>
  </w:num>
  <w:num w:numId="25">
    <w:abstractNumId w:val="18"/>
  </w:num>
  <w:num w:numId="26">
    <w:abstractNumId w:val="28"/>
  </w:num>
  <w:num w:numId="27">
    <w:abstractNumId w:val="3"/>
  </w:num>
  <w:num w:numId="28">
    <w:abstractNumId w:val="3"/>
  </w:num>
  <w:num w:numId="29">
    <w:abstractNumId w:val="3"/>
  </w:num>
  <w:num w:numId="30">
    <w:abstractNumId w:val="3"/>
  </w:num>
  <w:num w:numId="31">
    <w:abstractNumId w:val="16"/>
  </w:num>
  <w:num w:numId="32">
    <w:abstractNumId w:val="17"/>
  </w:num>
  <w:num w:numId="33">
    <w:abstractNumId w:val="6"/>
  </w:num>
  <w:num w:numId="34">
    <w:abstractNumId w:val="24"/>
  </w:num>
  <w:num w:numId="35">
    <w:abstractNumId w:val="9"/>
  </w:num>
  <w:num w:numId="36">
    <w:abstractNumId w:val="20"/>
  </w:num>
  <w:num w:numId="3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47E"/>
    <w:rsid w:val="000037FB"/>
    <w:rsid w:val="00003EF4"/>
    <w:rsid w:val="0000403F"/>
    <w:rsid w:val="00004885"/>
    <w:rsid w:val="00004D8C"/>
    <w:rsid w:val="00004DCB"/>
    <w:rsid w:val="000051F0"/>
    <w:rsid w:val="0000553B"/>
    <w:rsid w:val="00005C8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5D"/>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3F3"/>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99B"/>
    <w:rsid w:val="00083ABE"/>
    <w:rsid w:val="00083C81"/>
    <w:rsid w:val="00084255"/>
    <w:rsid w:val="00084667"/>
    <w:rsid w:val="00084D3C"/>
    <w:rsid w:val="00085239"/>
    <w:rsid w:val="000855A6"/>
    <w:rsid w:val="000855E5"/>
    <w:rsid w:val="00085DA3"/>
    <w:rsid w:val="00085F08"/>
    <w:rsid w:val="000862BA"/>
    <w:rsid w:val="000862F6"/>
    <w:rsid w:val="00086B50"/>
    <w:rsid w:val="00086C4D"/>
    <w:rsid w:val="00086D7F"/>
    <w:rsid w:val="0008760B"/>
    <w:rsid w:val="0008782D"/>
    <w:rsid w:val="00087A1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8DA"/>
    <w:rsid w:val="000B3F37"/>
    <w:rsid w:val="000B4788"/>
    <w:rsid w:val="000B49D7"/>
    <w:rsid w:val="000B546F"/>
    <w:rsid w:val="000B5B83"/>
    <w:rsid w:val="000B6030"/>
    <w:rsid w:val="000B61B8"/>
    <w:rsid w:val="000B64E2"/>
    <w:rsid w:val="000B65BE"/>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0E6"/>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CAD"/>
    <w:rsid w:val="000F7D1C"/>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67A"/>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279"/>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1F8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975"/>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A81"/>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53"/>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81E"/>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7F8"/>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F9"/>
    <w:rsid w:val="002B12C7"/>
    <w:rsid w:val="002B1AFA"/>
    <w:rsid w:val="002B21D6"/>
    <w:rsid w:val="002B253F"/>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855"/>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1258"/>
    <w:rsid w:val="002D13B7"/>
    <w:rsid w:val="002D2B4E"/>
    <w:rsid w:val="002D3968"/>
    <w:rsid w:val="002D41AD"/>
    <w:rsid w:val="002D425A"/>
    <w:rsid w:val="002D4314"/>
    <w:rsid w:val="002D4A54"/>
    <w:rsid w:val="002D4E37"/>
    <w:rsid w:val="002D52E0"/>
    <w:rsid w:val="002D5DEA"/>
    <w:rsid w:val="002D6127"/>
    <w:rsid w:val="002D61BE"/>
    <w:rsid w:val="002D7235"/>
    <w:rsid w:val="002D76E8"/>
    <w:rsid w:val="002D7CBA"/>
    <w:rsid w:val="002E0E94"/>
    <w:rsid w:val="002E15A5"/>
    <w:rsid w:val="002E16BC"/>
    <w:rsid w:val="002E25D2"/>
    <w:rsid w:val="002E2738"/>
    <w:rsid w:val="002E2923"/>
    <w:rsid w:val="002E2A76"/>
    <w:rsid w:val="002E306D"/>
    <w:rsid w:val="002E3653"/>
    <w:rsid w:val="002E38B7"/>
    <w:rsid w:val="002E39F7"/>
    <w:rsid w:val="002E4301"/>
    <w:rsid w:val="002E4F74"/>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1D"/>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27A"/>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1D1"/>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276"/>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5F3"/>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4FCB"/>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3F90"/>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501"/>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53C"/>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5C"/>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F01"/>
    <w:rsid w:val="004C3472"/>
    <w:rsid w:val="004C34E8"/>
    <w:rsid w:val="004C3847"/>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CC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E7E8F"/>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6DF"/>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D73"/>
    <w:rsid w:val="00631007"/>
    <w:rsid w:val="0063104C"/>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5BE0"/>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5FCA"/>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C74"/>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6FB"/>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B68"/>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B54"/>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83F"/>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5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AB0"/>
    <w:rsid w:val="008B6D24"/>
    <w:rsid w:val="008B6E5C"/>
    <w:rsid w:val="008C058D"/>
    <w:rsid w:val="008C1161"/>
    <w:rsid w:val="008C2236"/>
    <w:rsid w:val="008C2426"/>
    <w:rsid w:val="008C2453"/>
    <w:rsid w:val="008C26B4"/>
    <w:rsid w:val="008C2767"/>
    <w:rsid w:val="008C4B47"/>
    <w:rsid w:val="008C523B"/>
    <w:rsid w:val="008C570A"/>
    <w:rsid w:val="008C58F0"/>
    <w:rsid w:val="008C59D5"/>
    <w:rsid w:val="008C5B10"/>
    <w:rsid w:val="008C6970"/>
    <w:rsid w:val="008C6C7A"/>
    <w:rsid w:val="008C6F4F"/>
    <w:rsid w:val="008C6F9B"/>
    <w:rsid w:val="008C6FA2"/>
    <w:rsid w:val="008C7245"/>
    <w:rsid w:val="008C74CC"/>
    <w:rsid w:val="008C76D5"/>
    <w:rsid w:val="008C7752"/>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DC5"/>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135E"/>
    <w:rsid w:val="00931DF8"/>
    <w:rsid w:val="00932109"/>
    <w:rsid w:val="00932253"/>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29A"/>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2EF7"/>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64F"/>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E7"/>
    <w:rsid w:val="009A7154"/>
    <w:rsid w:val="009A78D1"/>
    <w:rsid w:val="009A7DFB"/>
    <w:rsid w:val="009A7E08"/>
    <w:rsid w:val="009B003C"/>
    <w:rsid w:val="009B1823"/>
    <w:rsid w:val="009B19F0"/>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0932"/>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248"/>
    <w:rsid w:val="00A553DF"/>
    <w:rsid w:val="00A5579B"/>
    <w:rsid w:val="00A55877"/>
    <w:rsid w:val="00A55BB7"/>
    <w:rsid w:val="00A55E76"/>
    <w:rsid w:val="00A5637C"/>
    <w:rsid w:val="00A56735"/>
    <w:rsid w:val="00A56BC8"/>
    <w:rsid w:val="00A56C2C"/>
    <w:rsid w:val="00A57311"/>
    <w:rsid w:val="00A577E2"/>
    <w:rsid w:val="00A57BD6"/>
    <w:rsid w:val="00A57F96"/>
    <w:rsid w:val="00A6021C"/>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431"/>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18A"/>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00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3A40"/>
    <w:rsid w:val="00AC45D6"/>
    <w:rsid w:val="00AC4D1B"/>
    <w:rsid w:val="00AC4D53"/>
    <w:rsid w:val="00AC4D9E"/>
    <w:rsid w:val="00AC4E2E"/>
    <w:rsid w:val="00AC53CD"/>
    <w:rsid w:val="00AC5BBE"/>
    <w:rsid w:val="00AC5C2A"/>
    <w:rsid w:val="00AC61B3"/>
    <w:rsid w:val="00AC63F4"/>
    <w:rsid w:val="00AC6786"/>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BA"/>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29F"/>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1356"/>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BC6"/>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0F2"/>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3B5"/>
    <w:rsid w:val="00BE072F"/>
    <w:rsid w:val="00BE0C3B"/>
    <w:rsid w:val="00BE13B8"/>
    <w:rsid w:val="00BE197A"/>
    <w:rsid w:val="00BE1A06"/>
    <w:rsid w:val="00BE2E99"/>
    <w:rsid w:val="00BE3389"/>
    <w:rsid w:val="00BE33BE"/>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3CE"/>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877"/>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369"/>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273F"/>
    <w:rsid w:val="00C23201"/>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94"/>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57F51"/>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31C"/>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18"/>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14"/>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6EA1"/>
    <w:rsid w:val="00D17327"/>
    <w:rsid w:val="00D17869"/>
    <w:rsid w:val="00D1792B"/>
    <w:rsid w:val="00D17F37"/>
    <w:rsid w:val="00D202D3"/>
    <w:rsid w:val="00D2171B"/>
    <w:rsid w:val="00D217CE"/>
    <w:rsid w:val="00D21A77"/>
    <w:rsid w:val="00D21BDF"/>
    <w:rsid w:val="00D220A4"/>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895"/>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BD5"/>
    <w:rsid w:val="00D72265"/>
    <w:rsid w:val="00D72BDC"/>
    <w:rsid w:val="00D73118"/>
    <w:rsid w:val="00D73347"/>
    <w:rsid w:val="00D73502"/>
    <w:rsid w:val="00D7364D"/>
    <w:rsid w:val="00D7397F"/>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07E"/>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98E"/>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2F52"/>
    <w:rsid w:val="00DA3857"/>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223"/>
    <w:rsid w:val="00DC7890"/>
    <w:rsid w:val="00DC79A3"/>
    <w:rsid w:val="00DC7E92"/>
    <w:rsid w:val="00DD02C4"/>
    <w:rsid w:val="00DD031F"/>
    <w:rsid w:val="00DD044C"/>
    <w:rsid w:val="00DD128A"/>
    <w:rsid w:val="00DD12B1"/>
    <w:rsid w:val="00DD12B5"/>
    <w:rsid w:val="00DD18BD"/>
    <w:rsid w:val="00DD18EB"/>
    <w:rsid w:val="00DD1947"/>
    <w:rsid w:val="00DD1E75"/>
    <w:rsid w:val="00DD1ED7"/>
    <w:rsid w:val="00DD209D"/>
    <w:rsid w:val="00DD242B"/>
    <w:rsid w:val="00DD2A3F"/>
    <w:rsid w:val="00DD2AD1"/>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1FE9"/>
    <w:rsid w:val="00E42532"/>
    <w:rsid w:val="00E42926"/>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11"/>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2F6"/>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9B6"/>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3E4A"/>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57F87"/>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69A"/>
    <w:rsid w:val="00F75B06"/>
    <w:rsid w:val="00F75C0B"/>
    <w:rsid w:val="00F763DF"/>
    <w:rsid w:val="00F77028"/>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04F"/>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6887"/>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10D2"/>
    <w:rsid w:val="00FD1407"/>
    <w:rsid w:val="00FD1436"/>
    <w:rsid w:val="00FD235B"/>
    <w:rsid w:val="00FD2804"/>
    <w:rsid w:val="00FD282A"/>
    <w:rsid w:val="00FD2A71"/>
    <w:rsid w:val="00FD2BDC"/>
    <w:rsid w:val="00FD3124"/>
    <w:rsid w:val="00FD36DD"/>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67774617">
          <w:marLeft w:val="547"/>
          <w:marRight w:val="0"/>
          <w:marTop w:val="96"/>
          <w:marBottom w:val="0"/>
          <w:divBdr>
            <w:top w:val="none" w:sz="0" w:space="0" w:color="auto"/>
            <w:left w:val="none" w:sz="0" w:space="0" w:color="auto"/>
            <w:bottom w:val="none" w:sz="0" w:space="0" w:color="auto"/>
            <w:right w:val="none" w:sz="0" w:space="0" w:color="auto"/>
          </w:divBdr>
        </w:div>
        <w:div w:id="1404983273">
          <w:marLeft w:val="1166"/>
          <w:marRight w:val="0"/>
          <w:marTop w:val="67"/>
          <w:marBottom w:val="0"/>
          <w:divBdr>
            <w:top w:val="none" w:sz="0" w:space="0" w:color="auto"/>
            <w:left w:val="none" w:sz="0" w:space="0" w:color="auto"/>
            <w:bottom w:val="none" w:sz="0" w:space="0" w:color="auto"/>
            <w:right w:val="none" w:sz="0" w:space="0" w:color="auto"/>
          </w:divBdr>
        </w:div>
        <w:div w:id="1740127403">
          <w:marLeft w:val="1166"/>
          <w:marRight w:val="0"/>
          <w:marTop w:val="6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4431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472519">
      <w:bodyDiv w:val="1"/>
      <w:marLeft w:val="0"/>
      <w:marRight w:val="0"/>
      <w:marTop w:val="0"/>
      <w:marBottom w:val="0"/>
      <w:divBdr>
        <w:top w:val="none" w:sz="0" w:space="0" w:color="auto"/>
        <w:left w:val="none" w:sz="0" w:space="0" w:color="auto"/>
        <w:bottom w:val="none" w:sz="0" w:space="0" w:color="auto"/>
        <w:right w:val="none" w:sz="0" w:space="0" w:color="auto"/>
      </w:divBdr>
      <w:divsChild>
        <w:div w:id="633025775">
          <w:marLeft w:val="1800"/>
          <w:marRight w:val="0"/>
          <w:marTop w:val="77"/>
          <w:marBottom w:val="0"/>
          <w:divBdr>
            <w:top w:val="none" w:sz="0" w:space="0" w:color="auto"/>
            <w:left w:val="none" w:sz="0" w:space="0" w:color="auto"/>
            <w:bottom w:val="none" w:sz="0" w:space="0" w:color="auto"/>
            <w:right w:val="none" w:sz="0" w:space="0" w:color="auto"/>
          </w:divBdr>
        </w:div>
        <w:div w:id="1988627235">
          <w:marLeft w:val="1800"/>
          <w:marRight w:val="0"/>
          <w:marTop w:val="77"/>
          <w:marBottom w:val="0"/>
          <w:divBdr>
            <w:top w:val="none" w:sz="0" w:space="0" w:color="auto"/>
            <w:left w:val="none" w:sz="0" w:space="0" w:color="auto"/>
            <w:bottom w:val="none" w:sz="0" w:space="0" w:color="auto"/>
            <w:right w:val="none" w:sz="0" w:space="0" w:color="auto"/>
          </w:divBdr>
        </w:div>
        <w:div w:id="183981770">
          <w:marLeft w:val="1800"/>
          <w:marRight w:val="0"/>
          <w:marTop w:val="7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5625202">
      <w:bodyDiv w:val="1"/>
      <w:marLeft w:val="0"/>
      <w:marRight w:val="0"/>
      <w:marTop w:val="0"/>
      <w:marBottom w:val="0"/>
      <w:divBdr>
        <w:top w:val="none" w:sz="0" w:space="0" w:color="auto"/>
        <w:left w:val="none" w:sz="0" w:space="0" w:color="auto"/>
        <w:bottom w:val="none" w:sz="0" w:space="0" w:color="auto"/>
        <w:right w:val="none" w:sz="0" w:space="0" w:color="auto"/>
      </w:divBdr>
      <w:divsChild>
        <w:div w:id="1803380887">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207251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38679838">
      <w:bodyDiv w:val="1"/>
      <w:marLeft w:val="0"/>
      <w:marRight w:val="0"/>
      <w:marTop w:val="0"/>
      <w:marBottom w:val="0"/>
      <w:divBdr>
        <w:top w:val="none" w:sz="0" w:space="0" w:color="auto"/>
        <w:left w:val="none" w:sz="0" w:space="0" w:color="auto"/>
        <w:bottom w:val="none" w:sz="0" w:space="0" w:color="auto"/>
        <w:right w:val="none" w:sz="0" w:space="0" w:color="auto"/>
      </w:divBdr>
      <w:divsChild>
        <w:div w:id="1263565284">
          <w:marLeft w:val="1800"/>
          <w:marRight w:val="0"/>
          <w:marTop w:val="58"/>
          <w:marBottom w:val="0"/>
          <w:divBdr>
            <w:top w:val="none" w:sz="0" w:space="0" w:color="auto"/>
            <w:left w:val="none" w:sz="0" w:space="0" w:color="auto"/>
            <w:bottom w:val="none" w:sz="0" w:space="0" w:color="auto"/>
            <w:right w:val="none" w:sz="0" w:space="0" w:color="auto"/>
          </w:divBdr>
        </w:div>
        <w:div w:id="485167132">
          <w:marLeft w:val="2520"/>
          <w:marRight w:val="0"/>
          <w:marTop w:val="58"/>
          <w:marBottom w:val="0"/>
          <w:divBdr>
            <w:top w:val="none" w:sz="0" w:space="0" w:color="auto"/>
            <w:left w:val="none" w:sz="0" w:space="0" w:color="auto"/>
            <w:bottom w:val="none" w:sz="0" w:space="0" w:color="auto"/>
            <w:right w:val="none" w:sz="0" w:space="0" w:color="auto"/>
          </w:divBdr>
        </w:div>
        <w:div w:id="1719084543">
          <w:marLeft w:val="2520"/>
          <w:marRight w:val="0"/>
          <w:marTop w:val="58"/>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882842">
      <w:bodyDiv w:val="1"/>
      <w:marLeft w:val="0"/>
      <w:marRight w:val="0"/>
      <w:marTop w:val="0"/>
      <w:marBottom w:val="0"/>
      <w:divBdr>
        <w:top w:val="none" w:sz="0" w:space="0" w:color="auto"/>
        <w:left w:val="none" w:sz="0" w:space="0" w:color="auto"/>
        <w:bottom w:val="none" w:sz="0" w:space="0" w:color="auto"/>
        <w:right w:val="none" w:sz="0" w:space="0" w:color="auto"/>
      </w:divBdr>
      <w:divsChild>
        <w:div w:id="1592205000">
          <w:marLeft w:val="547"/>
          <w:marRight w:val="0"/>
          <w:marTop w:val="96"/>
          <w:marBottom w:val="0"/>
          <w:divBdr>
            <w:top w:val="none" w:sz="0" w:space="0" w:color="auto"/>
            <w:left w:val="none" w:sz="0" w:space="0" w:color="auto"/>
            <w:bottom w:val="none" w:sz="0" w:space="0" w:color="auto"/>
            <w:right w:val="none" w:sz="0" w:space="0" w:color="auto"/>
          </w:divBdr>
        </w:div>
        <w:div w:id="321202320">
          <w:marLeft w:val="1166"/>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048181">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0579475">
      <w:bodyDiv w:val="1"/>
      <w:marLeft w:val="0"/>
      <w:marRight w:val="0"/>
      <w:marTop w:val="0"/>
      <w:marBottom w:val="0"/>
      <w:divBdr>
        <w:top w:val="none" w:sz="0" w:space="0" w:color="auto"/>
        <w:left w:val="none" w:sz="0" w:space="0" w:color="auto"/>
        <w:bottom w:val="none" w:sz="0" w:space="0" w:color="auto"/>
        <w:right w:val="none" w:sz="0" w:space="0" w:color="auto"/>
      </w:divBdr>
      <w:divsChild>
        <w:div w:id="1254782019">
          <w:marLeft w:val="1166"/>
          <w:marRight w:val="0"/>
          <w:marTop w:val="67"/>
          <w:marBottom w:val="0"/>
          <w:divBdr>
            <w:top w:val="none" w:sz="0" w:space="0" w:color="auto"/>
            <w:left w:val="none" w:sz="0" w:space="0" w:color="auto"/>
            <w:bottom w:val="none" w:sz="0" w:space="0" w:color="auto"/>
            <w:right w:val="none" w:sz="0" w:space="0" w:color="auto"/>
          </w:divBdr>
        </w:div>
        <w:div w:id="1849057653">
          <w:marLeft w:val="1800"/>
          <w:marRight w:val="0"/>
          <w:marTop w:val="67"/>
          <w:marBottom w:val="0"/>
          <w:divBdr>
            <w:top w:val="none" w:sz="0" w:space="0" w:color="auto"/>
            <w:left w:val="none" w:sz="0" w:space="0" w:color="auto"/>
            <w:bottom w:val="none" w:sz="0" w:space="0" w:color="auto"/>
            <w:right w:val="none" w:sz="0" w:space="0" w:color="auto"/>
          </w:divBdr>
        </w:div>
        <w:div w:id="1749040974">
          <w:marLeft w:val="1800"/>
          <w:marRight w:val="0"/>
          <w:marTop w:val="67"/>
          <w:marBottom w:val="0"/>
          <w:divBdr>
            <w:top w:val="none" w:sz="0" w:space="0" w:color="auto"/>
            <w:left w:val="none" w:sz="0" w:space="0" w:color="auto"/>
            <w:bottom w:val="none" w:sz="0" w:space="0" w:color="auto"/>
            <w:right w:val="none" w:sz="0" w:space="0" w:color="auto"/>
          </w:divBdr>
        </w:div>
        <w:div w:id="587350588">
          <w:marLeft w:val="1800"/>
          <w:marRight w:val="0"/>
          <w:marTop w:val="67"/>
          <w:marBottom w:val="0"/>
          <w:divBdr>
            <w:top w:val="none" w:sz="0" w:space="0" w:color="auto"/>
            <w:left w:val="none" w:sz="0" w:space="0" w:color="auto"/>
            <w:bottom w:val="none" w:sz="0" w:space="0" w:color="auto"/>
            <w:right w:val="none" w:sz="0" w:space="0" w:color="auto"/>
          </w:divBdr>
        </w:div>
        <w:div w:id="535239161">
          <w:marLeft w:val="1800"/>
          <w:marRight w:val="0"/>
          <w:marTop w:val="67"/>
          <w:marBottom w:val="0"/>
          <w:divBdr>
            <w:top w:val="none" w:sz="0" w:space="0" w:color="auto"/>
            <w:left w:val="none" w:sz="0" w:space="0" w:color="auto"/>
            <w:bottom w:val="none" w:sz="0" w:space="0" w:color="auto"/>
            <w:right w:val="none" w:sz="0" w:space="0" w:color="auto"/>
          </w:divBdr>
        </w:div>
        <w:div w:id="651720768">
          <w:marLeft w:val="1166"/>
          <w:marRight w:val="0"/>
          <w:marTop w:val="67"/>
          <w:marBottom w:val="0"/>
          <w:divBdr>
            <w:top w:val="none" w:sz="0" w:space="0" w:color="auto"/>
            <w:left w:val="none" w:sz="0" w:space="0" w:color="auto"/>
            <w:bottom w:val="none" w:sz="0" w:space="0" w:color="auto"/>
            <w:right w:val="none" w:sz="0" w:space="0" w:color="auto"/>
          </w:divBdr>
        </w:div>
        <w:div w:id="1861897897">
          <w:marLeft w:val="1800"/>
          <w:marRight w:val="0"/>
          <w:marTop w:val="67"/>
          <w:marBottom w:val="0"/>
          <w:divBdr>
            <w:top w:val="none" w:sz="0" w:space="0" w:color="auto"/>
            <w:left w:val="none" w:sz="0" w:space="0" w:color="auto"/>
            <w:bottom w:val="none" w:sz="0" w:space="0" w:color="auto"/>
            <w:right w:val="none" w:sz="0" w:space="0" w:color="auto"/>
          </w:divBdr>
        </w:div>
        <w:div w:id="1884946533">
          <w:marLeft w:val="1800"/>
          <w:marRight w:val="0"/>
          <w:marTop w:val="67"/>
          <w:marBottom w:val="0"/>
          <w:divBdr>
            <w:top w:val="none" w:sz="0" w:space="0" w:color="auto"/>
            <w:left w:val="none" w:sz="0" w:space="0" w:color="auto"/>
            <w:bottom w:val="none" w:sz="0" w:space="0" w:color="auto"/>
            <w:right w:val="none" w:sz="0" w:space="0" w:color="auto"/>
          </w:divBdr>
        </w:div>
        <w:div w:id="1277836241">
          <w:marLeft w:val="180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891650">
      <w:bodyDiv w:val="1"/>
      <w:marLeft w:val="0"/>
      <w:marRight w:val="0"/>
      <w:marTop w:val="0"/>
      <w:marBottom w:val="0"/>
      <w:divBdr>
        <w:top w:val="none" w:sz="0" w:space="0" w:color="auto"/>
        <w:left w:val="none" w:sz="0" w:space="0" w:color="auto"/>
        <w:bottom w:val="none" w:sz="0" w:space="0" w:color="auto"/>
        <w:right w:val="none" w:sz="0" w:space="0" w:color="auto"/>
      </w:divBdr>
      <w:divsChild>
        <w:div w:id="105733340">
          <w:marLeft w:val="1166"/>
          <w:marRight w:val="0"/>
          <w:marTop w:val="58"/>
          <w:marBottom w:val="0"/>
          <w:divBdr>
            <w:top w:val="none" w:sz="0" w:space="0" w:color="auto"/>
            <w:left w:val="none" w:sz="0" w:space="0" w:color="auto"/>
            <w:bottom w:val="none" w:sz="0" w:space="0" w:color="auto"/>
            <w:right w:val="none" w:sz="0" w:space="0" w:color="auto"/>
          </w:divBdr>
        </w:div>
        <w:div w:id="1844659278">
          <w:marLeft w:val="180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jp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jpg"/><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image" Target="media/image9.jpg"/><Relationship Id="rId10" Type="http://schemas.openxmlformats.org/officeDocument/2006/relationships/footnotes" Target="footnotes.xm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HR33RHYHUWRF-4-6157</_dlc_DocId>
    <_dlc_DocIdUrl xmlns="c06861ca-3f08-4d07-bff7-bb15bac121f4">
      <Url>https://projects.qualcomm.com/sites/pentari/_layouts/15/DocIdRedir.aspx?ID=HR33RHYHUWRF-4-6157</Url>
      <Description>HR33RHYHUWRF-4-6157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1D9A7F-45EC-474F-9A74-2BB6F3CC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1966</Words>
  <Characters>11209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Yu Zhang</cp:lastModifiedBy>
  <cp:revision>3</cp:revision>
  <cp:lastPrinted>2014-11-07T05:38:00Z</cp:lastPrinted>
  <dcterms:created xsi:type="dcterms:W3CDTF">2017-11-18T06:03:00Z</dcterms:created>
  <dcterms:modified xsi:type="dcterms:W3CDTF">2017-11-18T06:08:00Z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61194eb6-dba6-40c0-b8fa-3fff6a7afb22</vt:lpwstr>
  </property>
  <property fmtid="{D5CDD505-2E9C-101B-9397-08002B2CF9AE}" pid="3" name="ContentTypeId">
    <vt:lpwstr>0x010100BC29BFD66497B943AA3B102F0C7B1355</vt:lpwstr>
  </property>
</Properties>
</file>