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EAB5C" w14:textId="32673655" w:rsidR="000B35E3" w:rsidRPr="0060619D" w:rsidRDefault="006363E2" w:rsidP="00ED0F52">
      <w:pPr>
        <w:pStyle w:val="a3"/>
        <w:tabs>
          <w:tab w:val="left" w:pos="8320"/>
        </w:tabs>
        <w:spacing w:after="0" w:afterAutospacing="0"/>
        <w:jc w:val="left"/>
        <w:rPr>
          <w:rFonts w:eastAsia="宋体" w:cs="Arial"/>
          <w:iCs/>
          <w:noProof w:val="0"/>
          <w:sz w:val="28"/>
          <w:szCs w:val="28"/>
          <w:lang w:val="en-US" w:eastAsia="zh-CN"/>
        </w:rPr>
      </w:pPr>
      <w:bookmarkStart w:id="0" w:name="OLE_LINK3"/>
      <w:r w:rsidRPr="004266BD">
        <w:rPr>
          <w:rFonts w:cs="Arial"/>
          <w:noProof w:val="0"/>
          <w:sz w:val="28"/>
          <w:szCs w:val="28"/>
          <w:lang w:val="en-US"/>
        </w:rPr>
        <w:t xml:space="preserve">3GPP TSG RAN WG1 </w:t>
      </w:r>
      <w:r w:rsidRPr="004266BD">
        <w:rPr>
          <w:rFonts w:eastAsia="MS Gothic" w:cs="Arial"/>
          <w:noProof w:val="0"/>
          <w:sz w:val="28"/>
          <w:szCs w:val="28"/>
          <w:lang w:val="en-US"/>
        </w:rPr>
        <w:t>Meeting</w:t>
      </w:r>
      <w:r>
        <w:rPr>
          <w:rFonts w:eastAsia="MS Gothic" w:cs="Arial"/>
          <w:noProof w:val="0"/>
          <w:sz w:val="28"/>
          <w:szCs w:val="28"/>
          <w:lang w:val="en-US"/>
        </w:rPr>
        <w:t xml:space="preserve"> #91</w:t>
      </w:r>
      <w:r w:rsidR="000B35E3">
        <w:rPr>
          <w:rFonts w:eastAsia="MS Gothic" w:cs="Arial"/>
          <w:noProof w:val="0"/>
          <w:sz w:val="28"/>
          <w:szCs w:val="28"/>
          <w:lang w:val="en-US"/>
        </w:rPr>
        <w:t xml:space="preserve"> </w:t>
      </w:r>
      <w:r w:rsidR="000B35E3">
        <w:rPr>
          <w:rFonts w:eastAsia="MS Gothic" w:cs="Arial"/>
          <w:noProof w:val="0"/>
          <w:sz w:val="28"/>
          <w:szCs w:val="28"/>
          <w:lang w:val="en-US"/>
        </w:rPr>
        <w:tab/>
      </w:r>
      <w:r w:rsidR="00ED0F52">
        <w:rPr>
          <w:rFonts w:eastAsia="宋体" w:cs="Arial" w:hint="eastAsia"/>
          <w:noProof w:val="0"/>
          <w:sz w:val="28"/>
          <w:szCs w:val="28"/>
          <w:lang w:val="en-US" w:eastAsia="zh-CN"/>
        </w:rPr>
        <w:t>R1-</w:t>
      </w:r>
      <w:r w:rsidR="00ED0F52" w:rsidRPr="00ED0F52">
        <w:rPr>
          <w:rFonts w:eastAsia="MS Gothic" w:cs="Arial"/>
          <w:noProof w:val="0"/>
          <w:sz w:val="28"/>
          <w:szCs w:val="28"/>
          <w:lang w:val="en-US"/>
        </w:rPr>
        <w:t>1720613</w:t>
      </w:r>
    </w:p>
    <w:p w14:paraId="167E3101" w14:textId="6C62C01A" w:rsidR="00004B52" w:rsidRPr="0014090F" w:rsidRDefault="0060619D" w:rsidP="000B35E3">
      <w:pPr>
        <w:pStyle w:val="a3"/>
        <w:tabs>
          <w:tab w:val="right" w:pos="9072"/>
          <w:tab w:val="right" w:pos="10206"/>
        </w:tabs>
        <w:spacing w:after="0" w:afterAutospacing="0"/>
        <w:rPr>
          <w:rFonts w:eastAsia="宋体" w:cs="Arial"/>
          <w:noProof w:val="0"/>
          <w:sz w:val="28"/>
          <w:szCs w:val="28"/>
          <w:lang w:val="en-US" w:eastAsia="zh-CN"/>
        </w:rPr>
      </w:pPr>
      <w:r w:rsidRPr="0060619D">
        <w:rPr>
          <w:rFonts w:eastAsia="宋体" w:cs="Arial"/>
          <w:sz w:val="28"/>
          <w:szCs w:val="28"/>
          <w:lang w:val="en-US" w:eastAsia="zh-CN"/>
        </w:rPr>
        <w:t xml:space="preserve">Reno, Nevada, USA, </w:t>
      </w:r>
      <w:r>
        <w:rPr>
          <w:rFonts w:eastAsia="宋体" w:cs="Arial" w:hint="eastAsia"/>
          <w:sz w:val="28"/>
          <w:szCs w:val="28"/>
          <w:lang w:val="en-US" w:eastAsia="zh-CN"/>
        </w:rPr>
        <w:t>27</w:t>
      </w:r>
      <w:r w:rsidRPr="0060619D">
        <w:rPr>
          <w:rFonts w:eastAsia="宋体" w:cs="Arial" w:hint="eastAsia"/>
          <w:sz w:val="28"/>
          <w:szCs w:val="28"/>
          <w:vertAlign w:val="superscript"/>
          <w:lang w:val="en-US" w:eastAsia="zh-CN"/>
        </w:rPr>
        <w:t>th</w:t>
      </w:r>
      <w:r>
        <w:rPr>
          <w:rFonts w:eastAsia="宋体" w:cs="Arial" w:hint="eastAsia"/>
          <w:sz w:val="28"/>
          <w:szCs w:val="28"/>
          <w:lang w:val="en-US" w:eastAsia="zh-CN"/>
        </w:rPr>
        <w:t xml:space="preserve"> </w:t>
      </w:r>
      <w:r w:rsidRPr="0060619D">
        <w:rPr>
          <w:rFonts w:eastAsia="宋体" w:cs="Arial"/>
          <w:sz w:val="28"/>
          <w:szCs w:val="28"/>
          <w:lang w:val="en-US" w:eastAsia="zh-CN"/>
        </w:rPr>
        <w:t xml:space="preserve">November – </w:t>
      </w:r>
      <w:r>
        <w:rPr>
          <w:rFonts w:eastAsia="宋体" w:cs="Arial" w:hint="eastAsia"/>
          <w:sz w:val="28"/>
          <w:szCs w:val="28"/>
          <w:lang w:val="en-US" w:eastAsia="zh-CN"/>
        </w:rPr>
        <w:t>1</w:t>
      </w:r>
      <w:r w:rsidRPr="0060619D">
        <w:rPr>
          <w:rFonts w:eastAsia="宋体" w:cs="Arial" w:hint="eastAsia"/>
          <w:sz w:val="28"/>
          <w:szCs w:val="28"/>
          <w:vertAlign w:val="superscript"/>
          <w:lang w:val="en-US" w:eastAsia="zh-CN"/>
        </w:rPr>
        <w:t>st</w:t>
      </w:r>
      <w:r>
        <w:rPr>
          <w:rFonts w:eastAsia="宋体" w:cs="Arial" w:hint="eastAsia"/>
          <w:sz w:val="28"/>
          <w:szCs w:val="28"/>
          <w:lang w:val="en-US" w:eastAsia="zh-CN"/>
        </w:rPr>
        <w:t xml:space="preserve"> </w:t>
      </w:r>
      <w:r w:rsidRPr="0060619D">
        <w:rPr>
          <w:rFonts w:eastAsia="宋体" w:cs="Arial"/>
          <w:sz w:val="28"/>
          <w:szCs w:val="28"/>
          <w:lang w:val="en-US" w:eastAsia="zh-CN"/>
        </w:rPr>
        <w:t>December, 2017</w:t>
      </w:r>
    </w:p>
    <w:p w14:paraId="022AB4EE" w14:textId="77777777" w:rsidR="00004B52" w:rsidRPr="0014090F" w:rsidRDefault="00004B52" w:rsidP="0060799C">
      <w:pPr>
        <w:pStyle w:val="a3"/>
        <w:tabs>
          <w:tab w:val="right" w:pos="10206"/>
        </w:tabs>
        <w:spacing w:after="0" w:afterAutospacing="0"/>
        <w:rPr>
          <w:rFonts w:eastAsia="MS Gothic" w:cs="Arial"/>
          <w:noProof w:val="0"/>
          <w:sz w:val="28"/>
          <w:szCs w:val="28"/>
          <w:lang w:val="en-US"/>
        </w:rPr>
      </w:pPr>
      <w:bookmarkStart w:id="1" w:name="_GoBack"/>
      <w:bookmarkEnd w:id="1"/>
    </w:p>
    <w:p w14:paraId="3B6BBF77" w14:textId="77777777"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14:paraId="2F9D0A21" w14:textId="11ED11FF" w:rsidR="00004B52" w:rsidRPr="00395695" w:rsidRDefault="00004B52" w:rsidP="0060799C">
      <w:pPr>
        <w:spacing w:after="0" w:afterAutospacing="0"/>
        <w:ind w:left="1985" w:hangingChars="706" w:hanging="1985"/>
        <w:rPr>
          <w:rFonts w:ascii="Arial" w:eastAsia="宋体" w:hAnsi="Arial" w:cs="Arial"/>
          <w:b/>
          <w:sz w:val="28"/>
          <w:szCs w:val="28"/>
          <w:lang w:val="en-US" w:eastAsia="zh-CN"/>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mechanisms for beam failure </w:t>
      </w:r>
      <w:r w:rsidR="0000017B">
        <w:rPr>
          <w:rFonts w:ascii="Arial" w:hAnsi="Arial" w:cs="Arial" w:hint="eastAsia"/>
          <w:b/>
          <w:sz w:val="28"/>
          <w:szCs w:val="28"/>
          <w:lang w:val="en-US"/>
        </w:rPr>
        <w:t>recovery</w:t>
      </w:r>
    </w:p>
    <w:p w14:paraId="369A72EC" w14:textId="0ABAF69A"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6C722D">
        <w:rPr>
          <w:rFonts w:ascii="Arial" w:eastAsia="宋体" w:hAnsi="Arial" w:cs="Arial" w:hint="eastAsia"/>
          <w:b/>
          <w:sz w:val="28"/>
          <w:szCs w:val="28"/>
          <w:lang w:val="en-US" w:eastAsia="zh-CN"/>
        </w:rPr>
        <w:t>7.2.2.4</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2"/>
    </w:p>
    <w:p w14:paraId="03BE3736" w14:textId="7958A31B" w:rsidR="00816836" w:rsidRPr="0014090F" w:rsidRDefault="00816836" w:rsidP="00F542AD">
      <w:pPr>
        <w:spacing w:before="240" w:after="240" w:afterAutospacing="0"/>
        <w:rPr>
          <w:rFonts w:eastAsia="MS Mincho"/>
          <w:lang w:val="en-US"/>
        </w:rPr>
      </w:pPr>
      <w:r w:rsidRPr="0014090F">
        <w:rPr>
          <w:rFonts w:eastAsia="MS Mincho"/>
          <w:lang w:val="en-US"/>
        </w:rPr>
        <w:t xml:space="preserve">In this contribution, we </w:t>
      </w:r>
      <w:r w:rsidR="00A42933" w:rsidRPr="0014090F">
        <w:rPr>
          <w:rFonts w:eastAsiaTheme="minorEastAsia"/>
          <w:lang w:val="en-US"/>
        </w:rPr>
        <w:t xml:space="preserve">share our views on </w:t>
      </w:r>
      <w:r w:rsidR="002F293E">
        <w:rPr>
          <w:rFonts w:eastAsia="宋体" w:hint="eastAsia"/>
          <w:lang w:val="en-US" w:eastAsia="zh-CN"/>
        </w:rPr>
        <w:t xml:space="preserve">the remaining issues of </w:t>
      </w:r>
      <w:r w:rsidR="008B3CBA">
        <w:rPr>
          <w:rFonts w:eastAsiaTheme="minorEastAsia"/>
          <w:lang w:val="en-US"/>
        </w:rPr>
        <w:t xml:space="preserve">beam </w:t>
      </w:r>
      <w:r w:rsidR="002F293E">
        <w:rPr>
          <w:rFonts w:eastAsia="宋体" w:hint="eastAsia"/>
          <w:lang w:val="en-US" w:eastAsia="zh-CN"/>
        </w:rPr>
        <w:t xml:space="preserve">failure </w:t>
      </w:r>
      <w:r w:rsidR="008B3CBA">
        <w:rPr>
          <w:rFonts w:eastAsiaTheme="minorEastAsia"/>
          <w:lang w:val="en-US"/>
        </w:rPr>
        <w:t>recovery mechanism</w:t>
      </w:r>
      <w:r w:rsidR="00153119" w:rsidRPr="0014090F">
        <w:rPr>
          <w:rFonts w:eastAsiaTheme="minorEastAsia"/>
          <w:lang w:val="en-US"/>
        </w:rPr>
        <w:t>.</w:t>
      </w:r>
    </w:p>
    <w:p w14:paraId="3358C891" w14:textId="4E45FC13" w:rsidR="002877C2" w:rsidRDefault="00A42933" w:rsidP="00A42933">
      <w:pPr>
        <w:pStyle w:val="10"/>
        <w:spacing w:after="180"/>
        <w:rPr>
          <w:lang w:val="en-US"/>
        </w:rPr>
      </w:pPr>
      <w:r w:rsidRPr="007E0489">
        <w:rPr>
          <w:lang w:val="en-US"/>
        </w:rPr>
        <w:t>Discussions</w:t>
      </w:r>
    </w:p>
    <w:p w14:paraId="740EB32A" w14:textId="1D228614" w:rsidR="009C0025" w:rsidRDefault="00C53B39" w:rsidP="00395695">
      <w:pPr>
        <w:pStyle w:val="20"/>
        <w:tabs>
          <w:tab w:val="clear" w:pos="3261"/>
          <w:tab w:val="num" w:pos="567"/>
        </w:tabs>
        <w:ind w:left="567"/>
        <w:rPr>
          <w:rFonts w:eastAsia="宋体"/>
          <w:lang w:val="en-US" w:eastAsia="zh-CN"/>
        </w:rPr>
      </w:pPr>
      <w:bookmarkStart w:id="4" w:name="_Ref497206228"/>
      <w:bookmarkStart w:id="5" w:name="OLE_LINK1"/>
      <w:r w:rsidRPr="00395695">
        <w:t>Impact</w:t>
      </w:r>
      <w:r>
        <w:rPr>
          <w:rFonts w:eastAsia="宋体" w:hint="eastAsia"/>
          <w:lang w:eastAsia="zh-CN"/>
        </w:rPr>
        <w:t xml:space="preserve"> of PDCCH detection on b</w:t>
      </w:r>
      <w:r w:rsidR="00BA2D84">
        <w:t>eam failure</w:t>
      </w:r>
      <w:r w:rsidR="00AA38D0">
        <w:rPr>
          <w:rFonts w:eastAsia="宋体" w:hint="eastAsia"/>
          <w:lang w:val="en-US" w:eastAsia="zh-CN"/>
        </w:rPr>
        <w:t xml:space="preserve"> recovery procedure</w:t>
      </w:r>
      <w:bookmarkEnd w:id="4"/>
    </w:p>
    <w:p w14:paraId="30ECCAF5" w14:textId="541213B5" w:rsidR="002F293E" w:rsidRDefault="005E0C55" w:rsidP="00395695">
      <w:pPr>
        <w:rPr>
          <w:rFonts w:eastAsia="宋体"/>
          <w:lang w:val="en-US" w:eastAsia="zh-CN"/>
        </w:rPr>
      </w:pPr>
      <w:r>
        <w:rPr>
          <w:rFonts w:eastAsia="宋体" w:hint="eastAsia"/>
          <w:lang w:val="en-US" w:eastAsia="zh-CN"/>
        </w:rPr>
        <w:t>In RAN1#90 t</w:t>
      </w:r>
      <w:r w:rsidR="002F293E">
        <w:rPr>
          <w:rFonts w:eastAsia="宋体" w:hint="eastAsia"/>
          <w:lang w:val="en-US" w:eastAsia="zh-CN"/>
        </w:rPr>
        <w:t>h</w:t>
      </w:r>
      <w:r w:rsidR="002F293E" w:rsidRPr="0014090F">
        <w:rPr>
          <w:rFonts w:eastAsia="MS Mincho"/>
          <w:lang w:val="en-US"/>
        </w:rPr>
        <w:t xml:space="preserve">e following </w:t>
      </w:r>
      <w:r>
        <w:rPr>
          <w:rFonts w:eastAsia="宋体" w:hint="eastAsia"/>
          <w:lang w:val="en-US" w:eastAsia="zh-CN"/>
        </w:rPr>
        <w:t>was agreed,</w:t>
      </w:r>
    </w:p>
    <w:p w14:paraId="198A6341" w14:textId="77777777" w:rsidR="005E0C55" w:rsidRPr="00F70D26" w:rsidRDefault="005E0C55" w:rsidP="00395695">
      <w:pPr>
        <w:spacing w:after="0" w:afterAutospacing="0"/>
        <w:rPr>
          <w:i/>
        </w:rPr>
      </w:pPr>
      <w:r w:rsidRPr="00F70D26">
        <w:rPr>
          <w:i/>
          <w:highlight w:val="green"/>
        </w:rPr>
        <w:t>Agreements</w:t>
      </w:r>
      <w:r w:rsidRPr="00F70D26">
        <w:rPr>
          <w:i/>
        </w:rPr>
        <w:t>:</w:t>
      </w:r>
    </w:p>
    <w:p w14:paraId="6D0E81A3" w14:textId="77777777" w:rsidR="005E0C55" w:rsidRPr="00F70D26" w:rsidRDefault="005E0C55" w:rsidP="005E0C55">
      <w:pPr>
        <w:numPr>
          <w:ilvl w:val="0"/>
          <w:numId w:val="34"/>
        </w:numPr>
        <w:snapToGrid/>
        <w:spacing w:after="180" w:afterAutospacing="0"/>
        <w:rPr>
          <w:i/>
        </w:rPr>
      </w:pPr>
      <w:r w:rsidRPr="00F70D26">
        <w:rPr>
          <w:i/>
        </w:rPr>
        <w:t>Beam failure is declared only when all serving control channels fail.</w:t>
      </w:r>
    </w:p>
    <w:p w14:paraId="54D1A4CC" w14:textId="760FF95C" w:rsidR="005E0C55" w:rsidRPr="00395695" w:rsidRDefault="002D562B" w:rsidP="00395695">
      <w:pPr>
        <w:rPr>
          <w:rFonts w:eastAsia="宋体"/>
          <w:lang w:eastAsia="zh-CN"/>
        </w:rPr>
      </w:pPr>
      <w:r>
        <w:rPr>
          <w:rFonts w:eastAsia="宋体" w:hint="eastAsia"/>
          <w:lang w:eastAsia="zh-CN"/>
        </w:rPr>
        <w:t>And i</w:t>
      </w:r>
      <w:r w:rsidR="005E0C55">
        <w:rPr>
          <w:rFonts w:eastAsia="宋体" w:hint="eastAsia"/>
          <w:lang w:eastAsia="zh-CN"/>
        </w:rPr>
        <w:t>n RAN1#90bis it was further agreed that</w:t>
      </w:r>
    </w:p>
    <w:p w14:paraId="72FD4A26" w14:textId="77777777" w:rsidR="002F293E" w:rsidRPr="00395695" w:rsidRDefault="002F293E" w:rsidP="002F293E">
      <w:pPr>
        <w:spacing w:after="0" w:afterAutospacing="0"/>
        <w:rPr>
          <w:b/>
          <w:i/>
          <w:szCs w:val="24"/>
          <w:lang w:val="en-US" w:eastAsia="x-none"/>
        </w:rPr>
      </w:pPr>
      <w:r w:rsidRPr="00395695">
        <w:rPr>
          <w:rFonts w:eastAsia="宋体"/>
          <w:b/>
          <w:i/>
          <w:szCs w:val="24"/>
          <w:highlight w:val="green"/>
          <w:lang w:val="en-US" w:eastAsia="zh-CN"/>
        </w:rPr>
        <w:t>Agreement</w:t>
      </w:r>
      <w:r w:rsidRPr="00395695">
        <w:rPr>
          <w:b/>
          <w:i/>
          <w:szCs w:val="24"/>
          <w:highlight w:val="green"/>
          <w:lang w:val="en-US" w:eastAsia="x-none"/>
        </w:rPr>
        <w:t>:</w:t>
      </w:r>
    </w:p>
    <w:p w14:paraId="7A128D1C" w14:textId="77777777" w:rsidR="002F293E" w:rsidRPr="00395695" w:rsidRDefault="002F293E" w:rsidP="002F293E">
      <w:pPr>
        <w:numPr>
          <w:ilvl w:val="0"/>
          <w:numId w:val="40"/>
        </w:numPr>
        <w:snapToGrid/>
        <w:spacing w:after="0" w:afterAutospacing="0"/>
        <w:jc w:val="left"/>
        <w:rPr>
          <w:i/>
          <w:szCs w:val="24"/>
          <w:lang w:val="en-US" w:eastAsia="x-none"/>
        </w:rPr>
      </w:pPr>
      <w:r w:rsidRPr="00395695">
        <w:rPr>
          <w:i/>
          <w:szCs w:val="24"/>
          <w:lang w:val="en-US" w:eastAsia="x-none"/>
        </w:rPr>
        <w:t xml:space="preserve">A beam recovery request can be transmitted if </w:t>
      </w:r>
      <w:r w:rsidRPr="00395695">
        <w:rPr>
          <w:i/>
          <w:szCs w:val="24"/>
          <w:lang w:eastAsia="x-none"/>
        </w:rPr>
        <w:t>the number of consecutive detected beam failure instance exceeds a configured maximum number</w:t>
      </w:r>
    </w:p>
    <w:p w14:paraId="34BC6E5F" w14:textId="77777777" w:rsidR="002F293E" w:rsidRPr="00395695" w:rsidRDefault="002F293E" w:rsidP="002F293E">
      <w:pPr>
        <w:numPr>
          <w:ilvl w:val="1"/>
          <w:numId w:val="40"/>
        </w:numPr>
        <w:snapToGrid/>
        <w:spacing w:after="0" w:afterAutospacing="0"/>
        <w:jc w:val="left"/>
        <w:rPr>
          <w:i/>
          <w:szCs w:val="24"/>
          <w:lang w:val="en-US" w:eastAsia="x-none"/>
        </w:rPr>
      </w:pPr>
      <w:r w:rsidRPr="00395695">
        <w:rPr>
          <w:i/>
          <w:szCs w:val="24"/>
          <w:lang w:val="en-US" w:eastAsia="x-none"/>
        </w:rPr>
        <w:t>(Working assumption) If hypothetical PDCCH BLER is above a threshold, it is counted as beam failure instance</w:t>
      </w:r>
    </w:p>
    <w:p w14:paraId="3BE30E73" w14:textId="77777777" w:rsidR="002F293E" w:rsidRPr="00395695" w:rsidRDefault="002F293E" w:rsidP="00395695">
      <w:pPr>
        <w:numPr>
          <w:ilvl w:val="2"/>
          <w:numId w:val="40"/>
        </w:numPr>
        <w:snapToGrid/>
        <w:ind w:left="2154" w:hanging="357"/>
        <w:jc w:val="left"/>
        <w:rPr>
          <w:i/>
          <w:szCs w:val="24"/>
          <w:lang w:val="en-US" w:eastAsia="x-none"/>
        </w:rPr>
      </w:pPr>
      <w:r w:rsidRPr="00395695">
        <w:rPr>
          <w:i/>
          <w:szCs w:val="24"/>
          <w:lang w:val="en-US" w:eastAsia="x-none"/>
        </w:rPr>
        <w:t>Note: Beam failure is determined when all serving beams fail</w:t>
      </w:r>
    </w:p>
    <w:p w14:paraId="6FD5AA90" w14:textId="41FB3BD5" w:rsidR="002F293E" w:rsidRDefault="007B0403" w:rsidP="005E4CA8">
      <w:pPr>
        <w:rPr>
          <w:rFonts w:eastAsia="宋体"/>
          <w:lang w:val="en-US" w:eastAsia="zh-CN"/>
        </w:rPr>
      </w:pPr>
      <w:r>
        <w:rPr>
          <w:rFonts w:eastAsia="宋体" w:hint="eastAsia"/>
          <w:lang w:val="en-US" w:eastAsia="zh-CN"/>
        </w:rPr>
        <w:t xml:space="preserve">Although beam failure is defined as failure of all serving control channels, determination of beam failure is not based on measurement of the </w:t>
      </w:r>
      <w:r w:rsidR="00AA38D0">
        <w:rPr>
          <w:rFonts w:eastAsia="宋体" w:hint="eastAsia"/>
          <w:lang w:val="en-US" w:eastAsia="zh-CN"/>
        </w:rPr>
        <w:t xml:space="preserve">actual </w:t>
      </w:r>
      <w:r>
        <w:rPr>
          <w:rFonts w:eastAsia="宋体" w:hint="eastAsia"/>
          <w:lang w:val="en-US" w:eastAsia="zh-CN"/>
        </w:rPr>
        <w:t xml:space="preserve">control channels but on measurement of </w:t>
      </w:r>
      <w:r w:rsidR="00BB46F6">
        <w:rPr>
          <w:rFonts w:eastAsia="宋体" w:hint="eastAsia"/>
          <w:lang w:val="en-US" w:eastAsia="zh-CN"/>
        </w:rPr>
        <w:t xml:space="preserve">DL RS. Therefore, it cannot be fully </w:t>
      </w:r>
      <w:r w:rsidR="00BB46F6">
        <w:rPr>
          <w:rFonts w:eastAsia="宋体"/>
          <w:lang w:val="en-US" w:eastAsia="zh-CN"/>
        </w:rPr>
        <w:t>guaranteed</w:t>
      </w:r>
      <w:r w:rsidR="00BB46F6">
        <w:rPr>
          <w:rFonts w:eastAsia="宋体" w:hint="eastAsia"/>
          <w:lang w:val="en-US" w:eastAsia="zh-CN"/>
        </w:rPr>
        <w:t xml:space="preserve"> that occurrence of one or more </w:t>
      </w:r>
      <w:r w:rsidR="002D562B">
        <w:rPr>
          <w:rFonts w:eastAsia="宋体"/>
          <w:lang w:val="en-US" w:eastAsia="zh-CN"/>
        </w:rPr>
        <w:t>“</w:t>
      </w:r>
      <w:r w:rsidR="00BB46F6">
        <w:rPr>
          <w:rFonts w:eastAsia="宋体" w:hint="eastAsia"/>
          <w:lang w:val="en-US" w:eastAsia="zh-CN"/>
        </w:rPr>
        <w:t>consecutive beam failure instances</w:t>
      </w:r>
      <w:r w:rsidR="002D562B">
        <w:rPr>
          <w:rFonts w:eastAsia="宋体"/>
          <w:lang w:val="en-US" w:eastAsia="zh-CN"/>
        </w:rPr>
        <w:t>”</w:t>
      </w:r>
      <w:r w:rsidR="00BB46F6">
        <w:rPr>
          <w:rFonts w:eastAsia="宋体" w:hint="eastAsia"/>
          <w:lang w:val="en-US" w:eastAsia="zh-CN"/>
        </w:rPr>
        <w:t xml:space="preserve"> necessarily means no DCI can be successfully detected on the serving control channels. By definition, once a DCI is successfully detected, the UE shall assume that </w:t>
      </w:r>
      <w:r w:rsidR="002D562B">
        <w:rPr>
          <w:rFonts w:eastAsia="宋体" w:hint="eastAsia"/>
          <w:lang w:val="en-US" w:eastAsia="zh-CN"/>
        </w:rPr>
        <w:t>at least one control beam is OK</w:t>
      </w:r>
      <w:r w:rsidR="00BB46F6">
        <w:rPr>
          <w:rFonts w:eastAsia="宋体" w:hint="eastAsia"/>
          <w:lang w:val="en-US" w:eastAsia="zh-CN"/>
        </w:rPr>
        <w:t xml:space="preserve"> and thus reset the counter for </w:t>
      </w:r>
      <w:r w:rsidR="00BB46F6">
        <w:rPr>
          <w:rFonts w:eastAsia="宋体"/>
          <w:lang w:val="en-US" w:eastAsia="zh-CN"/>
        </w:rPr>
        <w:t>“</w:t>
      </w:r>
      <w:r w:rsidR="00BB46F6">
        <w:rPr>
          <w:rFonts w:eastAsia="宋体" w:hint="eastAsia"/>
          <w:lang w:val="en-US" w:eastAsia="zh-CN"/>
        </w:rPr>
        <w:t>consecutive detected beam failure instances</w:t>
      </w:r>
      <w:r w:rsidR="00BB46F6">
        <w:rPr>
          <w:rFonts w:eastAsia="宋体"/>
          <w:lang w:val="en-US" w:eastAsia="zh-CN"/>
        </w:rPr>
        <w:t>”</w:t>
      </w:r>
      <w:r w:rsidR="00BB46F6">
        <w:rPr>
          <w:rFonts w:eastAsia="宋体" w:hint="eastAsia"/>
          <w:lang w:val="en-US" w:eastAsia="zh-CN"/>
        </w:rPr>
        <w:t xml:space="preserve">. Furthermore, any pending BFRQ </w:t>
      </w:r>
      <w:r w:rsidR="008C515D">
        <w:rPr>
          <w:rFonts w:eastAsia="宋体" w:hint="eastAsia"/>
          <w:lang w:val="en-US" w:eastAsia="zh-CN"/>
        </w:rPr>
        <w:t>(re)</w:t>
      </w:r>
      <w:r w:rsidR="00BB46F6">
        <w:rPr>
          <w:rFonts w:eastAsia="宋体" w:hint="eastAsia"/>
          <w:lang w:val="en-US" w:eastAsia="zh-CN"/>
        </w:rPr>
        <w:t>transmission should be cancelled.</w:t>
      </w:r>
    </w:p>
    <w:p w14:paraId="5D65E278" w14:textId="53C8E7E6" w:rsidR="00C53B39" w:rsidRPr="00395695" w:rsidRDefault="00C53B39" w:rsidP="00395695">
      <w:pPr>
        <w:pStyle w:val="afe"/>
        <w:numPr>
          <w:ilvl w:val="0"/>
          <w:numId w:val="46"/>
        </w:numPr>
        <w:spacing w:after="0" w:afterAutospacing="0"/>
        <w:ind w:firstLineChars="0"/>
        <w:jc w:val="left"/>
        <w:rPr>
          <w:rFonts w:eastAsia="宋体"/>
          <w:lang w:val="en-US" w:eastAsia="zh-CN"/>
        </w:rPr>
      </w:pPr>
      <w:r w:rsidRPr="00395695">
        <w:rPr>
          <w:rFonts w:eastAsia="宋体"/>
          <w:lang w:val="en-US" w:eastAsia="zh-CN"/>
        </w:rPr>
        <w:t>Upon reception of a DCI, the UE shall</w:t>
      </w:r>
    </w:p>
    <w:p w14:paraId="38C6A47F" w14:textId="5E3334E4" w:rsidR="00F417FF" w:rsidRPr="00395695" w:rsidRDefault="00F417FF" w:rsidP="00395695">
      <w:pPr>
        <w:numPr>
          <w:ilvl w:val="0"/>
          <w:numId w:val="45"/>
        </w:numPr>
        <w:overflowPunct w:val="0"/>
        <w:autoSpaceDE w:val="0"/>
        <w:autoSpaceDN w:val="0"/>
        <w:adjustRightInd w:val="0"/>
        <w:snapToGrid/>
        <w:spacing w:after="0" w:afterAutospacing="0"/>
        <w:ind w:left="714" w:right="-96" w:hanging="357"/>
        <w:jc w:val="left"/>
        <w:textAlignment w:val="baseline"/>
        <w:rPr>
          <w:lang w:eastAsia="zh-CN"/>
        </w:rPr>
      </w:pPr>
      <w:r w:rsidRPr="007B0403">
        <w:rPr>
          <w:lang w:eastAsia="zh-CN"/>
        </w:rPr>
        <w:t xml:space="preserve">Cancel </w:t>
      </w:r>
      <w:r w:rsidRPr="007B0403">
        <w:rPr>
          <w:rFonts w:eastAsia="宋体" w:hint="eastAsia"/>
          <w:lang w:eastAsia="zh-CN"/>
        </w:rPr>
        <w:t>any</w:t>
      </w:r>
      <w:r w:rsidRPr="007B0403">
        <w:rPr>
          <w:lang w:eastAsia="zh-CN"/>
        </w:rPr>
        <w:t xml:space="preserve"> </w:t>
      </w:r>
      <w:r w:rsidR="00141F85">
        <w:rPr>
          <w:rFonts w:eastAsia="宋体" w:hint="eastAsia"/>
          <w:lang w:eastAsia="zh-CN"/>
        </w:rPr>
        <w:t>pending</w:t>
      </w:r>
      <w:r w:rsidRPr="007B0403">
        <w:rPr>
          <w:lang w:eastAsia="zh-CN"/>
        </w:rPr>
        <w:t xml:space="preserve"> BFRQ </w:t>
      </w:r>
      <w:r w:rsidR="008C515D">
        <w:rPr>
          <w:rFonts w:eastAsia="宋体" w:hint="eastAsia"/>
          <w:lang w:eastAsia="zh-CN"/>
        </w:rPr>
        <w:t>(re)</w:t>
      </w:r>
      <w:r w:rsidRPr="007B0403">
        <w:rPr>
          <w:lang w:eastAsia="zh-CN"/>
        </w:rPr>
        <w:t>transmission.</w:t>
      </w:r>
    </w:p>
    <w:p w14:paraId="0AC6EEDB" w14:textId="2D5A1C85" w:rsidR="00BA2D84" w:rsidRPr="00DD3B35" w:rsidRDefault="00C53B39" w:rsidP="00395695">
      <w:pPr>
        <w:numPr>
          <w:ilvl w:val="0"/>
          <w:numId w:val="45"/>
        </w:numPr>
        <w:overflowPunct w:val="0"/>
        <w:autoSpaceDE w:val="0"/>
        <w:autoSpaceDN w:val="0"/>
        <w:adjustRightInd w:val="0"/>
        <w:snapToGrid/>
        <w:ind w:left="714" w:right="-96" w:hanging="357"/>
        <w:jc w:val="left"/>
        <w:textAlignment w:val="baseline"/>
        <w:rPr>
          <w:lang w:eastAsia="zh-CN"/>
        </w:rPr>
      </w:pPr>
      <w:r>
        <w:rPr>
          <w:rFonts w:eastAsia="宋体" w:hint="eastAsia"/>
          <w:lang w:eastAsia="zh-CN"/>
        </w:rPr>
        <w:t>Reset t</w:t>
      </w:r>
      <w:r w:rsidR="00BA2D84" w:rsidRPr="00395695">
        <w:rPr>
          <w:lang w:eastAsia="zh-CN"/>
        </w:rPr>
        <w:t>he number of consecutive detected beam failure instances.</w:t>
      </w:r>
    </w:p>
    <w:p w14:paraId="40B208E6" w14:textId="77777777" w:rsidR="00DD3B35" w:rsidRDefault="00DD3B35" w:rsidP="00DD3B35">
      <w:pPr>
        <w:pStyle w:val="20"/>
        <w:tabs>
          <w:tab w:val="clear" w:pos="3261"/>
          <w:tab w:val="num" w:pos="567"/>
        </w:tabs>
        <w:ind w:left="567"/>
        <w:rPr>
          <w:rFonts w:eastAsia="宋体"/>
          <w:lang w:val="en-US" w:eastAsia="zh-CN"/>
        </w:rPr>
      </w:pPr>
      <w:r>
        <w:rPr>
          <w:rFonts w:eastAsia="宋体" w:hint="eastAsia"/>
          <w:lang w:eastAsia="zh-CN"/>
        </w:rPr>
        <w:lastRenderedPageBreak/>
        <w:t>PRACH preamble for BFRQ, SR, and PDCCH order</w:t>
      </w:r>
    </w:p>
    <w:p w14:paraId="090C4323" w14:textId="77777777" w:rsidR="00DD3B35" w:rsidRDefault="00DD3B35" w:rsidP="00DD3B35">
      <w:pPr>
        <w:rPr>
          <w:rFonts w:eastAsia="宋体"/>
          <w:lang w:val="en-US" w:eastAsia="zh-CN"/>
        </w:rPr>
      </w:pPr>
      <w:r>
        <w:rPr>
          <w:rFonts w:eastAsia="宋体" w:hint="eastAsia"/>
          <w:lang w:val="en-US" w:eastAsia="zh-CN"/>
        </w:rPr>
        <w:t>In RAN1#90 th</w:t>
      </w:r>
      <w:r w:rsidRPr="0014090F">
        <w:rPr>
          <w:rFonts w:eastAsia="MS Mincho"/>
          <w:lang w:val="en-US"/>
        </w:rPr>
        <w:t xml:space="preserve">e following </w:t>
      </w:r>
      <w:r>
        <w:rPr>
          <w:rFonts w:eastAsia="宋体" w:hint="eastAsia"/>
          <w:lang w:val="en-US" w:eastAsia="zh-CN"/>
        </w:rPr>
        <w:t>was agreed,</w:t>
      </w:r>
    </w:p>
    <w:p w14:paraId="3678588D" w14:textId="77777777" w:rsidR="00DD3B35" w:rsidRPr="00F70D26" w:rsidRDefault="00DD3B35" w:rsidP="00DD3B35">
      <w:pPr>
        <w:spacing w:after="0" w:afterAutospacing="0"/>
        <w:rPr>
          <w:b/>
          <w:i/>
          <w:szCs w:val="24"/>
          <w:lang w:eastAsia="x-none"/>
        </w:rPr>
      </w:pPr>
      <w:r w:rsidRPr="00F70D26">
        <w:rPr>
          <w:b/>
          <w:i/>
          <w:szCs w:val="24"/>
          <w:highlight w:val="green"/>
          <w:lang w:eastAsia="x-none"/>
        </w:rPr>
        <w:t>Agreement:</w:t>
      </w:r>
    </w:p>
    <w:p w14:paraId="41E9F3F6" w14:textId="77777777" w:rsidR="00DD3B35" w:rsidRPr="00F70D26" w:rsidRDefault="00DD3B35" w:rsidP="00DD3B35">
      <w:pPr>
        <w:numPr>
          <w:ilvl w:val="0"/>
          <w:numId w:val="41"/>
        </w:numPr>
        <w:snapToGrid/>
        <w:spacing w:after="0" w:afterAutospacing="0"/>
        <w:jc w:val="left"/>
        <w:rPr>
          <w:i/>
          <w:szCs w:val="24"/>
          <w:lang w:val="en-US" w:eastAsia="x-none"/>
        </w:rPr>
      </w:pPr>
      <w:r w:rsidRPr="00F70D26">
        <w:rPr>
          <w:i/>
          <w:szCs w:val="24"/>
          <w:lang w:val="en-US" w:eastAsia="x-none"/>
        </w:rPr>
        <w:t>For gNB to uniquely identify UE identity from a beam failure recovery request transmission</w:t>
      </w:r>
    </w:p>
    <w:p w14:paraId="4740FCEF" w14:textId="77777777" w:rsidR="00DD3B35" w:rsidRPr="00F70D26" w:rsidRDefault="00DD3B35" w:rsidP="00DD3B35">
      <w:pPr>
        <w:numPr>
          <w:ilvl w:val="1"/>
          <w:numId w:val="41"/>
        </w:numPr>
        <w:snapToGrid/>
        <w:ind w:left="1434" w:hanging="357"/>
        <w:jc w:val="left"/>
        <w:rPr>
          <w:i/>
          <w:szCs w:val="24"/>
          <w:lang w:val="en-US" w:eastAsia="x-none"/>
        </w:rPr>
      </w:pPr>
      <w:r w:rsidRPr="00F70D26">
        <w:rPr>
          <w:i/>
          <w:szCs w:val="24"/>
          <w:lang w:val="en-US" w:eastAsia="x-none"/>
        </w:rPr>
        <w:t>A PRACH sequence is configured to UE</w:t>
      </w:r>
    </w:p>
    <w:p w14:paraId="23342B20" w14:textId="77777777" w:rsidR="00DD3B35" w:rsidRPr="00F70D26" w:rsidRDefault="00DD3B35" w:rsidP="00DD3B35">
      <w:pPr>
        <w:spacing w:after="0" w:afterAutospacing="0"/>
        <w:rPr>
          <w:i/>
          <w:szCs w:val="24"/>
          <w:lang w:eastAsia="x-none"/>
        </w:rPr>
      </w:pPr>
      <w:r w:rsidRPr="00F70D26">
        <w:rPr>
          <w:i/>
          <w:szCs w:val="24"/>
          <w:highlight w:val="darkYellow"/>
          <w:lang w:eastAsia="x-none"/>
        </w:rPr>
        <w:t>Working Assumption:</w:t>
      </w:r>
    </w:p>
    <w:p w14:paraId="23673D59" w14:textId="77777777" w:rsidR="00DD3B35" w:rsidRPr="00F70D26" w:rsidRDefault="00DD3B35" w:rsidP="00DD3B35">
      <w:pPr>
        <w:numPr>
          <w:ilvl w:val="0"/>
          <w:numId w:val="42"/>
        </w:numPr>
        <w:snapToGrid/>
        <w:spacing w:after="0" w:afterAutospacing="0"/>
        <w:jc w:val="left"/>
        <w:rPr>
          <w:i/>
          <w:szCs w:val="24"/>
          <w:lang w:val="en-US" w:eastAsia="x-none"/>
        </w:rPr>
      </w:pPr>
      <w:r w:rsidRPr="00F70D26">
        <w:rPr>
          <w:i/>
          <w:szCs w:val="24"/>
          <w:lang w:eastAsia="x-none"/>
        </w:rPr>
        <w:t>At least the following parameters should be configured for dedicated PRACH resources for beam failure recovery</w:t>
      </w:r>
    </w:p>
    <w:p w14:paraId="4AA94730" w14:textId="77777777" w:rsidR="00DD3B35" w:rsidRPr="00F70D26" w:rsidRDefault="00DD3B35" w:rsidP="00DD3B35">
      <w:pPr>
        <w:numPr>
          <w:ilvl w:val="1"/>
          <w:numId w:val="42"/>
        </w:numPr>
        <w:snapToGrid/>
        <w:spacing w:after="0" w:afterAutospacing="0"/>
        <w:jc w:val="left"/>
        <w:rPr>
          <w:i/>
          <w:szCs w:val="24"/>
          <w:lang w:val="en-US" w:eastAsia="x-none"/>
        </w:rPr>
      </w:pPr>
      <w:r w:rsidRPr="00F70D26">
        <w:rPr>
          <w:i/>
          <w:szCs w:val="24"/>
          <w:lang w:eastAsia="x-none"/>
        </w:rPr>
        <w:t>Per UE parameters</w:t>
      </w:r>
    </w:p>
    <w:p w14:paraId="5B1CDDB1" w14:textId="77777777" w:rsidR="00DD3B35" w:rsidRPr="00F70D26" w:rsidRDefault="00DD3B35" w:rsidP="00DD3B35">
      <w:pPr>
        <w:numPr>
          <w:ilvl w:val="2"/>
          <w:numId w:val="42"/>
        </w:numPr>
        <w:snapToGrid/>
        <w:spacing w:after="0" w:afterAutospacing="0"/>
        <w:jc w:val="left"/>
        <w:rPr>
          <w:i/>
          <w:szCs w:val="24"/>
          <w:lang w:val="en-US" w:eastAsia="x-none"/>
        </w:rPr>
      </w:pPr>
      <w:r w:rsidRPr="00F70D26">
        <w:rPr>
          <w:i/>
          <w:szCs w:val="24"/>
          <w:lang w:eastAsia="x-none"/>
        </w:rPr>
        <w:t>Preamble sequence related parameters</w:t>
      </w:r>
    </w:p>
    <w:p w14:paraId="7D71C6A8" w14:textId="77777777" w:rsidR="00DD3B35" w:rsidRPr="00F70D26" w:rsidRDefault="00DD3B35" w:rsidP="00DD3B35">
      <w:pPr>
        <w:numPr>
          <w:ilvl w:val="3"/>
          <w:numId w:val="42"/>
        </w:numPr>
        <w:snapToGrid/>
        <w:spacing w:after="0" w:afterAutospacing="0"/>
        <w:jc w:val="left"/>
        <w:rPr>
          <w:i/>
          <w:szCs w:val="24"/>
          <w:lang w:val="en-US" w:eastAsia="x-none"/>
        </w:rPr>
      </w:pPr>
      <w:r w:rsidRPr="00F70D26">
        <w:rPr>
          <w:i/>
          <w:szCs w:val="24"/>
          <w:lang w:eastAsia="x-none"/>
        </w:rPr>
        <w:t>E.g., root sequence, cyclic shift, and preamble index</w:t>
      </w:r>
    </w:p>
    <w:p w14:paraId="10DF28CC" w14:textId="77777777" w:rsidR="00DD3B35" w:rsidRPr="00F70D26" w:rsidRDefault="00DD3B35" w:rsidP="00DD3B35">
      <w:pPr>
        <w:numPr>
          <w:ilvl w:val="2"/>
          <w:numId w:val="42"/>
        </w:numPr>
        <w:snapToGrid/>
        <w:spacing w:after="0" w:afterAutospacing="0"/>
        <w:jc w:val="left"/>
        <w:rPr>
          <w:i/>
          <w:szCs w:val="24"/>
          <w:lang w:val="en-US" w:eastAsia="x-none"/>
        </w:rPr>
      </w:pPr>
      <w:r w:rsidRPr="00F70D26">
        <w:rPr>
          <w:i/>
          <w:szCs w:val="24"/>
          <w:lang w:eastAsia="x-none"/>
        </w:rPr>
        <w:t>Maximum number of transmissions</w:t>
      </w:r>
    </w:p>
    <w:p w14:paraId="5C2CE70F" w14:textId="77777777" w:rsidR="00DD3B35" w:rsidRPr="00F70D26" w:rsidRDefault="00DD3B35" w:rsidP="00DD3B35">
      <w:pPr>
        <w:numPr>
          <w:ilvl w:val="2"/>
          <w:numId w:val="42"/>
        </w:numPr>
        <w:snapToGrid/>
        <w:spacing w:after="0" w:afterAutospacing="0"/>
        <w:jc w:val="left"/>
        <w:rPr>
          <w:i/>
          <w:szCs w:val="24"/>
          <w:lang w:val="en-US" w:eastAsia="x-none"/>
        </w:rPr>
      </w:pPr>
      <w:r w:rsidRPr="00F70D26">
        <w:rPr>
          <w:i/>
          <w:szCs w:val="24"/>
          <w:lang w:eastAsia="x-none"/>
        </w:rPr>
        <w:t xml:space="preserve">Maximum number of power </w:t>
      </w:r>
      <w:proofErr w:type="spellStart"/>
      <w:r w:rsidRPr="00F70D26">
        <w:rPr>
          <w:i/>
          <w:szCs w:val="24"/>
          <w:lang w:eastAsia="x-none"/>
        </w:rPr>
        <w:t>rampings</w:t>
      </w:r>
      <w:proofErr w:type="spellEnd"/>
    </w:p>
    <w:p w14:paraId="41A91932" w14:textId="77777777" w:rsidR="00DD3B35" w:rsidRPr="00F70D26" w:rsidRDefault="00DD3B35" w:rsidP="00DD3B35">
      <w:pPr>
        <w:numPr>
          <w:ilvl w:val="2"/>
          <w:numId w:val="42"/>
        </w:numPr>
        <w:snapToGrid/>
        <w:spacing w:after="0" w:afterAutospacing="0"/>
        <w:jc w:val="left"/>
        <w:rPr>
          <w:i/>
          <w:szCs w:val="24"/>
          <w:lang w:val="en-US" w:eastAsia="x-none"/>
        </w:rPr>
      </w:pPr>
      <w:r w:rsidRPr="00F70D26">
        <w:rPr>
          <w:i/>
          <w:szCs w:val="24"/>
          <w:lang w:eastAsia="x-none"/>
        </w:rPr>
        <w:t>Target received power</w:t>
      </w:r>
    </w:p>
    <w:p w14:paraId="0F38587A" w14:textId="77777777" w:rsidR="00DD3B35" w:rsidRPr="00F70D26" w:rsidRDefault="00DD3B35" w:rsidP="00DD3B35">
      <w:pPr>
        <w:numPr>
          <w:ilvl w:val="2"/>
          <w:numId w:val="42"/>
        </w:numPr>
        <w:snapToGrid/>
        <w:spacing w:after="0" w:afterAutospacing="0"/>
        <w:jc w:val="left"/>
        <w:rPr>
          <w:i/>
          <w:szCs w:val="24"/>
          <w:lang w:val="en-US" w:eastAsia="x-none"/>
        </w:rPr>
      </w:pPr>
      <w:r w:rsidRPr="00F70D26">
        <w:rPr>
          <w:i/>
          <w:szCs w:val="24"/>
          <w:lang w:eastAsia="x-none"/>
        </w:rPr>
        <w:t xml:space="preserve">Retransmission </w:t>
      </w:r>
      <w:proofErr w:type="spellStart"/>
      <w:r w:rsidRPr="00F70D26">
        <w:rPr>
          <w:i/>
          <w:szCs w:val="24"/>
          <w:lang w:eastAsia="x-none"/>
        </w:rPr>
        <w:t>Tx</w:t>
      </w:r>
      <w:proofErr w:type="spellEnd"/>
      <w:r w:rsidRPr="00F70D26">
        <w:rPr>
          <w:i/>
          <w:szCs w:val="24"/>
          <w:lang w:eastAsia="x-none"/>
        </w:rPr>
        <w:t xml:space="preserve"> power ramping step size</w:t>
      </w:r>
    </w:p>
    <w:p w14:paraId="7FA6F478" w14:textId="77777777" w:rsidR="00DD3B35" w:rsidRPr="00F70D26" w:rsidRDefault="00DD3B35" w:rsidP="00DD3B35">
      <w:pPr>
        <w:numPr>
          <w:ilvl w:val="2"/>
          <w:numId w:val="42"/>
        </w:numPr>
        <w:snapToGrid/>
        <w:spacing w:after="0" w:afterAutospacing="0"/>
        <w:jc w:val="left"/>
        <w:rPr>
          <w:i/>
          <w:szCs w:val="24"/>
          <w:lang w:val="en-US" w:eastAsia="x-none"/>
        </w:rPr>
      </w:pPr>
      <w:r w:rsidRPr="00F70D26">
        <w:rPr>
          <w:i/>
          <w:szCs w:val="24"/>
          <w:lang w:eastAsia="x-none"/>
        </w:rPr>
        <w:t xml:space="preserve">Beam failure recovery timer </w:t>
      </w:r>
    </w:p>
    <w:p w14:paraId="42FD899E" w14:textId="77777777" w:rsidR="00DD3B35" w:rsidRPr="00F70D26" w:rsidRDefault="00DD3B35" w:rsidP="00DD3B35">
      <w:pPr>
        <w:numPr>
          <w:ilvl w:val="1"/>
          <w:numId w:val="42"/>
        </w:numPr>
        <w:snapToGrid/>
        <w:spacing w:after="0" w:afterAutospacing="0"/>
        <w:jc w:val="left"/>
        <w:rPr>
          <w:i/>
          <w:szCs w:val="24"/>
          <w:lang w:val="en-US" w:eastAsia="x-none"/>
        </w:rPr>
      </w:pPr>
      <w:r w:rsidRPr="00F70D26">
        <w:rPr>
          <w:i/>
          <w:szCs w:val="24"/>
          <w:lang w:eastAsia="x-none"/>
        </w:rPr>
        <w:t>Per dedicated PRACH resource parameters</w:t>
      </w:r>
    </w:p>
    <w:p w14:paraId="13954D24" w14:textId="77777777" w:rsidR="00DD3B35" w:rsidRPr="00F70D26" w:rsidRDefault="00DD3B35" w:rsidP="00DD3B35">
      <w:pPr>
        <w:numPr>
          <w:ilvl w:val="2"/>
          <w:numId w:val="42"/>
        </w:numPr>
        <w:snapToGrid/>
        <w:spacing w:after="0" w:afterAutospacing="0"/>
        <w:jc w:val="left"/>
        <w:rPr>
          <w:i/>
          <w:szCs w:val="24"/>
          <w:lang w:val="en-US" w:eastAsia="x-none"/>
        </w:rPr>
      </w:pPr>
      <w:r w:rsidRPr="00F70D26">
        <w:rPr>
          <w:i/>
          <w:szCs w:val="24"/>
          <w:lang w:eastAsia="x-none"/>
        </w:rPr>
        <w:t>Frequency location information</w:t>
      </w:r>
    </w:p>
    <w:p w14:paraId="61BD1047" w14:textId="77777777" w:rsidR="00DD3B35" w:rsidRPr="00F70D26" w:rsidRDefault="00DD3B35" w:rsidP="00DD3B35">
      <w:pPr>
        <w:numPr>
          <w:ilvl w:val="2"/>
          <w:numId w:val="42"/>
        </w:numPr>
        <w:snapToGrid/>
        <w:spacing w:after="0" w:afterAutospacing="0"/>
        <w:jc w:val="left"/>
        <w:rPr>
          <w:i/>
          <w:szCs w:val="24"/>
          <w:lang w:val="en-US" w:eastAsia="x-none"/>
        </w:rPr>
      </w:pPr>
      <w:r w:rsidRPr="00F70D26">
        <w:rPr>
          <w:i/>
          <w:szCs w:val="24"/>
          <w:lang w:eastAsia="x-none"/>
        </w:rPr>
        <w:t>Time location, if it is only a subset of all RACH symbols (e.g., PRACH mask)</w:t>
      </w:r>
    </w:p>
    <w:p w14:paraId="2D266875" w14:textId="77777777" w:rsidR="00DD3B35" w:rsidRPr="00F70D26" w:rsidRDefault="00DD3B35" w:rsidP="00DD3B35">
      <w:pPr>
        <w:numPr>
          <w:ilvl w:val="2"/>
          <w:numId w:val="42"/>
        </w:numPr>
        <w:snapToGrid/>
        <w:spacing w:after="0" w:afterAutospacing="0"/>
        <w:jc w:val="left"/>
        <w:rPr>
          <w:i/>
          <w:szCs w:val="24"/>
          <w:lang w:val="en-US" w:eastAsia="x-none"/>
        </w:rPr>
      </w:pPr>
      <w:r w:rsidRPr="00F70D26">
        <w:rPr>
          <w:i/>
          <w:szCs w:val="24"/>
          <w:lang w:eastAsia="x-none"/>
        </w:rPr>
        <w:t>Associated SSB or CSI-RS information</w:t>
      </w:r>
    </w:p>
    <w:p w14:paraId="3582233A" w14:textId="77777777" w:rsidR="00DD3B35" w:rsidRPr="00F70D26" w:rsidRDefault="00DD3B35" w:rsidP="00DD3B35">
      <w:pPr>
        <w:numPr>
          <w:ilvl w:val="1"/>
          <w:numId w:val="42"/>
        </w:numPr>
        <w:snapToGrid/>
        <w:spacing w:after="0" w:afterAutospacing="0"/>
        <w:jc w:val="left"/>
        <w:rPr>
          <w:i/>
          <w:szCs w:val="24"/>
          <w:lang w:val="en-US" w:eastAsia="x-none"/>
        </w:rPr>
      </w:pPr>
      <w:r w:rsidRPr="00F70D26">
        <w:rPr>
          <w:i/>
          <w:szCs w:val="24"/>
          <w:lang w:eastAsia="x-none"/>
        </w:rPr>
        <w:t>Note: as a starting point, use initial access preamble transmission mechanism and parameters. If any issue is identified, new mechanism can be introduced.</w:t>
      </w:r>
    </w:p>
    <w:p w14:paraId="5C8E2FED" w14:textId="77777777" w:rsidR="00DD3B35" w:rsidRPr="00F70D26" w:rsidRDefault="00DD3B35" w:rsidP="00DD3B35">
      <w:pPr>
        <w:numPr>
          <w:ilvl w:val="2"/>
          <w:numId w:val="42"/>
        </w:numPr>
        <w:snapToGrid/>
        <w:ind w:left="2154" w:hanging="357"/>
        <w:jc w:val="left"/>
        <w:rPr>
          <w:i/>
          <w:szCs w:val="24"/>
          <w:lang w:val="en-US" w:eastAsia="x-none"/>
        </w:rPr>
      </w:pPr>
      <w:r w:rsidRPr="00F70D26">
        <w:rPr>
          <w:i/>
          <w:szCs w:val="24"/>
          <w:lang w:eastAsia="x-none"/>
        </w:rPr>
        <w:t xml:space="preserve">No further RRC signalling for above UE parameters is required if reusing the same parameter as initial access  </w:t>
      </w:r>
    </w:p>
    <w:p w14:paraId="55D1785B" w14:textId="4FFAA1AC" w:rsidR="00DD3B35" w:rsidRDefault="00DD3B35" w:rsidP="00DD3B35">
      <w:pPr>
        <w:rPr>
          <w:rFonts w:eastAsia="宋体"/>
          <w:lang w:val="en-US" w:eastAsia="zh-CN"/>
        </w:rPr>
      </w:pPr>
      <w:r>
        <w:rPr>
          <w:rFonts w:eastAsia="宋体" w:hint="eastAsia"/>
          <w:lang w:val="en-US" w:eastAsia="zh-CN"/>
        </w:rPr>
        <w:t>According to the RAN1 agreements, a dedicated PRACH preamble sequence may be configured for a UE during the whole RRC connection, just for the purpose of BFRQ transmission</w:t>
      </w:r>
      <w:r w:rsidR="00545D5F">
        <w:rPr>
          <w:rFonts w:eastAsia="宋体" w:hint="eastAsia"/>
          <w:lang w:val="en-US" w:eastAsia="zh-CN"/>
        </w:rPr>
        <w:t xml:space="preserve"> which is not expected to happen frequently for any given UE</w:t>
      </w:r>
      <w:r>
        <w:rPr>
          <w:rFonts w:eastAsia="宋体" w:hint="eastAsia"/>
          <w:lang w:val="en-US" w:eastAsia="zh-CN"/>
        </w:rPr>
        <w:t xml:space="preserve">. </w:t>
      </w:r>
      <w:r>
        <w:rPr>
          <w:rFonts w:eastAsia="宋体"/>
          <w:lang w:val="en-US" w:eastAsia="zh-CN"/>
        </w:rPr>
        <w:t>Furthermore</w:t>
      </w:r>
      <w:r>
        <w:rPr>
          <w:rFonts w:eastAsia="宋体" w:hint="eastAsia"/>
          <w:lang w:val="en-US" w:eastAsia="zh-CN"/>
        </w:rPr>
        <w:t>, the sequence was agreed to uniquely identify a UE. As the number of UEs in RRC connected mode increases, the number of dedicated PRACH preamble sequences becomes a real concern, especially when considering that most PRACH preamble sequences should be reserved for contention based random access. It is proposed to allow allocation of the same PRACH preamble sequence to different UEs as long as the frequency and/or time location for these UEs are different.</w:t>
      </w:r>
    </w:p>
    <w:p w14:paraId="60030C0E" w14:textId="77777777" w:rsidR="00DD3B35" w:rsidRDefault="00DD3B35" w:rsidP="00DD3B35">
      <w:pPr>
        <w:pStyle w:val="afe"/>
        <w:numPr>
          <w:ilvl w:val="0"/>
          <w:numId w:val="46"/>
        </w:numPr>
        <w:ind w:hangingChars="175"/>
        <w:jc w:val="left"/>
        <w:rPr>
          <w:rFonts w:eastAsia="宋体"/>
          <w:lang w:val="en-US" w:eastAsia="zh-CN"/>
        </w:rPr>
      </w:pPr>
      <w:r>
        <w:rPr>
          <w:rFonts w:eastAsia="宋体" w:hint="eastAsia"/>
          <w:lang w:val="en-US" w:eastAsia="zh-CN"/>
        </w:rPr>
        <w:t xml:space="preserve">The combination of PRACH preamble </w:t>
      </w:r>
      <w:r>
        <w:rPr>
          <w:rFonts w:eastAsia="宋体"/>
          <w:lang w:val="en-US" w:eastAsia="zh-CN"/>
        </w:rPr>
        <w:t>sequence</w:t>
      </w:r>
      <w:r>
        <w:rPr>
          <w:rFonts w:eastAsia="宋体" w:hint="eastAsia"/>
          <w:lang w:val="en-US" w:eastAsia="zh-CN"/>
        </w:rPr>
        <w:t>, frequency location and time location uniquely identify a UE.</w:t>
      </w:r>
    </w:p>
    <w:p w14:paraId="6FF25C7C" w14:textId="77777777" w:rsidR="00DD3B35" w:rsidRPr="00DF4729" w:rsidRDefault="00DD3B35" w:rsidP="00DD3B35">
      <w:pPr>
        <w:rPr>
          <w:rFonts w:eastAsia="宋体"/>
          <w:lang w:val="en-US" w:eastAsia="zh-CN"/>
        </w:rPr>
      </w:pPr>
      <w:r>
        <w:rPr>
          <w:rFonts w:eastAsia="宋体" w:hint="eastAsia"/>
          <w:lang w:val="en-US" w:eastAsia="zh-CN"/>
        </w:rPr>
        <w:lastRenderedPageBreak/>
        <w:t xml:space="preserve">Furthermore, since the reception of any DCI will reset the counter for </w:t>
      </w:r>
      <w:r>
        <w:rPr>
          <w:rFonts w:eastAsia="宋体"/>
          <w:lang w:val="en-US" w:eastAsia="zh-CN"/>
        </w:rPr>
        <w:t>“</w:t>
      </w:r>
      <w:r>
        <w:rPr>
          <w:rFonts w:eastAsia="宋体" w:hint="eastAsia"/>
          <w:lang w:val="en-US" w:eastAsia="zh-CN"/>
        </w:rPr>
        <w:t>consecutive detected beam failure instances</w:t>
      </w:r>
      <w:r>
        <w:rPr>
          <w:rFonts w:eastAsia="宋体"/>
          <w:lang w:val="en-US" w:eastAsia="zh-CN"/>
        </w:rPr>
        <w:t>”</w:t>
      </w:r>
      <w:r>
        <w:rPr>
          <w:rFonts w:eastAsia="宋体" w:hint="eastAsia"/>
          <w:lang w:val="en-US" w:eastAsia="zh-CN"/>
        </w:rPr>
        <w:t xml:space="preserve">, see section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_Ref497206228 \n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2.1</w:t>
      </w:r>
      <w:r>
        <w:rPr>
          <w:rFonts w:eastAsia="宋体"/>
          <w:lang w:val="en-US" w:eastAsia="zh-CN"/>
        </w:rPr>
        <w:fldChar w:fldCharType="end"/>
      </w:r>
      <w:r>
        <w:rPr>
          <w:rFonts w:eastAsia="宋体" w:hint="eastAsia"/>
          <w:lang w:val="en-US" w:eastAsia="zh-CN"/>
        </w:rPr>
        <w:t xml:space="preserve">, transmissions of BFRQ and </w:t>
      </w:r>
      <w:r>
        <w:rPr>
          <w:rFonts w:eastAsia="宋体"/>
          <w:lang w:val="en-US" w:eastAsia="zh-CN"/>
        </w:rPr>
        <w:t>“</w:t>
      </w:r>
      <w:r>
        <w:rPr>
          <w:rFonts w:eastAsia="宋体" w:hint="eastAsia"/>
          <w:lang w:val="en-US" w:eastAsia="zh-CN"/>
        </w:rPr>
        <w:t>PRACH in response to PDCCH order</w:t>
      </w:r>
      <w:r>
        <w:rPr>
          <w:rFonts w:eastAsia="宋体"/>
          <w:lang w:val="en-US" w:eastAsia="zh-CN"/>
        </w:rPr>
        <w:t>”</w:t>
      </w:r>
      <w:r>
        <w:rPr>
          <w:rFonts w:eastAsia="宋体" w:hint="eastAsia"/>
          <w:lang w:val="en-US" w:eastAsia="zh-CN"/>
        </w:rPr>
        <w:t xml:space="preserve"> are mutually exclusive. Therefore, the PRACH preamble sequence (and possibly also the frequency and time locations) configured for BFRQ </w:t>
      </w:r>
      <w:r>
        <w:rPr>
          <w:rFonts w:eastAsia="宋体"/>
          <w:lang w:val="en-US" w:eastAsia="zh-CN"/>
        </w:rPr>
        <w:t>transmission</w:t>
      </w:r>
      <w:r>
        <w:rPr>
          <w:rFonts w:eastAsia="宋体" w:hint="eastAsia"/>
          <w:lang w:val="en-US" w:eastAsia="zh-CN"/>
        </w:rPr>
        <w:t xml:space="preserve"> can also be used for transmission of </w:t>
      </w:r>
      <w:r>
        <w:rPr>
          <w:rFonts w:eastAsia="宋体"/>
          <w:lang w:val="en-US" w:eastAsia="zh-CN"/>
        </w:rPr>
        <w:t>“</w:t>
      </w:r>
      <w:r>
        <w:rPr>
          <w:rFonts w:eastAsia="宋体" w:hint="eastAsia"/>
          <w:lang w:val="en-US" w:eastAsia="zh-CN"/>
        </w:rPr>
        <w:t>PRACH in response to PDCCH order</w:t>
      </w:r>
      <w:r>
        <w:rPr>
          <w:rFonts w:eastAsia="宋体"/>
          <w:lang w:val="en-US" w:eastAsia="zh-CN"/>
        </w:rPr>
        <w:t>”</w:t>
      </w:r>
      <w:r>
        <w:rPr>
          <w:rFonts w:eastAsia="宋体" w:hint="eastAsia"/>
          <w:lang w:val="en-US" w:eastAsia="zh-CN"/>
        </w:rPr>
        <w:t xml:space="preserve">. In fact, the dedicated PRACH resources allocated to the UE should be seen as sufficient for contention-free PRACH transmissions for different </w:t>
      </w:r>
      <w:r>
        <w:rPr>
          <w:rFonts w:eastAsia="宋体"/>
          <w:lang w:val="en-US" w:eastAsia="zh-CN"/>
        </w:rPr>
        <w:t>purposes</w:t>
      </w:r>
      <w:r>
        <w:rPr>
          <w:rFonts w:eastAsia="宋体" w:hint="eastAsia"/>
          <w:lang w:val="en-US" w:eastAsia="zh-CN"/>
        </w:rPr>
        <w:t>, e.g. including SR.</w:t>
      </w:r>
    </w:p>
    <w:p w14:paraId="1AF55C3E" w14:textId="77777777" w:rsidR="00DD3B35" w:rsidRDefault="00DD3B35" w:rsidP="00DD3B35">
      <w:pPr>
        <w:pStyle w:val="afe"/>
        <w:numPr>
          <w:ilvl w:val="0"/>
          <w:numId w:val="46"/>
        </w:numPr>
        <w:spacing w:after="0" w:afterAutospacing="0"/>
        <w:ind w:firstLineChars="0"/>
        <w:jc w:val="left"/>
        <w:rPr>
          <w:rFonts w:eastAsia="宋体"/>
          <w:lang w:val="en-US" w:eastAsia="zh-CN"/>
        </w:rPr>
      </w:pPr>
      <w:r>
        <w:rPr>
          <w:rFonts w:eastAsia="宋体" w:hint="eastAsia"/>
          <w:lang w:val="en-US" w:eastAsia="zh-CN"/>
        </w:rPr>
        <w:t xml:space="preserve">The dedicated preamble </w:t>
      </w:r>
      <w:r>
        <w:rPr>
          <w:rFonts w:eastAsia="宋体"/>
          <w:lang w:val="en-US" w:eastAsia="zh-CN"/>
        </w:rPr>
        <w:t>configured</w:t>
      </w:r>
      <w:r>
        <w:rPr>
          <w:rFonts w:eastAsia="宋体" w:hint="eastAsia"/>
          <w:lang w:val="en-US" w:eastAsia="zh-CN"/>
        </w:rPr>
        <w:t xml:space="preserve"> to the UE for transmission of BFRQ is also used for the following:</w:t>
      </w:r>
    </w:p>
    <w:p w14:paraId="51E082CD" w14:textId="77777777" w:rsidR="00DD3B35" w:rsidRPr="00395695" w:rsidRDefault="00DD3B35" w:rsidP="00DD3B35">
      <w:pPr>
        <w:numPr>
          <w:ilvl w:val="0"/>
          <w:numId w:val="45"/>
        </w:numPr>
        <w:overflowPunct w:val="0"/>
        <w:autoSpaceDE w:val="0"/>
        <w:autoSpaceDN w:val="0"/>
        <w:adjustRightInd w:val="0"/>
        <w:snapToGrid/>
        <w:spacing w:after="0" w:afterAutospacing="0"/>
        <w:ind w:left="714" w:right="-96" w:hanging="357"/>
        <w:jc w:val="left"/>
        <w:textAlignment w:val="baseline"/>
        <w:rPr>
          <w:lang w:eastAsia="zh-CN"/>
        </w:rPr>
      </w:pPr>
      <w:r w:rsidRPr="00395695">
        <w:rPr>
          <w:lang w:eastAsia="zh-CN"/>
        </w:rPr>
        <w:t>SR</w:t>
      </w:r>
    </w:p>
    <w:p w14:paraId="2D06C8DE" w14:textId="77777777" w:rsidR="00DD3B35" w:rsidRPr="00BB3AAA" w:rsidRDefault="00DD3B35" w:rsidP="00DD3B35">
      <w:pPr>
        <w:numPr>
          <w:ilvl w:val="0"/>
          <w:numId w:val="45"/>
        </w:numPr>
        <w:overflowPunct w:val="0"/>
        <w:autoSpaceDE w:val="0"/>
        <w:autoSpaceDN w:val="0"/>
        <w:adjustRightInd w:val="0"/>
        <w:snapToGrid/>
        <w:ind w:left="714" w:right="-96" w:hanging="357"/>
        <w:jc w:val="left"/>
        <w:textAlignment w:val="baseline"/>
        <w:rPr>
          <w:rFonts w:eastAsia="宋体"/>
          <w:lang w:val="en-US" w:eastAsia="zh-CN"/>
        </w:rPr>
      </w:pPr>
      <w:r w:rsidRPr="00395695">
        <w:rPr>
          <w:lang w:eastAsia="zh-CN"/>
        </w:rPr>
        <w:t>PRACH in response to PDCCH order.</w:t>
      </w:r>
    </w:p>
    <w:p w14:paraId="7854B0AE" w14:textId="77777777" w:rsidR="00DD3B35" w:rsidRPr="00395695" w:rsidRDefault="00DD3B35" w:rsidP="00DD3B35">
      <w:pPr>
        <w:pStyle w:val="20"/>
        <w:tabs>
          <w:tab w:val="clear" w:pos="3261"/>
          <w:tab w:val="num" w:pos="567"/>
        </w:tabs>
        <w:ind w:left="567"/>
      </w:pPr>
      <w:r w:rsidRPr="00395695">
        <w:t>Channel of beam recovery request transmission</w:t>
      </w:r>
    </w:p>
    <w:p w14:paraId="640B00B7" w14:textId="77777777" w:rsidR="00DD3B35" w:rsidRDefault="00DD3B35" w:rsidP="00DD3B35">
      <w:pPr>
        <w:rPr>
          <w:rFonts w:eastAsiaTheme="minorEastAsia"/>
          <w:lang w:val="en-US"/>
        </w:rPr>
      </w:pPr>
      <w:r>
        <w:rPr>
          <w:rFonts w:eastAsiaTheme="minorEastAsia" w:hint="eastAsia"/>
          <w:lang w:val="en-US"/>
        </w:rPr>
        <w:t>In</w:t>
      </w:r>
      <w:r>
        <w:rPr>
          <w:rFonts w:eastAsiaTheme="minorEastAsia"/>
          <w:lang w:val="en-US"/>
        </w:rPr>
        <w:t xml:space="preserve"> </w:t>
      </w:r>
      <w:r w:rsidRPr="00676997">
        <w:rPr>
          <w:rFonts w:eastAsiaTheme="minorEastAsia"/>
          <w:lang w:val="en-US"/>
        </w:rPr>
        <w:t>RAN1#90</w:t>
      </w:r>
      <w:r>
        <w:rPr>
          <w:rFonts w:eastAsiaTheme="minorEastAsia"/>
          <w:lang w:val="en-US"/>
        </w:rPr>
        <w:t xml:space="preserve">, how to use PUCCH or non-contention based PRACH for beam recovery request transmission is discussed and the following options are considered </w:t>
      </w:r>
      <w:r>
        <w:rPr>
          <w:rFonts w:eastAsiaTheme="minorEastAsia" w:hint="eastAsia"/>
          <w:lang w:val="en-US"/>
        </w:rPr>
        <w:t>[</w:t>
      </w:r>
      <w:r>
        <w:rPr>
          <w:rFonts w:eastAsiaTheme="minorEastAsia"/>
          <w:lang w:val="en-US"/>
        </w:rPr>
        <w:t>5</w:t>
      </w:r>
      <w:r>
        <w:rPr>
          <w:rFonts w:eastAsiaTheme="minorEastAsia" w:hint="eastAsia"/>
          <w:lang w:val="en-US"/>
        </w:rPr>
        <w:t>]</w:t>
      </w:r>
      <w:r>
        <w:rPr>
          <w:rFonts w:eastAsiaTheme="minorEastAsia"/>
          <w:lang w:val="en-US"/>
        </w:rPr>
        <w:t>.</w:t>
      </w:r>
    </w:p>
    <w:p w14:paraId="15274FEA" w14:textId="77777777" w:rsidR="00DD3B35" w:rsidRDefault="00DD3B35" w:rsidP="00DD3B35">
      <w:pPr>
        <w:spacing w:after="0" w:afterAutospacing="0"/>
        <w:ind w:left="850" w:hangingChars="354" w:hanging="850"/>
        <w:rPr>
          <w:rFonts w:eastAsiaTheme="minorEastAsia"/>
        </w:rPr>
      </w:pPr>
      <w:r w:rsidRPr="00872F34">
        <w:rPr>
          <w:rFonts w:eastAsiaTheme="minorEastAsia"/>
        </w:rPr>
        <w:t>1.</w:t>
      </w:r>
      <w:r w:rsidRPr="00872F34">
        <w:rPr>
          <w:rFonts w:eastAsiaTheme="minorEastAsia"/>
        </w:rPr>
        <w:tab/>
        <w:t>Configured with either PUCCH or PRACH</w:t>
      </w:r>
    </w:p>
    <w:p w14:paraId="203178E9" w14:textId="77777777" w:rsidR="00DD3B35" w:rsidRPr="00872F34" w:rsidRDefault="00DD3B35" w:rsidP="00DD3B35">
      <w:pPr>
        <w:spacing w:after="0" w:afterAutospacing="0"/>
        <w:ind w:left="850" w:hangingChars="354" w:hanging="850"/>
        <w:rPr>
          <w:rFonts w:eastAsiaTheme="minorEastAsia"/>
        </w:rPr>
      </w:pPr>
      <w:r w:rsidRPr="00872F34">
        <w:rPr>
          <w:rFonts w:eastAsiaTheme="minorEastAsia"/>
        </w:rPr>
        <w:t>2.</w:t>
      </w:r>
      <w:r w:rsidRPr="00872F34">
        <w:rPr>
          <w:rFonts w:eastAsiaTheme="minorEastAsia"/>
        </w:rPr>
        <w:tab/>
        <w:t>Configured with both, and they are used whenever PUCCH resource or PRACH resource are available</w:t>
      </w:r>
    </w:p>
    <w:p w14:paraId="24F83F43" w14:textId="77777777" w:rsidR="00DD3B35" w:rsidRPr="00872F34" w:rsidRDefault="00DD3B35" w:rsidP="00DD3B35">
      <w:pPr>
        <w:ind w:left="850" w:hangingChars="354" w:hanging="850"/>
        <w:rPr>
          <w:rFonts w:eastAsiaTheme="minorEastAsia"/>
        </w:rPr>
      </w:pPr>
      <w:r w:rsidRPr="00872F34">
        <w:rPr>
          <w:rFonts w:eastAsiaTheme="minorEastAsia"/>
        </w:rPr>
        <w:t>3.</w:t>
      </w:r>
      <w:r w:rsidRPr="00872F34">
        <w:rPr>
          <w:rFonts w:eastAsiaTheme="minorEastAsia"/>
        </w:rPr>
        <w:tab/>
        <w:t>Configured with both but up to UE implementation on using which one.</w:t>
      </w:r>
    </w:p>
    <w:p w14:paraId="629FC527" w14:textId="77777777" w:rsidR="00DD3B35" w:rsidRDefault="00DD3B35" w:rsidP="00DD3B35">
      <w:pPr>
        <w:rPr>
          <w:rFonts w:eastAsiaTheme="minorEastAsia"/>
          <w:lang w:val="en-US"/>
        </w:rPr>
      </w:pPr>
      <w:r>
        <w:rPr>
          <w:rFonts w:eastAsiaTheme="minorEastAsia" w:hint="eastAsia"/>
          <w:lang w:val="en-US"/>
        </w:rPr>
        <w:t xml:space="preserve">In the </w:t>
      </w:r>
      <w:r>
        <w:rPr>
          <w:rFonts w:eastAsiaTheme="minorEastAsia"/>
          <w:lang w:val="en-US"/>
        </w:rPr>
        <w:t>option 1</w:t>
      </w:r>
      <w:r>
        <w:rPr>
          <w:rFonts w:eastAsiaTheme="minorEastAsia" w:hint="eastAsia"/>
          <w:lang w:val="en-US"/>
        </w:rPr>
        <w:t xml:space="preserve">, </w:t>
      </w:r>
      <w:r>
        <w:rPr>
          <w:rFonts w:eastAsiaTheme="minorEastAsia"/>
          <w:lang w:val="en-US"/>
        </w:rPr>
        <w:t xml:space="preserve">from a UE perspective, since either PUCCH or non-contention based PRACH is configured, the UE behavior is simple and the amount of reserved resources can be </w:t>
      </w:r>
      <w:proofErr w:type="gramStart"/>
      <w:r>
        <w:rPr>
          <w:rFonts w:eastAsiaTheme="minorEastAsia"/>
          <w:lang w:val="en-US"/>
        </w:rPr>
        <w:t>minimum</w:t>
      </w:r>
      <w:proofErr w:type="gramEnd"/>
      <w:r>
        <w:rPr>
          <w:rFonts w:eastAsiaTheme="minorEastAsia"/>
          <w:lang w:val="en-US"/>
        </w:rPr>
        <w:t>. In the option 2, a UE are configured with both PUCCH and non-contention based PRACH resources, and the UE can select PUCCH or non-contention based PRACH. The advantage of this scheme can minimize the delay of beam recovery transmission. In the option 3, it has similar benefit to the option 2 and the UE complexity may be reduced because UE can select which one. Our view is that the option 2 and option 3 should reserve both resources in a dedicated manner and there is no clear benefit to configure both resources. Therefore, o</w:t>
      </w:r>
      <w:r>
        <w:rPr>
          <w:rFonts w:eastAsiaTheme="minorEastAsia" w:hint="eastAsia"/>
          <w:lang w:val="en-US"/>
        </w:rPr>
        <w:t>ur preference is option 1</w:t>
      </w:r>
      <w:r>
        <w:rPr>
          <w:rFonts w:eastAsiaTheme="minorEastAsia"/>
          <w:lang w:val="en-US"/>
        </w:rPr>
        <w:t>.</w:t>
      </w:r>
    </w:p>
    <w:p w14:paraId="265B64E0" w14:textId="77777777" w:rsidR="00DD3B35" w:rsidRPr="008204EE" w:rsidRDefault="00DD3B35" w:rsidP="00DD3B35">
      <w:pPr>
        <w:pStyle w:val="afe"/>
        <w:numPr>
          <w:ilvl w:val="0"/>
          <w:numId w:val="46"/>
        </w:numPr>
        <w:spacing w:after="0" w:afterAutospacing="0"/>
        <w:ind w:firstLineChars="0"/>
        <w:jc w:val="left"/>
        <w:rPr>
          <w:rFonts w:eastAsia="宋体"/>
          <w:lang w:val="en-US" w:eastAsia="zh-CN"/>
        </w:rPr>
      </w:pPr>
      <w:r w:rsidRPr="008204EE">
        <w:rPr>
          <w:rFonts w:eastAsiaTheme="minorEastAsia"/>
          <w:lang w:val="en-US"/>
        </w:rPr>
        <w:t>UE is configured with either PUCCH or PRACH for beam recovery request transmission</w:t>
      </w:r>
    </w:p>
    <w:p w14:paraId="2E0CEB77" w14:textId="77777777" w:rsidR="00DD3B35" w:rsidRPr="00DD3B35" w:rsidRDefault="00DD3B35" w:rsidP="00DD3B35">
      <w:pPr>
        <w:overflowPunct w:val="0"/>
        <w:autoSpaceDE w:val="0"/>
        <w:autoSpaceDN w:val="0"/>
        <w:adjustRightInd w:val="0"/>
        <w:snapToGrid/>
        <w:ind w:right="-96"/>
        <w:jc w:val="left"/>
        <w:textAlignment w:val="baseline"/>
        <w:rPr>
          <w:lang w:val="en-US" w:eastAsia="zh-CN"/>
        </w:rPr>
      </w:pPr>
    </w:p>
    <w:p w14:paraId="75CFD2AA" w14:textId="438DE780" w:rsidR="008C515D" w:rsidRDefault="008C515D" w:rsidP="008C515D">
      <w:pPr>
        <w:pStyle w:val="20"/>
        <w:tabs>
          <w:tab w:val="clear" w:pos="3261"/>
          <w:tab w:val="num" w:pos="567"/>
        </w:tabs>
        <w:ind w:left="567"/>
        <w:rPr>
          <w:rFonts w:eastAsia="宋体"/>
          <w:lang w:val="en-US" w:eastAsia="zh-CN"/>
        </w:rPr>
      </w:pPr>
      <w:r>
        <w:rPr>
          <w:rFonts w:eastAsia="宋体" w:hint="eastAsia"/>
          <w:lang w:eastAsia="zh-CN"/>
        </w:rPr>
        <w:t>Transmission of gNB response to BFRQ</w:t>
      </w:r>
    </w:p>
    <w:p w14:paraId="490892A2" w14:textId="68EE273E" w:rsidR="006913EA" w:rsidRDefault="006913EA" w:rsidP="006913EA">
      <w:pPr>
        <w:rPr>
          <w:rFonts w:eastAsia="宋体"/>
          <w:lang w:val="en-US" w:eastAsia="zh-CN"/>
        </w:rPr>
      </w:pPr>
      <w:r>
        <w:rPr>
          <w:rFonts w:eastAsia="宋体" w:hint="eastAsia"/>
          <w:lang w:val="en-US" w:eastAsia="zh-CN"/>
        </w:rPr>
        <w:t>In RAN1#90bis th</w:t>
      </w:r>
      <w:r w:rsidRPr="0014090F">
        <w:rPr>
          <w:rFonts w:eastAsia="MS Mincho"/>
          <w:lang w:val="en-US"/>
        </w:rPr>
        <w:t xml:space="preserve">e following </w:t>
      </w:r>
      <w:r>
        <w:rPr>
          <w:rFonts w:eastAsia="宋体" w:hint="eastAsia"/>
          <w:lang w:val="en-US" w:eastAsia="zh-CN"/>
        </w:rPr>
        <w:t>was agreed,</w:t>
      </w:r>
    </w:p>
    <w:p w14:paraId="2DD6E67A" w14:textId="77777777" w:rsidR="006913EA" w:rsidRPr="00C53B39" w:rsidRDefault="006913EA" w:rsidP="006913EA">
      <w:pPr>
        <w:spacing w:after="0" w:afterAutospacing="0"/>
        <w:rPr>
          <w:szCs w:val="24"/>
          <w:lang w:val="en-US" w:eastAsia="x-none"/>
        </w:rPr>
      </w:pPr>
      <w:r w:rsidRPr="00C53B39">
        <w:rPr>
          <w:b/>
          <w:bCs/>
          <w:szCs w:val="24"/>
          <w:highlight w:val="green"/>
          <w:lang w:val="en-US" w:eastAsia="x-none"/>
        </w:rPr>
        <w:t>Agreement:</w:t>
      </w:r>
    </w:p>
    <w:p w14:paraId="2854B362" w14:textId="77777777" w:rsidR="006913EA" w:rsidRPr="00F70D26" w:rsidRDefault="006913EA" w:rsidP="006913EA">
      <w:pPr>
        <w:pStyle w:val="RAN1bullet1"/>
        <w:rPr>
          <w:rFonts w:ascii="Times New Roman" w:hAnsi="Times New Roman"/>
          <w:i/>
          <w:sz w:val="24"/>
          <w:lang w:val="en-US"/>
        </w:rPr>
      </w:pPr>
      <w:r w:rsidRPr="00F70D26">
        <w:rPr>
          <w:rFonts w:ascii="Times New Roman" w:hAnsi="Times New Roman"/>
          <w:i/>
          <w:sz w:val="24"/>
        </w:rPr>
        <w:t>gNB response is transmitted via a PDCCH addressed to C-RNTI</w:t>
      </w:r>
    </w:p>
    <w:p w14:paraId="54728101" w14:textId="77777777" w:rsidR="006913EA" w:rsidRPr="00F70D26" w:rsidRDefault="006913EA" w:rsidP="006913EA">
      <w:pPr>
        <w:pStyle w:val="RAN1bullet2"/>
        <w:rPr>
          <w:rFonts w:ascii="Times New Roman" w:hAnsi="Times New Roman"/>
          <w:i/>
          <w:sz w:val="24"/>
          <w:szCs w:val="24"/>
          <w:highlight w:val="yellow"/>
        </w:rPr>
      </w:pPr>
      <w:r w:rsidRPr="00F70D26">
        <w:rPr>
          <w:rFonts w:ascii="Times New Roman" w:hAnsi="Times New Roman"/>
          <w:i/>
          <w:sz w:val="24"/>
          <w:szCs w:val="24"/>
          <w:highlight w:val="yellow"/>
        </w:rPr>
        <w:t>FFS: DCI format for gNB response</w:t>
      </w:r>
    </w:p>
    <w:p w14:paraId="47CBEB5D" w14:textId="77777777" w:rsidR="006913EA" w:rsidRPr="00F70D26" w:rsidRDefault="006913EA" w:rsidP="006913EA">
      <w:pPr>
        <w:pStyle w:val="RAN1bullet1"/>
        <w:rPr>
          <w:rFonts w:ascii="Times New Roman" w:hAnsi="Times New Roman"/>
          <w:i/>
          <w:sz w:val="24"/>
          <w:lang w:val="en-US"/>
        </w:rPr>
      </w:pPr>
      <w:r w:rsidRPr="00F70D26">
        <w:rPr>
          <w:rFonts w:ascii="Times New Roman" w:hAnsi="Times New Roman"/>
          <w:i/>
          <w:sz w:val="24"/>
        </w:rPr>
        <w:t>Dedicated CORESET(s) is applied for monitoring gNB response for BFRQ. The CORESET is down-selected from the following two alternatives:</w:t>
      </w:r>
    </w:p>
    <w:p w14:paraId="75112D1E" w14:textId="77777777" w:rsidR="006913EA" w:rsidRPr="00F70D26" w:rsidRDefault="006913EA" w:rsidP="006913EA">
      <w:pPr>
        <w:pStyle w:val="RAN1bullet2"/>
        <w:rPr>
          <w:rFonts w:ascii="Times New Roman" w:hAnsi="Times New Roman"/>
          <w:i/>
          <w:sz w:val="24"/>
          <w:szCs w:val="24"/>
          <w:highlight w:val="yellow"/>
        </w:rPr>
      </w:pPr>
      <w:r w:rsidRPr="00F70D26">
        <w:rPr>
          <w:rFonts w:ascii="Times New Roman" w:hAnsi="Times New Roman"/>
          <w:i/>
          <w:sz w:val="24"/>
          <w:szCs w:val="24"/>
          <w:highlight w:val="yellow"/>
        </w:rPr>
        <w:t>Alt 1: the same CORESET (s) as before beam failure</w:t>
      </w:r>
    </w:p>
    <w:p w14:paraId="2EFCCC0A" w14:textId="77777777" w:rsidR="006913EA" w:rsidRPr="00F70D26" w:rsidRDefault="006913EA" w:rsidP="004B4A3D">
      <w:pPr>
        <w:pStyle w:val="RAN1bullet2"/>
        <w:spacing w:after="100" w:afterAutospacing="1"/>
        <w:ind w:left="1434" w:hanging="357"/>
        <w:rPr>
          <w:rFonts w:ascii="Times New Roman" w:hAnsi="Times New Roman"/>
          <w:i/>
          <w:sz w:val="24"/>
          <w:szCs w:val="24"/>
          <w:highlight w:val="yellow"/>
        </w:rPr>
      </w:pPr>
      <w:r w:rsidRPr="00F70D26">
        <w:rPr>
          <w:rFonts w:ascii="Times New Roman" w:hAnsi="Times New Roman"/>
          <w:i/>
          <w:sz w:val="24"/>
          <w:szCs w:val="24"/>
          <w:highlight w:val="yellow"/>
        </w:rPr>
        <w:t>Alt 2: dedicatedly configured CORESET for beam failure recovery.</w:t>
      </w:r>
    </w:p>
    <w:p w14:paraId="72DEFAC2" w14:textId="50A74CCF" w:rsidR="00655DAB" w:rsidRDefault="00655DAB" w:rsidP="00655DAB">
      <w:pPr>
        <w:rPr>
          <w:rFonts w:eastAsia="宋体"/>
          <w:lang w:val="en-US" w:eastAsia="zh-CN"/>
        </w:rPr>
      </w:pPr>
      <w:r>
        <w:rPr>
          <w:rFonts w:eastAsia="宋体" w:hint="eastAsia"/>
          <w:lang w:val="en-US" w:eastAsia="zh-CN"/>
        </w:rPr>
        <w:lastRenderedPageBreak/>
        <w:t>And th</w:t>
      </w:r>
      <w:r w:rsidRPr="0014090F">
        <w:rPr>
          <w:rFonts w:eastAsia="MS Mincho"/>
          <w:lang w:val="en-US"/>
        </w:rPr>
        <w:t xml:space="preserve">e following </w:t>
      </w:r>
      <w:r>
        <w:rPr>
          <w:rFonts w:eastAsia="宋体" w:hint="eastAsia"/>
          <w:lang w:val="en-US" w:eastAsia="zh-CN"/>
        </w:rPr>
        <w:t>was agreed during post RAN1#90bis email discussions,</w:t>
      </w:r>
    </w:p>
    <w:p w14:paraId="6F46E9FF" w14:textId="33527710" w:rsidR="00655DAB" w:rsidRPr="00D414EB" w:rsidRDefault="00655DAB" w:rsidP="00655DAB">
      <w:pPr>
        <w:spacing w:after="0" w:afterAutospacing="0"/>
        <w:rPr>
          <w:i/>
          <w:szCs w:val="24"/>
          <w:lang w:val="en-US" w:eastAsia="x-none"/>
        </w:rPr>
      </w:pPr>
      <w:r w:rsidRPr="00D414EB">
        <w:rPr>
          <w:b/>
          <w:bCs/>
          <w:i/>
          <w:szCs w:val="24"/>
          <w:highlight w:val="green"/>
          <w:lang w:val="en-US" w:eastAsia="x-none"/>
        </w:rPr>
        <w:t>Agreement</w:t>
      </w:r>
      <w:r w:rsidRPr="00D414EB">
        <w:rPr>
          <w:rFonts w:eastAsia="宋体" w:hint="eastAsia"/>
          <w:b/>
          <w:bCs/>
          <w:i/>
          <w:szCs w:val="24"/>
          <w:highlight w:val="green"/>
          <w:lang w:val="en-US" w:eastAsia="zh-CN"/>
        </w:rPr>
        <w:t>s</w:t>
      </w:r>
      <w:r w:rsidRPr="00D414EB">
        <w:rPr>
          <w:b/>
          <w:bCs/>
          <w:i/>
          <w:szCs w:val="24"/>
          <w:highlight w:val="green"/>
          <w:lang w:val="en-US" w:eastAsia="x-none"/>
        </w:rPr>
        <w:t>:</w:t>
      </w:r>
    </w:p>
    <w:p w14:paraId="0F8F8CCB" w14:textId="57060FCB" w:rsidR="00655DAB" w:rsidRPr="00D414EB" w:rsidRDefault="00655DAB" w:rsidP="00655DAB">
      <w:pPr>
        <w:pStyle w:val="RAN1bullet1"/>
        <w:rPr>
          <w:rFonts w:ascii="Times New Roman" w:hAnsi="Times New Roman"/>
          <w:i/>
          <w:sz w:val="24"/>
        </w:rPr>
      </w:pPr>
      <w:r w:rsidRPr="00D414EB">
        <w:rPr>
          <w:rFonts w:ascii="Times New Roman" w:hAnsi="Times New Roman"/>
          <w:i/>
          <w:sz w:val="24"/>
        </w:rPr>
        <w:t>Support RRC configuration of a time duration for a time window and a dedicated CORESET for a UE to monitor gNB response for beam failure recovery request.</w:t>
      </w:r>
    </w:p>
    <w:p w14:paraId="1118F083" w14:textId="292A1DA7" w:rsidR="00655DAB" w:rsidRPr="00D414EB" w:rsidRDefault="00655DAB" w:rsidP="00655DAB">
      <w:pPr>
        <w:pStyle w:val="RAN1bullet1"/>
        <w:numPr>
          <w:ilvl w:val="1"/>
          <w:numId w:val="37"/>
        </w:numPr>
        <w:rPr>
          <w:rFonts w:ascii="Times New Roman" w:hAnsi="Times New Roman"/>
          <w:i/>
          <w:sz w:val="24"/>
        </w:rPr>
      </w:pPr>
      <w:r w:rsidRPr="00D414EB">
        <w:rPr>
          <w:rFonts w:ascii="Times New Roman" w:hAnsi="Times New Roman"/>
          <w:i/>
          <w:sz w:val="24"/>
        </w:rPr>
        <w:t xml:space="preserve">UE assumes that the dedicated CORESET is spatial </w:t>
      </w:r>
      <w:proofErr w:type="spellStart"/>
      <w:r w:rsidRPr="00D414EB">
        <w:rPr>
          <w:rFonts w:ascii="Times New Roman" w:hAnsi="Times New Roman"/>
          <w:i/>
          <w:sz w:val="24"/>
        </w:rPr>
        <w:t>QCL’ed</w:t>
      </w:r>
      <w:proofErr w:type="spellEnd"/>
      <w:r w:rsidRPr="00D414EB">
        <w:rPr>
          <w:rFonts w:ascii="Times New Roman" w:hAnsi="Times New Roman"/>
          <w:i/>
          <w:sz w:val="24"/>
        </w:rPr>
        <w:t xml:space="preserve"> with DL RS of the UE-identified candidate beam in the beam failure recovery request.</w:t>
      </w:r>
    </w:p>
    <w:p w14:paraId="04CF7DE0" w14:textId="1F77C19F" w:rsidR="00655DAB" w:rsidRPr="00D414EB" w:rsidRDefault="00655DAB" w:rsidP="00655DAB">
      <w:pPr>
        <w:pStyle w:val="RAN1bullet1"/>
        <w:numPr>
          <w:ilvl w:val="1"/>
          <w:numId w:val="37"/>
        </w:numPr>
        <w:rPr>
          <w:rFonts w:ascii="Times New Roman" w:hAnsi="Times New Roman"/>
          <w:i/>
          <w:sz w:val="24"/>
        </w:rPr>
      </w:pPr>
      <w:r w:rsidRPr="00D414EB">
        <w:rPr>
          <w:rFonts w:ascii="Times New Roman" w:hAnsi="Times New Roman"/>
          <w:i/>
          <w:sz w:val="24"/>
        </w:rPr>
        <w:t>FFS: multiple dedicated CORESETs can be configured to a UE, where each CORESET can have different spatial QCL configuration</w:t>
      </w:r>
    </w:p>
    <w:p w14:paraId="271CBB44" w14:textId="04834053" w:rsidR="00655DAB" w:rsidRPr="00D414EB" w:rsidRDefault="00655DAB" w:rsidP="00655DAB">
      <w:pPr>
        <w:pStyle w:val="RAN1bullet1"/>
        <w:numPr>
          <w:ilvl w:val="1"/>
          <w:numId w:val="37"/>
        </w:numPr>
        <w:rPr>
          <w:rFonts w:ascii="Times New Roman" w:hAnsi="Times New Roman"/>
          <w:i/>
          <w:sz w:val="24"/>
        </w:rPr>
      </w:pPr>
      <w:r w:rsidRPr="00D414EB">
        <w:rPr>
          <w:rFonts w:ascii="Times New Roman" w:hAnsi="Times New Roman"/>
          <w:i/>
          <w:sz w:val="24"/>
        </w:rPr>
        <w:t>Note: the time window is determined by a fixed time offset defined in the spec with respect to beam failure recovery request transmission and the </w:t>
      </w:r>
      <w:proofErr w:type="gramStart"/>
      <w:r w:rsidRPr="00D414EB">
        <w:rPr>
          <w:rFonts w:ascii="Times New Roman" w:hAnsi="Times New Roman"/>
          <w:i/>
          <w:sz w:val="24"/>
        </w:rPr>
        <w:t>RRC  configurable</w:t>
      </w:r>
      <w:proofErr w:type="gramEnd"/>
      <w:r w:rsidRPr="00D414EB">
        <w:rPr>
          <w:rFonts w:ascii="Times New Roman" w:hAnsi="Times New Roman"/>
          <w:i/>
          <w:sz w:val="24"/>
        </w:rPr>
        <w:t xml:space="preserve"> time duration starting from the fixed time offset. </w:t>
      </w:r>
    </w:p>
    <w:p w14:paraId="1448DEB9" w14:textId="77777777" w:rsidR="00655DAB" w:rsidRPr="00D414EB" w:rsidRDefault="00655DAB" w:rsidP="00655DAB">
      <w:pPr>
        <w:numPr>
          <w:ilvl w:val="2"/>
          <w:numId w:val="37"/>
        </w:numPr>
        <w:snapToGrid/>
        <w:spacing w:before="100" w:beforeAutospacing="1" w:line="315" w:lineRule="atLeast"/>
        <w:jc w:val="left"/>
        <w:rPr>
          <w:i/>
          <w:color w:val="000000"/>
          <w:szCs w:val="24"/>
        </w:rPr>
      </w:pPr>
      <w:r w:rsidRPr="00D414EB">
        <w:rPr>
          <w:i/>
          <w:color w:val="000000"/>
          <w:szCs w:val="24"/>
        </w:rPr>
        <w:t>FFS the value of fixed time offset k (slots).</w:t>
      </w:r>
    </w:p>
    <w:p w14:paraId="1C081A9B" w14:textId="05D708D2" w:rsidR="008B1AF5" w:rsidRDefault="004B4A3D" w:rsidP="006913EA">
      <w:pPr>
        <w:jc w:val="left"/>
        <w:rPr>
          <w:rFonts w:eastAsia="宋体"/>
          <w:lang w:val="en-US" w:eastAsia="zh-CN"/>
        </w:rPr>
      </w:pPr>
      <w:r>
        <w:rPr>
          <w:rFonts w:eastAsia="宋体" w:hint="eastAsia"/>
          <w:lang w:val="en-US" w:eastAsia="zh-CN"/>
        </w:rPr>
        <w:t>Once the BF</w:t>
      </w:r>
      <w:r w:rsidR="005101D6">
        <w:rPr>
          <w:rFonts w:eastAsia="宋体" w:hint="eastAsia"/>
          <w:lang w:val="en-US" w:eastAsia="zh-CN"/>
        </w:rPr>
        <w:t>RQ is transmitted, the UE shall</w:t>
      </w:r>
      <w:r>
        <w:rPr>
          <w:rFonts w:eastAsia="宋体" w:hint="eastAsia"/>
          <w:lang w:val="en-US" w:eastAsia="zh-CN"/>
        </w:rPr>
        <w:t xml:space="preserve"> switch to monitor </w:t>
      </w:r>
      <w:r w:rsidR="002F201B">
        <w:rPr>
          <w:rFonts w:eastAsia="宋体" w:hint="eastAsia"/>
          <w:lang w:val="en-US" w:eastAsia="zh-CN"/>
        </w:rPr>
        <w:t xml:space="preserve">the </w:t>
      </w:r>
      <w:r>
        <w:rPr>
          <w:rFonts w:eastAsia="宋体" w:hint="eastAsia"/>
          <w:lang w:val="en-US" w:eastAsia="zh-CN"/>
        </w:rPr>
        <w:t>CORESET</w:t>
      </w:r>
      <w:r w:rsidR="002F201B">
        <w:rPr>
          <w:rFonts w:eastAsia="宋体" w:hint="eastAsia"/>
          <w:lang w:val="en-US" w:eastAsia="zh-CN"/>
        </w:rPr>
        <w:t xml:space="preserve"> dedicatedly configured for monitoring gNB response for BFRQ</w:t>
      </w:r>
      <w:r w:rsidR="009465F7">
        <w:rPr>
          <w:rFonts w:eastAsia="宋体" w:hint="eastAsia"/>
          <w:lang w:val="en-US" w:eastAsia="zh-CN"/>
        </w:rPr>
        <w:t>, and t</w:t>
      </w:r>
      <w:r w:rsidR="005101D6">
        <w:rPr>
          <w:rFonts w:eastAsia="宋体" w:hint="eastAsia"/>
          <w:lang w:val="en-US" w:eastAsia="zh-CN"/>
        </w:rPr>
        <w:t xml:space="preserve">he UE shall assume that the PDCCH containing the gNB response is spatial </w:t>
      </w:r>
      <w:proofErr w:type="spellStart"/>
      <w:r w:rsidR="005101D6">
        <w:rPr>
          <w:rFonts w:eastAsia="宋体" w:hint="eastAsia"/>
          <w:lang w:val="en-US" w:eastAsia="zh-CN"/>
        </w:rPr>
        <w:t>QCL</w:t>
      </w:r>
      <w:r w:rsidR="005101D6">
        <w:rPr>
          <w:rFonts w:eastAsia="宋体"/>
          <w:lang w:val="en-US" w:eastAsia="zh-CN"/>
        </w:rPr>
        <w:t>’</w:t>
      </w:r>
      <w:r w:rsidR="005101D6">
        <w:rPr>
          <w:rFonts w:eastAsia="宋体" w:hint="eastAsia"/>
          <w:lang w:val="en-US" w:eastAsia="zh-CN"/>
        </w:rPr>
        <w:t>ed</w:t>
      </w:r>
      <w:proofErr w:type="spellEnd"/>
      <w:r w:rsidR="005101D6">
        <w:rPr>
          <w:rFonts w:eastAsia="宋体" w:hint="eastAsia"/>
          <w:lang w:val="en-US" w:eastAsia="zh-CN"/>
        </w:rPr>
        <w:t xml:space="preserve"> with DL RS associated with the PRACH T/F resource used for </w:t>
      </w:r>
      <w:r w:rsidR="00A17E11">
        <w:rPr>
          <w:rFonts w:eastAsia="宋体" w:hint="eastAsia"/>
          <w:lang w:val="en-US" w:eastAsia="zh-CN"/>
        </w:rPr>
        <w:t xml:space="preserve">that </w:t>
      </w:r>
      <w:r w:rsidR="005101D6">
        <w:rPr>
          <w:rFonts w:eastAsia="宋体" w:hint="eastAsia"/>
          <w:lang w:val="en-US" w:eastAsia="zh-CN"/>
        </w:rPr>
        <w:t>BFRQ transmission.</w:t>
      </w:r>
      <w:r w:rsidR="002C6BC0">
        <w:rPr>
          <w:rFonts w:eastAsia="宋体" w:hint="eastAsia"/>
          <w:lang w:val="en-US" w:eastAsia="zh-CN"/>
        </w:rPr>
        <w:t xml:space="preserve"> It is </w:t>
      </w:r>
      <w:r w:rsidR="002C6BC0">
        <w:rPr>
          <w:rFonts w:eastAsia="宋体"/>
          <w:lang w:val="en-US" w:eastAsia="zh-CN"/>
        </w:rPr>
        <w:t>proposed</w:t>
      </w:r>
      <w:r w:rsidR="002C6BC0">
        <w:rPr>
          <w:rFonts w:eastAsia="宋体" w:hint="eastAsia"/>
          <w:lang w:val="en-US" w:eastAsia="zh-CN"/>
        </w:rPr>
        <w:t xml:space="preserve"> that the UE shall stay monitoring this CORESET for future DCIs once the </w:t>
      </w:r>
      <w:r w:rsidR="001C7288">
        <w:rPr>
          <w:rFonts w:eastAsia="宋体" w:hint="eastAsia"/>
          <w:lang w:val="en-US" w:eastAsia="zh-CN"/>
        </w:rPr>
        <w:t xml:space="preserve">gNB response for </w:t>
      </w:r>
      <w:r w:rsidR="002C6BC0">
        <w:rPr>
          <w:rFonts w:eastAsia="宋体" w:hint="eastAsia"/>
          <w:lang w:val="en-US" w:eastAsia="zh-CN"/>
        </w:rPr>
        <w:t>BFRQ is</w:t>
      </w:r>
      <w:r w:rsidR="001C7288">
        <w:rPr>
          <w:rFonts w:eastAsia="宋体" w:hint="eastAsia"/>
          <w:lang w:val="en-US" w:eastAsia="zh-CN"/>
        </w:rPr>
        <w:t xml:space="preserve"> received</w:t>
      </w:r>
      <w:r w:rsidR="002C6BC0">
        <w:rPr>
          <w:rFonts w:eastAsia="宋体" w:hint="eastAsia"/>
          <w:lang w:val="en-US" w:eastAsia="zh-CN"/>
        </w:rPr>
        <w:t>.</w:t>
      </w:r>
    </w:p>
    <w:p w14:paraId="1E83ACB6" w14:textId="68AF265C" w:rsidR="00BE6A77" w:rsidRDefault="00805B5D" w:rsidP="006913EA">
      <w:pPr>
        <w:jc w:val="left"/>
        <w:rPr>
          <w:rFonts w:eastAsia="宋体"/>
          <w:lang w:val="en-US" w:eastAsia="zh-CN"/>
        </w:rPr>
      </w:pPr>
      <w:r>
        <w:rPr>
          <w:rFonts w:eastAsia="宋体" w:hint="eastAsia"/>
          <w:lang w:val="en-US" w:eastAsia="zh-CN"/>
        </w:rPr>
        <w:t xml:space="preserve">It is possible that there is </w:t>
      </w:r>
      <w:r w:rsidR="008B1AF5">
        <w:rPr>
          <w:rFonts w:eastAsia="宋体" w:hint="eastAsia"/>
          <w:lang w:val="en-US" w:eastAsia="zh-CN"/>
        </w:rPr>
        <w:t xml:space="preserve">already </w:t>
      </w:r>
      <w:r>
        <w:rPr>
          <w:rFonts w:eastAsia="宋体" w:hint="eastAsia"/>
          <w:lang w:val="en-US" w:eastAsia="zh-CN"/>
        </w:rPr>
        <w:t>a DCI pending for transmission in the gNB when receiving the BFRQ</w:t>
      </w:r>
      <w:r w:rsidR="00870DF7">
        <w:rPr>
          <w:rFonts w:eastAsia="宋体" w:hint="eastAsia"/>
          <w:lang w:val="en-US" w:eastAsia="zh-CN"/>
        </w:rPr>
        <w:t xml:space="preserve">. Furthermore, in case of BFRQ </w:t>
      </w:r>
      <w:r w:rsidR="00870DF7">
        <w:rPr>
          <w:rFonts w:eastAsia="宋体"/>
          <w:lang w:val="en-US" w:eastAsia="zh-CN"/>
        </w:rPr>
        <w:t>retransmission</w:t>
      </w:r>
      <w:r w:rsidR="00870DF7">
        <w:rPr>
          <w:rFonts w:eastAsia="宋体" w:hint="eastAsia"/>
          <w:lang w:val="en-US" w:eastAsia="zh-CN"/>
        </w:rPr>
        <w:t xml:space="preserve">, it is possible that a DCI </w:t>
      </w:r>
      <w:r w:rsidR="002C6BC0">
        <w:rPr>
          <w:rFonts w:eastAsia="宋体" w:hint="eastAsia"/>
          <w:lang w:val="en-US" w:eastAsia="zh-CN"/>
        </w:rPr>
        <w:t>was</w:t>
      </w:r>
      <w:r w:rsidR="00870DF7">
        <w:rPr>
          <w:rFonts w:eastAsia="宋体" w:hint="eastAsia"/>
          <w:lang w:val="en-US" w:eastAsia="zh-CN"/>
        </w:rPr>
        <w:t xml:space="preserve"> transmitted using the serving control beam/CORESET after the first transmission of BFRQ but before the successful reception of the </w:t>
      </w:r>
      <w:r w:rsidR="00DE3DE1">
        <w:rPr>
          <w:rFonts w:eastAsia="宋体" w:hint="eastAsia"/>
          <w:lang w:val="en-US" w:eastAsia="zh-CN"/>
        </w:rPr>
        <w:t xml:space="preserve">(retransmitted) </w:t>
      </w:r>
      <w:r w:rsidR="00870DF7">
        <w:rPr>
          <w:rFonts w:eastAsia="宋体" w:hint="eastAsia"/>
          <w:lang w:val="en-US" w:eastAsia="zh-CN"/>
        </w:rPr>
        <w:t xml:space="preserve">BFRQ. In such cases it is desirable to </w:t>
      </w:r>
      <w:r w:rsidR="00DE3DE1">
        <w:rPr>
          <w:rFonts w:eastAsia="宋体" w:hint="eastAsia"/>
          <w:lang w:val="en-US" w:eastAsia="zh-CN"/>
        </w:rPr>
        <w:t xml:space="preserve">transmit the </w:t>
      </w:r>
      <w:r w:rsidR="00870DF7">
        <w:rPr>
          <w:rFonts w:eastAsia="宋体" w:hint="eastAsia"/>
          <w:lang w:val="en-US" w:eastAsia="zh-CN"/>
        </w:rPr>
        <w:t xml:space="preserve">pending DCI </w:t>
      </w:r>
      <w:r w:rsidR="00DE3DE1">
        <w:rPr>
          <w:rFonts w:eastAsia="宋体" w:hint="eastAsia"/>
          <w:lang w:val="en-US" w:eastAsia="zh-CN"/>
        </w:rPr>
        <w:t xml:space="preserve">as soon as possible, e.g. in the same slot. </w:t>
      </w:r>
      <w:r w:rsidR="00BE6A77">
        <w:rPr>
          <w:rFonts w:eastAsia="宋体" w:hint="eastAsia"/>
          <w:lang w:val="en-US" w:eastAsia="zh-CN"/>
        </w:rPr>
        <w:t>There are a few alternatives,</w:t>
      </w:r>
    </w:p>
    <w:p w14:paraId="225F8EB6" w14:textId="62B2F674" w:rsidR="00BE6A77" w:rsidRDefault="00BE6A77" w:rsidP="00BE6A77">
      <w:pPr>
        <w:pStyle w:val="RAN1bullet1"/>
        <w:spacing w:after="100" w:afterAutospacing="1"/>
        <w:ind w:left="714" w:hanging="357"/>
        <w:rPr>
          <w:rFonts w:ascii="Times New Roman" w:eastAsia="宋体" w:hAnsi="Times New Roman"/>
          <w:sz w:val="24"/>
          <w:lang w:val="en-US" w:eastAsia="zh-CN"/>
        </w:rPr>
      </w:pPr>
      <w:r w:rsidRPr="00BE6A77">
        <w:rPr>
          <w:rFonts w:ascii="Times New Roman" w:eastAsia="宋体" w:hAnsi="Times New Roman"/>
          <w:sz w:val="24"/>
          <w:lang w:val="en-US" w:eastAsia="zh-CN"/>
        </w:rPr>
        <w:t>Alt-1</w:t>
      </w:r>
      <w:r>
        <w:rPr>
          <w:rFonts w:ascii="Times New Roman" w:eastAsia="宋体" w:hAnsi="Times New Roman" w:hint="eastAsia"/>
          <w:sz w:val="24"/>
          <w:lang w:val="en-US" w:eastAsia="zh-CN"/>
        </w:rPr>
        <w:t xml:space="preserve">: </w:t>
      </w:r>
      <w:r w:rsidR="00E763CB">
        <w:rPr>
          <w:rFonts w:ascii="Times New Roman" w:eastAsia="宋体" w:hAnsi="Times New Roman" w:hint="eastAsia"/>
          <w:sz w:val="24"/>
          <w:lang w:val="en-US" w:eastAsia="zh-CN"/>
        </w:rPr>
        <w:t xml:space="preserve">The UE monitors the </w:t>
      </w:r>
      <w:r w:rsidR="00E763CB">
        <w:rPr>
          <w:rFonts w:ascii="Times New Roman" w:eastAsia="宋体" w:hAnsi="Times New Roman"/>
          <w:sz w:val="24"/>
          <w:lang w:val="en-US" w:eastAsia="zh-CN"/>
        </w:rPr>
        <w:t>“</w:t>
      </w:r>
      <w:r w:rsidR="00E763CB">
        <w:rPr>
          <w:rFonts w:ascii="Times New Roman" w:eastAsia="宋体" w:hAnsi="Times New Roman" w:hint="eastAsia"/>
          <w:sz w:val="24"/>
          <w:lang w:val="en-US" w:eastAsia="zh-CN"/>
        </w:rPr>
        <w:t>normal</w:t>
      </w:r>
      <w:r w:rsidR="00E763CB">
        <w:rPr>
          <w:rFonts w:ascii="Times New Roman" w:eastAsia="宋体" w:hAnsi="Times New Roman"/>
          <w:sz w:val="24"/>
          <w:lang w:val="en-US" w:eastAsia="zh-CN"/>
        </w:rPr>
        <w:t>”</w:t>
      </w:r>
      <w:r w:rsidR="00E763CB">
        <w:rPr>
          <w:rFonts w:ascii="Times New Roman" w:eastAsia="宋体" w:hAnsi="Times New Roman" w:hint="eastAsia"/>
          <w:sz w:val="24"/>
          <w:lang w:val="en-US" w:eastAsia="zh-CN"/>
        </w:rPr>
        <w:t xml:space="preserve"> DCIs as well as the </w:t>
      </w:r>
      <w:r w:rsidR="00E763CB">
        <w:rPr>
          <w:rFonts w:ascii="Times New Roman" w:eastAsia="宋体" w:hAnsi="Times New Roman"/>
          <w:sz w:val="24"/>
          <w:lang w:val="en-US" w:eastAsia="zh-CN"/>
        </w:rPr>
        <w:t>“</w:t>
      </w:r>
      <w:r w:rsidR="00E763CB">
        <w:rPr>
          <w:rFonts w:ascii="Times New Roman" w:eastAsia="宋体" w:hAnsi="Times New Roman" w:hint="eastAsia"/>
          <w:sz w:val="24"/>
          <w:lang w:val="en-US" w:eastAsia="zh-CN"/>
        </w:rPr>
        <w:t>response to BFRQ</w:t>
      </w:r>
      <w:r w:rsidR="00E763CB">
        <w:rPr>
          <w:rFonts w:ascii="Times New Roman" w:eastAsia="宋体" w:hAnsi="Times New Roman"/>
          <w:sz w:val="24"/>
          <w:lang w:val="en-US" w:eastAsia="zh-CN"/>
        </w:rPr>
        <w:t>”</w:t>
      </w:r>
      <w:r w:rsidR="00E763CB">
        <w:rPr>
          <w:rFonts w:ascii="Times New Roman" w:eastAsia="宋体" w:hAnsi="Times New Roman" w:hint="eastAsia"/>
          <w:sz w:val="24"/>
          <w:lang w:val="en-US" w:eastAsia="zh-CN"/>
        </w:rPr>
        <w:t xml:space="preserve">. Successful detection of any DCI automatically </w:t>
      </w:r>
      <w:r w:rsidR="00E90352">
        <w:rPr>
          <w:rFonts w:ascii="Times New Roman" w:eastAsia="宋体" w:hAnsi="Times New Roman" w:hint="eastAsia"/>
          <w:sz w:val="24"/>
          <w:lang w:val="en-US" w:eastAsia="zh-CN"/>
        </w:rPr>
        <w:t>acknowledges</w:t>
      </w:r>
      <w:r w:rsidR="00E763CB">
        <w:rPr>
          <w:rFonts w:ascii="Times New Roman" w:eastAsia="宋体" w:hAnsi="Times New Roman" w:hint="eastAsia"/>
          <w:sz w:val="24"/>
          <w:lang w:val="en-US" w:eastAsia="zh-CN"/>
        </w:rPr>
        <w:t xml:space="preserve"> the BFRQ (i.e. no further </w:t>
      </w:r>
      <w:r w:rsidR="00E763CB">
        <w:rPr>
          <w:rFonts w:ascii="Times New Roman" w:eastAsia="宋体" w:hAnsi="Times New Roman"/>
          <w:sz w:val="24"/>
          <w:lang w:val="en-US" w:eastAsia="zh-CN"/>
        </w:rPr>
        <w:t>“</w:t>
      </w:r>
      <w:r w:rsidR="00E763CB">
        <w:rPr>
          <w:rFonts w:ascii="Times New Roman" w:eastAsia="宋体" w:hAnsi="Times New Roman" w:hint="eastAsia"/>
          <w:sz w:val="24"/>
          <w:lang w:val="en-US" w:eastAsia="zh-CN"/>
        </w:rPr>
        <w:t>response to BFRQ</w:t>
      </w:r>
      <w:r w:rsidR="00E763CB">
        <w:rPr>
          <w:rFonts w:ascii="Times New Roman" w:eastAsia="宋体" w:hAnsi="Times New Roman"/>
          <w:sz w:val="24"/>
          <w:lang w:val="en-US" w:eastAsia="zh-CN"/>
        </w:rPr>
        <w:t>”</w:t>
      </w:r>
      <w:r w:rsidR="00E763CB">
        <w:rPr>
          <w:rFonts w:ascii="Times New Roman" w:eastAsia="宋体" w:hAnsi="Times New Roman" w:hint="eastAsia"/>
          <w:sz w:val="24"/>
          <w:lang w:val="en-US" w:eastAsia="zh-CN"/>
        </w:rPr>
        <w:t xml:space="preserve"> is necessary). This is applicable for the case where there is a pending DCI and no information needs to be conveyed in the </w:t>
      </w:r>
      <w:r w:rsidR="00E763CB">
        <w:rPr>
          <w:rFonts w:ascii="Times New Roman" w:eastAsia="宋体" w:hAnsi="Times New Roman"/>
          <w:sz w:val="24"/>
          <w:lang w:val="en-US" w:eastAsia="zh-CN"/>
        </w:rPr>
        <w:t>“</w:t>
      </w:r>
      <w:r w:rsidR="00E763CB">
        <w:rPr>
          <w:rFonts w:ascii="Times New Roman" w:eastAsia="宋体" w:hAnsi="Times New Roman" w:hint="eastAsia"/>
          <w:sz w:val="24"/>
          <w:lang w:val="en-US" w:eastAsia="zh-CN"/>
        </w:rPr>
        <w:t>response to BFRQ</w:t>
      </w:r>
      <w:r w:rsidR="00E763CB">
        <w:rPr>
          <w:rFonts w:ascii="Times New Roman" w:eastAsia="宋体" w:hAnsi="Times New Roman"/>
          <w:sz w:val="24"/>
          <w:lang w:val="en-US" w:eastAsia="zh-CN"/>
        </w:rPr>
        <w:t>”</w:t>
      </w:r>
      <w:r w:rsidR="00E763CB">
        <w:rPr>
          <w:rFonts w:ascii="Times New Roman" w:eastAsia="宋体" w:hAnsi="Times New Roman" w:hint="eastAsia"/>
          <w:sz w:val="24"/>
          <w:lang w:val="en-US" w:eastAsia="zh-CN"/>
        </w:rPr>
        <w:t>.</w:t>
      </w:r>
    </w:p>
    <w:p w14:paraId="1E4DB82E" w14:textId="3DD20C96" w:rsidR="00E763CB" w:rsidRDefault="00E763CB" w:rsidP="00BE6A77">
      <w:pPr>
        <w:pStyle w:val="RAN1bullet1"/>
        <w:spacing w:after="100" w:afterAutospacing="1"/>
        <w:ind w:left="714" w:hanging="357"/>
        <w:rPr>
          <w:rFonts w:ascii="Times New Roman" w:eastAsia="宋体" w:hAnsi="Times New Roman"/>
          <w:sz w:val="24"/>
          <w:lang w:val="en-US" w:eastAsia="zh-CN"/>
        </w:rPr>
      </w:pPr>
      <w:r>
        <w:rPr>
          <w:rFonts w:ascii="Times New Roman" w:eastAsia="宋体" w:hAnsi="Times New Roman" w:hint="eastAsia"/>
          <w:sz w:val="24"/>
          <w:lang w:val="en-US" w:eastAsia="zh-CN"/>
        </w:rPr>
        <w:t xml:space="preserve">Alt-2: The </w:t>
      </w:r>
      <w:r>
        <w:rPr>
          <w:rFonts w:ascii="Times New Roman" w:eastAsia="宋体" w:hAnsi="Times New Roman"/>
          <w:sz w:val="24"/>
          <w:lang w:val="en-US" w:eastAsia="zh-CN"/>
        </w:rPr>
        <w:t>“</w:t>
      </w:r>
      <w:r>
        <w:rPr>
          <w:rFonts w:ascii="Times New Roman" w:eastAsia="宋体" w:hAnsi="Times New Roman" w:hint="eastAsia"/>
          <w:sz w:val="24"/>
          <w:lang w:val="en-US" w:eastAsia="zh-CN"/>
        </w:rPr>
        <w:t>response to BFRQ</w:t>
      </w:r>
      <w:r>
        <w:rPr>
          <w:rFonts w:ascii="Times New Roman" w:eastAsia="宋体" w:hAnsi="Times New Roman"/>
          <w:sz w:val="24"/>
          <w:lang w:val="en-US" w:eastAsia="zh-CN"/>
        </w:rPr>
        <w:t>”</w:t>
      </w:r>
      <w:r>
        <w:rPr>
          <w:rFonts w:ascii="Times New Roman" w:eastAsia="宋体" w:hAnsi="Times New Roman" w:hint="eastAsia"/>
          <w:sz w:val="24"/>
          <w:lang w:val="en-US" w:eastAsia="zh-CN"/>
        </w:rPr>
        <w:t xml:space="preserve"> </w:t>
      </w:r>
      <w:r w:rsidR="009D1715">
        <w:rPr>
          <w:rFonts w:ascii="Times New Roman" w:eastAsia="宋体" w:hAnsi="Times New Roman" w:hint="eastAsia"/>
          <w:sz w:val="24"/>
          <w:lang w:val="en-US" w:eastAsia="zh-CN"/>
        </w:rPr>
        <w:t xml:space="preserve">contains a field that </w:t>
      </w:r>
      <w:r>
        <w:rPr>
          <w:rFonts w:ascii="Times New Roman" w:eastAsia="宋体" w:hAnsi="Times New Roman" w:hint="eastAsia"/>
          <w:sz w:val="24"/>
          <w:lang w:val="en-US" w:eastAsia="zh-CN"/>
        </w:rPr>
        <w:t xml:space="preserve">indicates </w:t>
      </w:r>
      <w:r w:rsidR="00E90352">
        <w:rPr>
          <w:rFonts w:ascii="Times New Roman" w:eastAsia="宋体" w:hAnsi="Times New Roman" w:hint="eastAsia"/>
          <w:sz w:val="24"/>
          <w:lang w:val="en-US" w:eastAsia="zh-CN"/>
        </w:rPr>
        <w:t xml:space="preserve">the presence of another DCI in the same slot. With this the UE only needs to monitor </w:t>
      </w:r>
      <w:r w:rsidR="00E90352">
        <w:rPr>
          <w:rFonts w:ascii="Times New Roman" w:eastAsia="宋体" w:hAnsi="Times New Roman"/>
          <w:sz w:val="24"/>
          <w:lang w:val="en-US" w:eastAsia="zh-CN"/>
        </w:rPr>
        <w:t>“</w:t>
      </w:r>
      <w:r w:rsidR="00E90352">
        <w:rPr>
          <w:rFonts w:ascii="Times New Roman" w:eastAsia="宋体" w:hAnsi="Times New Roman" w:hint="eastAsia"/>
          <w:sz w:val="24"/>
          <w:lang w:val="en-US" w:eastAsia="zh-CN"/>
        </w:rPr>
        <w:t>response to BFRQ</w:t>
      </w:r>
      <w:r w:rsidR="00E90352">
        <w:rPr>
          <w:rFonts w:ascii="Times New Roman" w:eastAsia="宋体" w:hAnsi="Times New Roman"/>
          <w:sz w:val="24"/>
          <w:lang w:val="en-US" w:eastAsia="zh-CN"/>
        </w:rPr>
        <w:t>”</w:t>
      </w:r>
      <w:r w:rsidR="00E90352">
        <w:rPr>
          <w:rFonts w:ascii="Times New Roman" w:eastAsia="宋体" w:hAnsi="Times New Roman" w:hint="eastAsia"/>
          <w:sz w:val="24"/>
          <w:lang w:val="en-US" w:eastAsia="zh-CN"/>
        </w:rPr>
        <w:t>, significantly reducing the blind decoding effort.</w:t>
      </w:r>
    </w:p>
    <w:p w14:paraId="7C984DEA" w14:textId="29217B21" w:rsidR="007049DF" w:rsidRDefault="009D1715" w:rsidP="006913EA">
      <w:pPr>
        <w:jc w:val="left"/>
        <w:rPr>
          <w:rFonts w:eastAsia="宋体"/>
          <w:lang w:val="en-US" w:eastAsia="zh-CN"/>
        </w:rPr>
      </w:pPr>
      <w:r>
        <w:rPr>
          <w:rFonts w:eastAsia="宋体" w:hint="eastAsia"/>
          <w:lang w:val="en-US" w:eastAsia="zh-CN"/>
        </w:rPr>
        <w:t>It is proposed to support Alt-2</w:t>
      </w:r>
      <w:r w:rsidR="002F201B">
        <w:rPr>
          <w:rFonts w:eastAsia="宋体" w:hint="eastAsia"/>
          <w:lang w:val="en-US" w:eastAsia="zh-CN"/>
        </w:rPr>
        <w:t xml:space="preserve"> in order to achieve low blind decoding complexity during beam failure recovery while not </w:t>
      </w:r>
      <w:r w:rsidR="002F201B">
        <w:rPr>
          <w:rFonts w:eastAsia="宋体"/>
          <w:lang w:val="en-US" w:eastAsia="zh-CN"/>
        </w:rPr>
        <w:t>deferring</w:t>
      </w:r>
      <w:r w:rsidR="002F201B">
        <w:rPr>
          <w:rFonts w:eastAsia="宋体" w:hint="eastAsia"/>
          <w:lang w:val="en-US" w:eastAsia="zh-CN"/>
        </w:rPr>
        <w:t xml:space="preserve"> the delivery of pending DCIs</w:t>
      </w:r>
      <w:r>
        <w:rPr>
          <w:rFonts w:eastAsia="宋体" w:hint="eastAsia"/>
          <w:lang w:val="en-US" w:eastAsia="zh-CN"/>
        </w:rPr>
        <w:t>.</w:t>
      </w:r>
    </w:p>
    <w:p w14:paraId="1A9F555C" w14:textId="42F8638A" w:rsidR="006913EA" w:rsidRDefault="009D1715" w:rsidP="006913EA">
      <w:pPr>
        <w:pStyle w:val="afe"/>
        <w:numPr>
          <w:ilvl w:val="0"/>
          <w:numId w:val="46"/>
        </w:numPr>
        <w:ind w:hangingChars="175"/>
        <w:jc w:val="left"/>
        <w:rPr>
          <w:rFonts w:eastAsia="宋体"/>
          <w:lang w:val="en-US" w:eastAsia="zh-CN"/>
        </w:rPr>
      </w:pPr>
      <w:r>
        <w:rPr>
          <w:rFonts w:eastAsia="宋体" w:hint="eastAsia"/>
          <w:lang w:val="en-US" w:eastAsia="zh-CN"/>
        </w:rPr>
        <w:t xml:space="preserve">The </w:t>
      </w:r>
      <w:r>
        <w:rPr>
          <w:rFonts w:eastAsia="宋体"/>
          <w:lang w:val="en-US" w:eastAsia="zh-CN"/>
        </w:rPr>
        <w:t>“</w:t>
      </w:r>
      <w:r>
        <w:rPr>
          <w:rFonts w:eastAsia="宋体" w:hint="eastAsia"/>
          <w:lang w:val="en-US" w:eastAsia="zh-CN"/>
        </w:rPr>
        <w:t>response to BFRQ</w:t>
      </w:r>
      <w:r>
        <w:rPr>
          <w:rFonts w:eastAsia="宋体"/>
          <w:lang w:val="en-US" w:eastAsia="zh-CN"/>
        </w:rPr>
        <w:t>”</w:t>
      </w:r>
      <w:r>
        <w:rPr>
          <w:rFonts w:eastAsia="宋体" w:hint="eastAsia"/>
          <w:lang w:val="en-US" w:eastAsia="zh-CN"/>
        </w:rPr>
        <w:t xml:space="preserve"> contains a field that indicates the presence of another DCI in the same slot.</w:t>
      </w:r>
    </w:p>
    <w:p w14:paraId="4D47EC92" w14:textId="7BC543BE" w:rsidR="00D36564" w:rsidRDefault="00D36564" w:rsidP="00D36564">
      <w:pPr>
        <w:jc w:val="left"/>
        <w:rPr>
          <w:rFonts w:eastAsia="宋体"/>
          <w:lang w:val="en-US" w:eastAsia="zh-CN"/>
        </w:rPr>
      </w:pPr>
      <w:r>
        <w:rPr>
          <w:rFonts w:eastAsia="宋体" w:hint="eastAsia"/>
          <w:lang w:val="en-US" w:eastAsia="zh-CN"/>
        </w:rPr>
        <w:t xml:space="preserve">Furthermore, the gNB should be able to reject the BFRQ e.g. due to some scheduling considerations, e.g. this would increase the interference to other UEs in the cell. </w:t>
      </w:r>
    </w:p>
    <w:p w14:paraId="5AECC845" w14:textId="7F19DBFD" w:rsidR="00D36564" w:rsidRPr="00395695" w:rsidRDefault="00D36564" w:rsidP="00D36564">
      <w:pPr>
        <w:pStyle w:val="afe"/>
        <w:numPr>
          <w:ilvl w:val="0"/>
          <w:numId w:val="46"/>
        </w:numPr>
        <w:ind w:hangingChars="175"/>
        <w:jc w:val="left"/>
        <w:rPr>
          <w:rFonts w:eastAsia="宋体"/>
          <w:lang w:val="en-US" w:eastAsia="zh-CN"/>
        </w:rPr>
      </w:pPr>
      <w:r>
        <w:rPr>
          <w:rFonts w:eastAsia="宋体" w:hint="eastAsia"/>
          <w:lang w:val="en-US" w:eastAsia="zh-CN"/>
        </w:rPr>
        <w:lastRenderedPageBreak/>
        <w:t xml:space="preserve">The </w:t>
      </w:r>
      <w:r>
        <w:rPr>
          <w:rFonts w:eastAsia="宋体"/>
          <w:lang w:val="en-US" w:eastAsia="zh-CN"/>
        </w:rPr>
        <w:t>“</w:t>
      </w:r>
      <w:r>
        <w:rPr>
          <w:rFonts w:eastAsia="宋体" w:hint="eastAsia"/>
          <w:lang w:val="en-US" w:eastAsia="zh-CN"/>
        </w:rPr>
        <w:t>response to BFRQ</w:t>
      </w:r>
      <w:r>
        <w:rPr>
          <w:rFonts w:eastAsia="宋体"/>
          <w:lang w:val="en-US" w:eastAsia="zh-CN"/>
        </w:rPr>
        <w:t>”</w:t>
      </w:r>
      <w:r>
        <w:rPr>
          <w:rFonts w:eastAsia="宋体" w:hint="eastAsia"/>
          <w:lang w:val="en-US" w:eastAsia="zh-CN"/>
        </w:rPr>
        <w:t xml:space="preserve"> contains a field on whether to confirm or reject the BFRQ.</w:t>
      </w:r>
    </w:p>
    <w:p w14:paraId="38EB6AFB" w14:textId="7BB55C4D" w:rsidR="00C53B39" w:rsidRDefault="00C53B39" w:rsidP="00395695">
      <w:pPr>
        <w:pStyle w:val="20"/>
        <w:tabs>
          <w:tab w:val="clear" w:pos="3261"/>
          <w:tab w:val="num" w:pos="567"/>
        </w:tabs>
        <w:ind w:left="567"/>
        <w:rPr>
          <w:rFonts w:eastAsia="宋体"/>
          <w:lang w:val="en-US" w:eastAsia="zh-CN"/>
        </w:rPr>
      </w:pPr>
      <w:r w:rsidRPr="00395695">
        <w:t>Update</w:t>
      </w:r>
      <w:r>
        <w:rPr>
          <w:rFonts w:eastAsia="宋体" w:hint="eastAsia"/>
          <w:lang w:eastAsia="zh-CN"/>
        </w:rPr>
        <w:t xml:space="preserve"> of </w:t>
      </w:r>
      <w:r w:rsidR="00F53792">
        <w:rPr>
          <w:rFonts w:eastAsia="宋体" w:hint="eastAsia"/>
          <w:lang w:eastAsia="zh-CN"/>
        </w:rPr>
        <w:t>TCI state for PDCCH</w:t>
      </w:r>
    </w:p>
    <w:p w14:paraId="3A73E59E" w14:textId="77777777" w:rsidR="00C53B39" w:rsidRDefault="00C53B39" w:rsidP="00C53B39">
      <w:pPr>
        <w:rPr>
          <w:rFonts w:eastAsia="宋体"/>
          <w:lang w:val="en-US" w:eastAsia="zh-CN"/>
        </w:rPr>
      </w:pPr>
      <w:r>
        <w:rPr>
          <w:rFonts w:eastAsia="宋体" w:hint="eastAsia"/>
          <w:lang w:val="en-US" w:eastAsia="zh-CN"/>
        </w:rPr>
        <w:t>In RAN1#90 th</w:t>
      </w:r>
      <w:r w:rsidRPr="0014090F">
        <w:rPr>
          <w:rFonts w:eastAsia="MS Mincho"/>
          <w:lang w:val="en-US"/>
        </w:rPr>
        <w:t xml:space="preserve">e following </w:t>
      </w:r>
      <w:r>
        <w:rPr>
          <w:rFonts w:eastAsia="宋体" w:hint="eastAsia"/>
          <w:lang w:val="en-US" w:eastAsia="zh-CN"/>
        </w:rPr>
        <w:t>was agreed,</w:t>
      </w:r>
    </w:p>
    <w:p w14:paraId="3E307EC0" w14:textId="77777777" w:rsidR="00F35A32" w:rsidRPr="00D414EB" w:rsidRDefault="00F35A32" w:rsidP="00395695">
      <w:pPr>
        <w:spacing w:after="0" w:afterAutospacing="0"/>
        <w:rPr>
          <w:b/>
          <w:i/>
        </w:rPr>
      </w:pPr>
      <w:r w:rsidRPr="00D414EB">
        <w:rPr>
          <w:b/>
          <w:i/>
          <w:highlight w:val="green"/>
        </w:rPr>
        <w:t>Agreement:</w:t>
      </w:r>
    </w:p>
    <w:p w14:paraId="657B7193" w14:textId="77777777" w:rsidR="00F35A32" w:rsidRPr="00D414EB" w:rsidRDefault="00F35A32" w:rsidP="00395695">
      <w:pPr>
        <w:spacing w:after="0" w:afterAutospacing="0"/>
        <w:rPr>
          <w:i/>
        </w:rPr>
      </w:pPr>
      <w:r w:rsidRPr="00D414EB">
        <w:rPr>
          <w:i/>
        </w:rPr>
        <w:t>The QCL configuration for PDCCH contains the information which provides a reference to a TCI state</w:t>
      </w:r>
    </w:p>
    <w:p w14:paraId="4BC10ED6" w14:textId="77777777" w:rsidR="00F35A32" w:rsidRPr="00D414EB" w:rsidRDefault="00F35A32" w:rsidP="00F35A32">
      <w:pPr>
        <w:numPr>
          <w:ilvl w:val="0"/>
          <w:numId w:val="48"/>
        </w:numPr>
        <w:snapToGrid/>
        <w:spacing w:after="0" w:afterAutospacing="0"/>
        <w:jc w:val="left"/>
        <w:rPr>
          <w:i/>
          <w:lang w:val="en-US" w:eastAsia="x-none"/>
        </w:rPr>
      </w:pPr>
      <w:r w:rsidRPr="00D414EB">
        <w:rPr>
          <w:i/>
          <w:lang w:val="en-US" w:eastAsia="x-none"/>
        </w:rPr>
        <w:t>Alt 1: The QCL configuration/indication is on a per CORESET basis</w:t>
      </w:r>
    </w:p>
    <w:p w14:paraId="4862F9F0" w14:textId="77777777" w:rsidR="00F35A32" w:rsidRPr="00D414EB" w:rsidRDefault="00F35A32" w:rsidP="00F35A32">
      <w:pPr>
        <w:numPr>
          <w:ilvl w:val="1"/>
          <w:numId w:val="48"/>
        </w:numPr>
        <w:snapToGrid/>
        <w:spacing w:after="0" w:afterAutospacing="0"/>
        <w:jc w:val="left"/>
        <w:rPr>
          <w:i/>
          <w:lang w:val="en-US" w:eastAsia="x-none"/>
        </w:rPr>
      </w:pPr>
      <w:r w:rsidRPr="00D414EB">
        <w:rPr>
          <w:i/>
          <w:lang w:val="en-US" w:eastAsia="x-none"/>
        </w:rPr>
        <w:t>The UE applies the QCL assumption on the associated CORESET monitoring occasions. All search space(s) within the CORESET utilize the same QCL.</w:t>
      </w:r>
    </w:p>
    <w:p w14:paraId="181B4FFF" w14:textId="77777777" w:rsidR="00F35A32" w:rsidRPr="00D414EB" w:rsidRDefault="00F35A32" w:rsidP="00F35A32">
      <w:pPr>
        <w:numPr>
          <w:ilvl w:val="0"/>
          <w:numId w:val="48"/>
        </w:numPr>
        <w:snapToGrid/>
        <w:spacing w:after="0" w:afterAutospacing="0"/>
        <w:jc w:val="left"/>
        <w:rPr>
          <w:i/>
          <w:lang w:val="en-US" w:eastAsia="x-none"/>
        </w:rPr>
      </w:pPr>
      <w:r w:rsidRPr="00D414EB">
        <w:rPr>
          <w:i/>
          <w:lang w:val="en-US" w:eastAsia="x-none"/>
        </w:rPr>
        <w:t>Alt 2: The QCL configuration/indication is on a per search space basis</w:t>
      </w:r>
    </w:p>
    <w:p w14:paraId="6AD89B03" w14:textId="77777777" w:rsidR="00F35A32" w:rsidRPr="00D414EB" w:rsidRDefault="00F35A32" w:rsidP="00F35A32">
      <w:pPr>
        <w:numPr>
          <w:ilvl w:val="1"/>
          <w:numId w:val="48"/>
        </w:numPr>
        <w:snapToGrid/>
        <w:spacing w:after="0" w:afterAutospacing="0"/>
        <w:jc w:val="left"/>
        <w:rPr>
          <w:i/>
          <w:lang w:val="en-US" w:eastAsia="x-none"/>
        </w:rPr>
      </w:pPr>
      <w:r w:rsidRPr="00D414EB">
        <w:rPr>
          <w:i/>
          <w:lang w:val="en-US"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12BFB6D5" w14:textId="77777777" w:rsidR="00F35A32" w:rsidRPr="00D414EB" w:rsidRDefault="00F35A32" w:rsidP="00F35A32">
      <w:pPr>
        <w:numPr>
          <w:ilvl w:val="0"/>
          <w:numId w:val="48"/>
        </w:numPr>
        <w:snapToGrid/>
        <w:spacing w:after="0" w:afterAutospacing="0"/>
        <w:jc w:val="left"/>
        <w:rPr>
          <w:i/>
          <w:lang w:val="en-US" w:eastAsia="x-none"/>
        </w:rPr>
      </w:pPr>
      <w:r w:rsidRPr="00D414EB">
        <w:rPr>
          <w:i/>
          <w:lang w:val="en-US" w:eastAsia="x-none"/>
        </w:rPr>
        <w:t>Note: The indication of QCL configuration is done by RRC or RRC + MAC CE (FFS: by DCI)</w:t>
      </w:r>
    </w:p>
    <w:p w14:paraId="5FD5BCDA" w14:textId="77777777" w:rsidR="00F35A32" w:rsidRPr="00D414EB" w:rsidRDefault="00F35A32" w:rsidP="00F35A32">
      <w:pPr>
        <w:rPr>
          <w:rFonts w:eastAsia="宋体"/>
          <w:i/>
          <w:lang w:eastAsia="zh-CN"/>
        </w:rPr>
      </w:pPr>
      <w:r w:rsidRPr="00D414EB">
        <w:rPr>
          <w:i/>
        </w:rPr>
        <w:t>Note: The above options are provided as input to the control channel agenda item discussion</w:t>
      </w:r>
    </w:p>
    <w:p w14:paraId="259B418C" w14:textId="3DA901D8" w:rsidR="00C722C9" w:rsidRPr="00C722C9" w:rsidRDefault="00C722C9" w:rsidP="00F35A32">
      <w:pPr>
        <w:rPr>
          <w:rFonts w:eastAsia="宋体"/>
          <w:lang w:eastAsia="zh-CN"/>
        </w:rPr>
      </w:pPr>
      <w:r>
        <w:rPr>
          <w:rFonts w:eastAsia="宋体" w:hint="eastAsia"/>
          <w:lang w:eastAsia="zh-CN"/>
        </w:rPr>
        <w:t xml:space="preserve">With the response from the gNB, the serving control beam is switched to the new one, so the TCI state for PDCCH should be updated to reference the new QCL configuration which is determined by the DL RS </w:t>
      </w:r>
      <w:r>
        <w:rPr>
          <w:rFonts w:eastAsia="宋体" w:hint="eastAsia"/>
          <w:lang w:val="en-US" w:eastAsia="zh-CN"/>
        </w:rPr>
        <w:t>associated with the PRACH resource for transmission of the BFRQ.</w:t>
      </w:r>
    </w:p>
    <w:p w14:paraId="47BF0406" w14:textId="3656334C" w:rsidR="00F53792" w:rsidRPr="00BB3AAA" w:rsidRDefault="00F53792" w:rsidP="00E77CC0">
      <w:pPr>
        <w:pStyle w:val="afe"/>
        <w:numPr>
          <w:ilvl w:val="0"/>
          <w:numId w:val="46"/>
        </w:numPr>
        <w:spacing w:after="0" w:afterAutospacing="0"/>
        <w:ind w:firstLineChars="0"/>
        <w:jc w:val="left"/>
        <w:rPr>
          <w:rFonts w:eastAsia="宋体"/>
          <w:lang w:val="en-US" w:eastAsia="zh-CN"/>
        </w:rPr>
      </w:pPr>
      <w:r w:rsidRPr="00BB3AAA">
        <w:rPr>
          <w:rFonts w:eastAsia="宋体" w:hint="eastAsia"/>
          <w:lang w:val="en-US" w:eastAsia="zh-CN"/>
        </w:rPr>
        <w:t xml:space="preserve">Upon reception of </w:t>
      </w:r>
      <w:r>
        <w:rPr>
          <w:rFonts w:eastAsia="宋体" w:hint="eastAsia"/>
          <w:lang w:val="en-US" w:eastAsia="zh-CN"/>
        </w:rPr>
        <w:t xml:space="preserve">the gNB response for a BFRQ that confirms the beam selected by the UE, </w:t>
      </w:r>
      <w:r w:rsidRPr="00BB3AAA">
        <w:rPr>
          <w:rFonts w:eastAsia="宋体" w:hint="eastAsia"/>
          <w:lang w:val="en-US" w:eastAsia="zh-CN"/>
        </w:rPr>
        <w:t>the UE shall</w:t>
      </w:r>
      <w:r>
        <w:rPr>
          <w:rFonts w:eastAsia="宋体" w:hint="eastAsia"/>
          <w:lang w:val="en-US" w:eastAsia="zh-CN"/>
        </w:rPr>
        <w:t xml:space="preserve"> update the TCI state</w:t>
      </w:r>
      <w:r w:rsidR="00F35A32">
        <w:rPr>
          <w:rFonts w:eastAsia="宋体" w:hint="eastAsia"/>
          <w:lang w:val="en-US" w:eastAsia="zh-CN"/>
        </w:rPr>
        <w:t xml:space="preserve"> to the one</w:t>
      </w:r>
      <w:r>
        <w:rPr>
          <w:rFonts w:eastAsia="宋体" w:hint="eastAsia"/>
          <w:lang w:val="en-US" w:eastAsia="zh-CN"/>
        </w:rPr>
        <w:t xml:space="preserve"> </w:t>
      </w:r>
      <w:r w:rsidR="00F35A32">
        <w:rPr>
          <w:rFonts w:eastAsia="宋体" w:hint="eastAsia"/>
          <w:lang w:val="en-US" w:eastAsia="zh-CN"/>
        </w:rPr>
        <w:t xml:space="preserve">corresponding to the RS set containing </w:t>
      </w:r>
      <w:r>
        <w:rPr>
          <w:rFonts w:eastAsia="宋体" w:hint="eastAsia"/>
          <w:lang w:val="en-US" w:eastAsia="zh-CN"/>
        </w:rPr>
        <w:t xml:space="preserve">the DL RS </w:t>
      </w:r>
      <w:r w:rsidR="007252E9">
        <w:rPr>
          <w:rFonts w:eastAsia="宋体" w:hint="eastAsia"/>
          <w:lang w:val="en-US" w:eastAsia="zh-CN"/>
        </w:rPr>
        <w:t xml:space="preserve">associated with the </w:t>
      </w:r>
      <w:r w:rsidR="00F35A32">
        <w:rPr>
          <w:rFonts w:eastAsia="宋体" w:hint="eastAsia"/>
          <w:lang w:val="en-US" w:eastAsia="zh-CN"/>
        </w:rPr>
        <w:t xml:space="preserve">PRACH resource for transmission of the </w:t>
      </w:r>
      <w:r w:rsidR="007252E9">
        <w:rPr>
          <w:rFonts w:eastAsia="宋体" w:hint="eastAsia"/>
          <w:lang w:val="en-US" w:eastAsia="zh-CN"/>
        </w:rPr>
        <w:t>BFRQ.</w:t>
      </w:r>
    </w:p>
    <w:p w14:paraId="15D476DD" w14:textId="77777777" w:rsidR="00BA5AE1" w:rsidRPr="0014090F" w:rsidRDefault="00BA5AE1" w:rsidP="00332CF5">
      <w:pPr>
        <w:pStyle w:val="10"/>
        <w:spacing w:after="180"/>
        <w:rPr>
          <w:lang w:val="en-US"/>
        </w:rPr>
      </w:pPr>
      <w:r w:rsidRPr="0014090F">
        <w:rPr>
          <w:lang w:val="en-US"/>
        </w:rPr>
        <w:t>Conclusion</w:t>
      </w:r>
    </w:p>
    <w:p w14:paraId="12E0CB6A" w14:textId="712CC4B9" w:rsidR="00BA5AE1" w:rsidRPr="007E0489" w:rsidRDefault="00BA5AE1" w:rsidP="003971A1">
      <w:pPr>
        <w:rPr>
          <w:rFonts w:eastAsiaTheme="minorEastAsia"/>
          <w:lang w:val="en-US"/>
        </w:rPr>
      </w:pPr>
      <w:r w:rsidRPr="007E0489">
        <w:rPr>
          <w:rFonts w:eastAsiaTheme="minorEastAsia"/>
          <w:lang w:val="en-US"/>
        </w:rPr>
        <w:t xml:space="preserve">In this contribution, we </w:t>
      </w:r>
      <w:r w:rsidR="008D5923">
        <w:rPr>
          <w:rFonts w:eastAsia="宋体" w:hint="eastAsia"/>
          <w:lang w:val="en-US" w:eastAsia="zh-CN"/>
        </w:rPr>
        <w:t xml:space="preserve">share our views on the remaining issues of beam failure recovery mechanism and make </w:t>
      </w:r>
      <w:r w:rsidRPr="007E0489">
        <w:rPr>
          <w:rFonts w:eastAsiaTheme="minorEastAsia"/>
          <w:lang w:val="en-US"/>
        </w:rPr>
        <w:t>the following proposals:</w:t>
      </w:r>
    </w:p>
    <w:p w14:paraId="126F4EE6" w14:textId="047D7570" w:rsidR="009411B1" w:rsidRDefault="009411B1" w:rsidP="00185F77">
      <w:pPr>
        <w:rPr>
          <w:rFonts w:eastAsia="宋体"/>
          <w:lang w:val="en-US" w:eastAsia="zh-CN"/>
        </w:rPr>
      </w:pPr>
    </w:p>
    <w:p w14:paraId="338F47EC" w14:textId="77777777" w:rsidR="006C722D" w:rsidRPr="00395695" w:rsidRDefault="006C722D" w:rsidP="006C722D">
      <w:pPr>
        <w:pStyle w:val="afe"/>
        <w:numPr>
          <w:ilvl w:val="0"/>
          <w:numId w:val="60"/>
        </w:numPr>
        <w:spacing w:after="0" w:afterAutospacing="0"/>
        <w:ind w:firstLineChars="0"/>
        <w:jc w:val="left"/>
        <w:rPr>
          <w:rFonts w:eastAsia="宋体"/>
          <w:lang w:val="en-US" w:eastAsia="zh-CN"/>
        </w:rPr>
      </w:pPr>
      <w:r w:rsidRPr="00395695">
        <w:rPr>
          <w:rFonts w:eastAsia="宋体"/>
          <w:lang w:val="en-US" w:eastAsia="zh-CN"/>
        </w:rPr>
        <w:t>Upon reception of a DCI, the UE shall</w:t>
      </w:r>
    </w:p>
    <w:p w14:paraId="1AC702A7" w14:textId="77777777" w:rsidR="006C722D" w:rsidRPr="00395695" w:rsidRDefault="006C722D" w:rsidP="006C722D">
      <w:pPr>
        <w:numPr>
          <w:ilvl w:val="0"/>
          <w:numId w:val="45"/>
        </w:numPr>
        <w:overflowPunct w:val="0"/>
        <w:autoSpaceDE w:val="0"/>
        <w:autoSpaceDN w:val="0"/>
        <w:adjustRightInd w:val="0"/>
        <w:snapToGrid/>
        <w:spacing w:after="0" w:afterAutospacing="0"/>
        <w:ind w:left="714" w:right="-96" w:hanging="357"/>
        <w:jc w:val="left"/>
        <w:textAlignment w:val="baseline"/>
        <w:rPr>
          <w:lang w:eastAsia="zh-CN"/>
        </w:rPr>
      </w:pPr>
      <w:r w:rsidRPr="007B0403">
        <w:rPr>
          <w:lang w:eastAsia="zh-CN"/>
        </w:rPr>
        <w:t xml:space="preserve">Cancel </w:t>
      </w:r>
      <w:r w:rsidRPr="007B0403">
        <w:rPr>
          <w:rFonts w:eastAsia="宋体" w:hint="eastAsia"/>
          <w:lang w:eastAsia="zh-CN"/>
        </w:rPr>
        <w:t>any</w:t>
      </w:r>
      <w:r w:rsidRPr="007B0403">
        <w:rPr>
          <w:lang w:eastAsia="zh-CN"/>
        </w:rPr>
        <w:t xml:space="preserve"> </w:t>
      </w:r>
      <w:r>
        <w:rPr>
          <w:rFonts w:eastAsia="宋体" w:hint="eastAsia"/>
          <w:lang w:eastAsia="zh-CN"/>
        </w:rPr>
        <w:t>pending</w:t>
      </w:r>
      <w:r w:rsidRPr="007B0403">
        <w:rPr>
          <w:lang w:eastAsia="zh-CN"/>
        </w:rPr>
        <w:t xml:space="preserve"> BFRQ </w:t>
      </w:r>
      <w:r>
        <w:rPr>
          <w:rFonts w:eastAsia="宋体" w:hint="eastAsia"/>
          <w:lang w:eastAsia="zh-CN"/>
        </w:rPr>
        <w:t>(re)</w:t>
      </w:r>
      <w:r w:rsidRPr="007B0403">
        <w:rPr>
          <w:lang w:eastAsia="zh-CN"/>
        </w:rPr>
        <w:t>transmission.</w:t>
      </w:r>
    </w:p>
    <w:p w14:paraId="5FBD72F1" w14:textId="77777777" w:rsidR="006C722D" w:rsidRPr="00DD3B35" w:rsidRDefault="006C722D" w:rsidP="006C722D">
      <w:pPr>
        <w:numPr>
          <w:ilvl w:val="0"/>
          <w:numId w:val="45"/>
        </w:numPr>
        <w:overflowPunct w:val="0"/>
        <w:autoSpaceDE w:val="0"/>
        <w:autoSpaceDN w:val="0"/>
        <w:adjustRightInd w:val="0"/>
        <w:snapToGrid/>
        <w:spacing w:afterLines="50" w:after="180" w:afterAutospacing="0"/>
        <w:ind w:left="714" w:right="-96" w:hanging="357"/>
        <w:jc w:val="left"/>
        <w:textAlignment w:val="baseline"/>
        <w:rPr>
          <w:lang w:eastAsia="zh-CN"/>
        </w:rPr>
      </w:pPr>
      <w:r>
        <w:rPr>
          <w:rFonts w:eastAsia="宋体" w:hint="eastAsia"/>
          <w:lang w:eastAsia="zh-CN"/>
        </w:rPr>
        <w:t>Reset t</w:t>
      </w:r>
      <w:r w:rsidRPr="00395695">
        <w:rPr>
          <w:lang w:eastAsia="zh-CN"/>
        </w:rPr>
        <w:t>he number of consecutive detected beam failure instances.</w:t>
      </w:r>
    </w:p>
    <w:p w14:paraId="426BE4D1" w14:textId="77777777" w:rsidR="006C722D" w:rsidRDefault="006C722D" w:rsidP="006C722D">
      <w:pPr>
        <w:pStyle w:val="afe"/>
        <w:numPr>
          <w:ilvl w:val="0"/>
          <w:numId w:val="60"/>
        </w:numPr>
        <w:spacing w:afterLines="50" w:after="180" w:afterAutospacing="0"/>
        <w:ind w:hangingChars="175"/>
        <w:jc w:val="left"/>
        <w:rPr>
          <w:rFonts w:eastAsia="宋体"/>
          <w:lang w:val="en-US" w:eastAsia="zh-CN"/>
        </w:rPr>
      </w:pPr>
      <w:r>
        <w:rPr>
          <w:rFonts w:eastAsia="宋体" w:hint="eastAsia"/>
          <w:lang w:val="en-US" w:eastAsia="zh-CN"/>
        </w:rPr>
        <w:t xml:space="preserve">The combination of PRACH preamble </w:t>
      </w:r>
      <w:r>
        <w:rPr>
          <w:rFonts w:eastAsia="宋体"/>
          <w:lang w:val="en-US" w:eastAsia="zh-CN"/>
        </w:rPr>
        <w:t>sequence</w:t>
      </w:r>
      <w:r>
        <w:rPr>
          <w:rFonts w:eastAsia="宋体" w:hint="eastAsia"/>
          <w:lang w:val="en-US" w:eastAsia="zh-CN"/>
        </w:rPr>
        <w:t>, frequency location and time location uniquely identify a UE.</w:t>
      </w:r>
    </w:p>
    <w:p w14:paraId="1638A8B5" w14:textId="77777777" w:rsidR="006C722D" w:rsidRDefault="006C722D" w:rsidP="006C722D">
      <w:pPr>
        <w:pStyle w:val="afe"/>
        <w:numPr>
          <w:ilvl w:val="0"/>
          <w:numId w:val="60"/>
        </w:numPr>
        <w:spacing w:after="0" w:afterAutospacing="0"/>
        <w:ind w:firstLineChars="0"/>
        <w:jc w:val="left"/>
        <w:rPr>
          <w:rFonts w:eastAsia="宋体"/>
          <w:lang w:val="en-US" w:eastAsia="zh-CN"/>
        </w:rPr>
      </w:pPr>
      <w:r>
        <w:rPr>
          <w:rFonts w:eastAsia="宋体" w:hint="eastAsia"/>
          <w:lang w:val="en-US" w:eastAsia="zh-CN"/>
        </w:rPr>
        <w:t xml:space="preserve">The dedicated preamble </w:t>
      </w:r>
      <w:r>
        <w:rPr>
          <w:rFonts w:eastAsia="宋体"/>
          <w:lang w:val="en-US" w:eastAsia="zh-CN"/>
        </w:rPr>
        <w:t>configured</w:t>
      </w:r>
      <w:r>
        <w:rPr>
          <w:rFonts w:eastAsia="宋体" w:hint="eastAsia"/>
          <w:lang w:val="en-US" w:eastAsia="zh-CN"/>
        </w:rPr>
        <w:t xml:space="preserve"> to the UE for transmission of BFRQ is also used for the following:</w:t>
      </w:r>
    </w:p>
    <w:p w14:paraId="16ACE0ED" w14:textId="77777777" w:rsidR="006C722D" w:rsidRPr="00395695" w:rsidRDefault="006C722D" w:rsidP="006C722D">
      <w:pPr>
        <w:numPr>
          <w:ilvl w:val="0"/>
          <w:numId w:val="45"/>
        </w:numPr>
        <w:overflowPunct w:val="0"/>
        <w:autoSpaceDE w:val="0"/>
        <w:autoSpaceDN w:val="0"/>
        <w:adjustRightInd w:val="0"/>
        <w:snapToGrid/>
        <w:spacing w:after="0" w:afterAutospacing="0"/>
        <w:ind w:left="714" w:right="-96" w:hanging="357"/>
        <w:jc w:val="left"/>
        <w:textAlignment w:val="baseline"/>
        <w:rPr>
          <w:lang w:eastAsia="zh-CN"/>
        </w:rPr>
      </w:pPr>
      <w:r w:rsidRPr="00395695">
        <w:rPr>
          <w:lang w:eastAsia="zh-CN"/>
        </w:rPr>
        <w:t>SR</w:t>
      </w:r>
    </w:p>
    <w:p w14:paraId="013DAE48" w14:textId="77777777" w:rsidR="006C722D" w:rsidRPr="00BB3AAA" w:rsidRDefault="006C722D" w:rsidP="006C722D">
      <w:pPr>
        <w:numPr>
          <w:ilvl w:val="0"/>
          <w:numId w:val="45"/>
        </w:numPr>
        <w:overflowPunct w:val="0"/>
        <w:autoSpaceDE w:val="0"/>
        <w:autoSpaceDN w:val="0"/>
        <w:adjustRightInd w:val="0"/>
        <w:snapToGrid/>
        <w:spacing w:afterLines="50" w:after="180" w:afterAutospacing="0"/>
        <w:ind w:left="714" w:right="-96" w:hanging="357"/>
        <w:jc w:val="left"/>
        <w:textAlignment w:val="baseline"/>
        <w:rPr>
          <w:rFonts w:eastAsia="宋体"/>
          <w:lang w:val="en-US" w:eastAsia="zh-CN"/>
        </w:rPr>
      </w:pPr>
      <w:r w:rsidRPr="00395695">
        <w:rPr>
          <w:lang w:eastAsia="zh-CN"/>
        </w:rPr>
        <w:t>PRACH in response to PDCCH order.</w:t>
      </w:r>
    </w:p>
    <w:p w14:paraId="6017ABC1" w14:textId="0938A538" w:rsidR="006C722D" w:rsidRPr="006C722D" w:rsidRDefault="006C722D" w:rsidP="006C722D">
      <w:pPr>
        <w:pStyle w:val="afe"/>
        <w:numPr>
          <w:ilvl w:val="0"/>
          <w:numId w:val="60"/>
        </w:numPr>
        <w:spacing w:afterLines="50" w:after="180" w:afterAutospacing="0"/>
        <w:ind w:hangingChars="175"/>
        <w:jc w:val="left"/>
        <w:rPr>
          <w:rFonts w:eastAsia="宋体"/>
          <w:lang w:val="en-US" w:eastAsia="zh-CN"/>
        </w:rPr>
      </w:pPr>
      <w:r w:rsidRPr="008204EE">
        <w:rPr>
          <w:rFonts w:eastAsiaTheme="minorEastAsia"/>
          <w:lang w:val="en-US"/>
        </w:rPr>
        <w:lastRenderedPageBreak/>
        <w:t>UE is configured with either PUCCH or PRACH for beam recovery request transmission</w:t>
      </w:r>
      <w:r>
        <w:rPr>
          <w:rFonts w:eastAsia="宋体" w:hint="eastAsia"/>
          <w:lang w:val="en-US" w:eastAsia="zh-CN"/>
        </w:rPr>
        <w:t>.</w:t>
      </w:r>
    </w:p>
    <w:p w14:paraId="43512E51" w14:textId="77777777" w:rsidR="006C722D" w:rsidRDefault="006C722D" w:rsidP="006C722D">
      <w:pPr>
        <w:pStyle w:val="afe"/>
        <w:numPr>
          <w:ilvl w:val="0"/>
          <w:numId w:val="60"/>
        </w:numPr>
        <w:spacing w:afterLines="50" w:after="180" w:afterAutospacing="0"/>
        <w:ind w:hangingChars="175"/>
        <w:jc w:val="left"/>
        <w:rPr>
          <w:rFonts w:eastAsia="宋体"/>
          <w:lang w:val="en-US" w:eastAsia="zh-CN"/>
        </w:rPr>
      </w:pPr>
      <w:r>
        <w:rPr>
          <w:rFonts w:eastAsia="宋体" w:hint="eastAsia"/>
          <w:lang w:val="en-US" w:eastAsia="zh-CN"/>
        </w:rPr>
        <w:t xml:space="preserve">The </w:t>
      </w:r>
      <w:r>
        <w:rPr>
          <w:rFonts w:eastAsia="宋体"/>
          <w:lang w:val="en-US" w:eastAsia="zh-CN"/>
        </w:rPr>
        <w:t>“</w:t>
      </w:r>
      <w:r>
        <w:rPr>
          <w:rFonts w:eastAsia="宋体" w:hint="eastAsia"/>
          <w:lang w:val="en-US" w:eastAsia="zh-CN"/>
        </w:rPr>
        <w:t>response to BFRQ</w:t>
      </w:r>
      <w:r>
        <w:rPr>
          <w:rFonts w:eastAsia="宋体"/>
          <w:lang w:val="en-US" w:eastAsia="zh-CN"/>
        </w:rPr>
        <w:t>”</w:t>
      </w:r>
      <w:r>
        <w:rPr>
          <w:rFonts w:eastAsia="宋体" w:hint="eastAsia"/>
          <w:lang w:val="en-US" w:eastAsia="zh-CN"/>
        </w:rPr>
        <w:t xml:space="preserve"> contains a field that indicates the presence of another DCI in the same slot.</w:t>
      </w:r>
    </w:p>
    <w:p w14:paraId="460F06D9" w14:textId="77777777" w:rsidR="006C722D" w:rsidRPr="00395695" w:rsidRDefault="006C722D" w:rsidP="006C722D">
      <w:pPr>
        <w:pStyle w:val="afe"/>
        <w:numPr>
          <w:ilvl w:val="0"/>
          <w:numId w:val="60"/>
        </w:numPr>
        <w:spacing w:afterLines="50" w:after="180" w:afterAutospacing="0"/>
        <w:ind w:hangingChars="175"/>
        <w:jc w:val="left"/>
        <w:rPr>
          <w:rFonts w:eastAsia="宋体"/>
          <w:lang w:val="en-US" w:eastAsia="zh-CN"/>
        </w:rPr>
      </w:pPr>
      <w:r>
        <w:rPr>
          <w:rFonts w:eastAsia="宋体" w:hint="eastAsia"/>
          <w:lang w:val="en-US" w:eastAsia="zh-CN"/>
        </w:rPr>
        <w:t xml:space="preserve">The </w:t>
      </w:r>
      <w:r>
        <w:rPr>
          <w:rFonts w:eastAsia="宋体"/>
          <w:lang w:val="en-US" w:eastAsia="zh-CN"/>
        </w:rPr>
        <w:t>“</w:t>
      </w:r>
      <w:r>
        <w:rPr>
          <w:rFonts w:eastAsia="宋体" w:hint="eastAsia"/>
          <w:lang w:val="en-US" w:eastAsia="zh-CN"/>
        </w:rPr>
        <w:t>response to BFRQ</w:t>
      </w:r>
      <w:r>
        <w:rPr>
          <w:rFonts w:eastAsia="宋体"/>
          <w:lang w:val="en-US" w:eastAsia="zh-CN"/>
        </w:rPr>
        <w:t>”</w:t>
      </w:r>
      <w:r>
        <w:rPr>
          <w:rFonts w:eastAsia="宋体" w:hint="eastAsia"/>
          <w:lang w:val="en-US" w:eastAsia="zh-CN"/>
        </w:rPr>
        <w:t xml:space="preserve"> contains a field on whether to confirm or reject the BFRQ.</w:t>
      </w:r>
    </w:p>
    <w:p w14:paraId="781E686E" w14:textId="77777777" w:rsidR="006C722D" w:rsidRPr="00BB3AAA" w:rsidRDefault="006C722D" w:rsidP="006C722D">
      <w:pPr>
        <w:pStyle w:val="afe"/>
        <w:numPr>
          <w:ilvl w:val="0"/>
          <w:numId w:val="60"/>
        </w:numPr>
        <w:spacing w:afterLines="50" w:after="180" w:afterAutospacing="0"/>
        <w:ind w:hangingChars="175"/>
        <w:jc w:val="left"/>
        <w:rPr>
          <w:rFonts w:eastAsia="宋体"/>
          <w:lang w:val="en-US" w:eastAsia="zh-CN"/>
        </w:rPr>
      </w:pPr>
      <w:r w:rsidRPr="00BB3AAA">
        <w:rPr>
          <w:rFonts w:eastAsia="宋体" w:hint="eastAsia"/>
          <w:lang w:val="en-US" w:eastAsia="zh-CN"/>
        </w:rPr>
        <w:t xml:space="preserve">Upon reception of </w:t>
      </w:r>
      <w:r>
        <w:rPr>
          <w:rFonts w:eastAsia="宋体" w:hint="eastAsia"/>
          <w:lang w:val="en-US" w:eastAsia="zh-CN"/>
        </w:rPr>
        <w:t xml:space="preserve">the gNB response for a BFRQ that confirms the beam selected by the UE, </w:t>
      </w:r>
      <w:r w:rsidRPr="00BB3AAA">
        <w:rPr>
          <w:rFonts w:eastAsia="宋体" w:hint="eastAsia"/>
          <w:lang w:val="en-US" w:eastAsia="zh-CN"/>
        </w:rPr>
        <w:t>the UE shall</w:t>
      </w:r>
      <w:r>
        <w:rPr>
          <w:rFonts w:eastAsia="宋体" w:hint="eastAsia"/>
          <w:lang w:val="en-US" w:eastAsia="zh-CN"/>
        </w:rPr>
        <w:t xml:space="preserve"> update the TCI state to the one corresponding to the RS set containing the DL RS associated with the PRACH resource for transmission of the BFRQ.</w:t>
      </w:r>
    </w:p>
    <w:bookmarkEnd w:id="5"/>
    <w:p w14:paraId="17F2A958" w14:textId="77777777" w:rsidR="00D521DD" w:rsidRPr="0014090F" w:rsidRDefault="00D521DD" w:rsidP="00D521DD">
      <w:pPr>
        <w:pStyle w:val="10"/>
        <w:spacing w:after="180"/>
        <w:rPr>
          <w:rStyle w:val="af"/>
          <w:lang w:val="en-US"/>
        </w:rPr>
      </w:pPr>
      <w:r w:rsidRPr="0014090F">
        <w:rPr>
          <w:lang w:val="en-US"/>
        </w:rPr>
        <w:t>References</w:t>
      </w:r>
    </w:p>
    <w:p w14:paraId="5867185C" w14:textId="77777777" w:rsidR="00DD3B35" w:rsidRPr="00DD3B35" w:rsidRDefault="00DD3B35" w:rsidP="00DD3B35">
      <w:pPr>
        <w:pStyle w:val="textintend2"/>
        <w:spacing w:after="0"/>
      </w:pPr>
      <w:r w:rsidRPr="00DD3B35">
        <w:t>Draft R</w:t>
      </w:r>
      <w:r>
        <w:t>eport of 3GPP TSG RAN WG1 #90</w:t>
      </w:r>
      <w:r>
        <w:rPr>
          <w:rFonts w:eastAsia="宋体" w:hint="eastAsia"/>
          <w:lang w:eastAsia="zh-CN"/>
        </w:rPr>
        <w:t>.</w:t>
      </w:r>
    </w:p>
    <w:p w14:paraId="1E135A17" w14:textId="65766ACD" w:rsidR="00DD3B35" w:rsidRPr="00DD3B35" w:rsidRDefault="00DD3B35" w:rsidP="00DD3B35">
      <w:pPr>
        <w:pStyle w:val="textintend2"/>
        <w:spacing w:after="0"/>
      </w:pPr>
      <w:r w:rsidRPr="00DD3B35">
        <w:t>Draf</w:t>
      </w:r>
      <w:r>
        <w:t>t Report of 3GPP TSG RAN WG1 #AH_NR3</w:t>
      </w:r>
      <w:r>
        <w:rPr>
          <w:rFonts w:eastAsia="宋体" w:hint="eastAsia"/>
          <w:lang w:eastAsia="zh-CN"/>
        </w:rPr>
        <w:t>.</w:t>
      </w:r>
    </w:p>
    <w:p w14:paraId="577B96E2" w14:textId="1E5E0C87" w:rsidR="00DD3B35" w:rsidRPr="00DD3B35" w:rsidRDefault="00DD3B35" w:rsidP="00DD3B35">
      <w:pPr>
        <w:pStyle w:val="textintend2"/>
        <w:spacing w:after="0"/>
      </w:pPr>
      <w:r w:rsidRPr="00DD3B35">
        <w:t>Draft Report of 3GPP TSG RAN WG1 #90bis</w:t>
      </w:r>
      <w:r>
        <w:rPr>
          <w:rFonts w:eastAsia="宋体" w:hint="eastAsia"/>
          <w:lang w:eastAsia="zh-CN"/>
        </w:rPr>
        <w:t>.</w:t>
      </w:r>
    </w:p>
    <w:sectPr w:rsidR="00DD3B35" w:rsidRPr="00DD3B35"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CB281" w14:textId="77777777" w:rsidR="00F746AF" w:rsidRDefault="00F746AF">
      <w:r>
        <w:separator/>
      </w:r>
    </w:p>
  </w:endnote>
  <w:endnote w:type="continuationSeparator" w:id="0">
    <w:p w14:paraId="6613C27D" w14:textId="77777777" w:rsidR="00F746AF" w:rsidRDefault="00F7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81F03" w14:textId="77777777" w:rsidR="007B0403" w:rsidRDefault="007B0403">
    <w:pPr>
      <w:pStyle w:val="aa"/>
      <w:jc w:val="center"/>
    </w:pPr>
    <w:r>
      <w:rPr>
        <w:b/>
      </w:rPr>
      <w:fldChar w:fldCharType="begin"/>
    </w:r>
    <w:r>
      <w:rPr>
        <w:b/>
      </w:rPr>
      <w:instrText>PAGE</w:instrText>
    </w:r>
    <w:r>
      <w:rPr>
        <w:b/>
      </w:rPr>
      <w:fldChar w:fldCharType="separate"/>
    </w:r>
    <w:r w:rsidR="006363E2">
      <w:rPr>
        <w:b/>
        <w:noProof/>
      </w:rPr>
      <w:t>1</w:t>
    </w:r>
    <w:r>
      <w:rPr>
        <w:b/>
      </w:rPr>
      <w:fldChar w:fldCharType="end"/>
    </w:r>
  </w:p>
  <w:p w14:paraId="501A83DD" w14:textId="77777777" w:rsidR="007B0403" w:rsidRDefault="007B040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8065C" w14:textId="77777777" w:rsidR="00F746AF" w:rsidRDefault="00F746AF">
      <w:r>
        <w:separator/>
      </w:r>
    </w:p>
  </w:footnote>
  <w:footnote w:type="continuationSeparator" w:id="0">
    <w:p w14:paraId="671B9473" w14:textId="77777777" w:rsidR="00F746AF" w:rsidRDefault="00F746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2">
    <w:nsid w:val="03D815BA"/>
    <w:multiLevelType w:val="hybridMultilevel"/>
    <w:tmpl w:val="4574EDF6"/>
    <w:lvl w:ilvl="0" w:tplc="EA6A8074">
      <w:start w:val="1"/>
      <w:numFmt w:val="decimal"/>
      <w:suff w:val="space"/>
      <w:lvlText w:val="Proposal %1:"/>
      <w:lvlJc w:val="left"/>
      <w:pPr>
        <w:ind w:left="420" w:hanging="420"/>
      </w:pPr>
      <w:rPr>
        <w:rFonts w:ascii="Times New Roman" w:hAnsi="Times New Roman" w:hint="default"/>
        <w:b/>
        <w:i w:val="0"/>
        <w:sz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nsid w:val="08D63D2C"/>
    <w:multiLevelType w:val="hybridMultilevel"/>
    <w:tmpl w:val="9C18ACDC"/>
    <w:lvl w:ilvl="0" w:tplc="62D64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nsid w:val="0F9E5B5D"/>
    <w:multiLevelType w:val="hybridMultilevel"/>
    <w:tmpl w:val="4C060046"/>
    <w:lvl w:ilvl="0" w:tplc="5F4C76C2">
      <w:start w:val="1"/>
      <w:numFmt w:val="bullet"/>
      <w:lvlText w:val="·"/>
      <w:lvlJc w:val="left"/>
      <w:pPr>
        <w:ind w:left="720" w:hanging="360"/>
      </w:pPr>
      <w:rPr>
        <w:rFonts w:ascii="宋体" w:eastAsia="宋体" w:hAnsi="宋体" w:hint="eastAsia"/>
      </w:rPr>
    </w:lvl>
    <w:lvl w:ilvl="1" w:tplc="1F54609C">
      <w:start w:val="1"/>
      <w:numFmt w:val="bullet"/>
      <w:lvlText w:val="o"/>
      <w:lvlJc w:val="left"/>
      <w:pPr>
        <w:ind w:left="1069" w:hanging="360"/>
      </w:pPr>
      <w:rPr>
        <w:rFonts w:ascii="Courier New" w:hAnsi="Courier New" w:hint="default"/>
        <w:sz w:val="18"/>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2">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13">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7">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9">
    <w:nsid w:val="24825815"/>
    <w:multiLevelType w:val="hybridMultilevel"/>
    <w:tmpl w:val="B3D80592"/>
    <w:lvl w:ilvl="0" w:tplc="2228E4A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21">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22">
    <w:nsid w:val="3A7C7814"/>
    <w:multiLevelType w:val="hybridMultilevel"/>
    <w:tmpl w:val="58D43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F0E2B18"/>
    <w:multiLevelType w:val="hybridMultilevel"/>
    <w:tmpl w:val="3848A70A"/>
    <w:lvl w:ilvl="0" w:tplc="A768B318">
      <w:start w:val="1"/>
      <w:numFmt w:val="decimal"/>
      <w:suff w:val="space"/>
      <w:lvlText w:val="Observation %1:"/>
      <w:lvlJc w:val="left"/>
      <w:pPr>
        <w:ind w:left="420" w:hanging="420"/>
      </w:pPr>
      <w:rPr>
        <w:rFonts w:ascii="Times New Roman" w:hAnsi="Times New Roman" w:hint="default"/>
        <w:b/>
        <w:i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31">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4144AE7"/>
    <w:multiLevelType w:val="hybridMultilevel"/>
    <w:tmpl w:val="83305B5A"/>
    <w:lvl w:ilvl="0" w:tplc="EA6A8074">
      <w:start w:val="1"/>
      <w:numFmt w:val="decimal"/>
      <w:suff w:val="space"/>
      <w:lvlText w:val="Proposal %1:"/>
      <w:lvlJc w:val="left"/>
      <w:pPr>
        <w:ind w:left="420" w:hanging="420"/>
      </w:pPr>
      <w:rPr>
        <w:rFonts w:ascii="Times New Roman" w:hAnsi="Times New Roman" w:hint="default"/>
        <w:b/>
        <w:i w:val="0"/>
        <w:sz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57702BE"/>
    <w:multiLevelType w:val="hybridMultilevel"/>
    <w:tmpl w:val="CF86CCC0"/>
    <w:lvl w:ilvl="0" w:tplc="5F4C76C2">
      <w:start w:val="1"/>
      <w:numFmt w:val="bullet"/>
      <w:lvlText w:val="·"/>
      <w:lvlJc w:val="left"/>
      <w:pPr>
        <w:ind w:left="420" w:hanging="420"/>
      </w:pPr>
      <w:rPr>
        <w:rFonts w:ascii="宋体" w:eastAsia="宋体" w:hAnsi="宋体"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5">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6">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7">
    <w:nsid w:val="637720E6"/>
    <w:multiLevelType w:val="hybridMultilevel"/>
    <w:tmpl w:val="AB36D4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9">
    <w:nsid w:val="660B0506"/>
    <w:multiLevelType w:val="hybridMultilevel"/>
    <w:tmpl w:val="ED522C38"/>
    <w:lvl w:ilvl="0" w:tplc="E65280B2">
      <w:start w:val="1"/>
      <w:numFmt w:val="bullet"/>
      <w:lvlText w:val=""/>
      <w:lvlJc w:val="left"/>
      <w:pPr>
        <w:tabs>
          <w:tab w:val="num" w:pos="720"/>
        </w:tabs>
        <w:ind w:left="720" w:hanging="360"/>
      </w:pPr>
      <w:rPr>
        <w:rFonts w:ascii="Wingdings" w:hAnsi="Wingdings" w:hint="default"/>
      </w:rPr>
    </w:lvl>
    <w:lvl w:ilvl="1" w:tplc="D250DB5C">
      <w:start w:val="1"/>
      <w:numFmt w:val="bullet"/>
      <w:lvlText w:val=""/>
      <w:lvlJc w:val="left"/>
      <w:pPr>
        <w:tabs>
          <w:tab w:val="num" w:pos="1440"/>
        </w:tabs>
        <w:ind w:left="1440" w:hanging="360"/>
      </w:pPr>
      <w:rPr>
        <w:rFonts w:ascii="Wingdings" w:hAnsi="Wingdings" w:hint="default"/>
      </w:rPr>
    </w:lvl>
    <w:lvl w:ilvl="2" w:tplc="ED16FDAC">
      <w:numFmt w:val="bullet"/>
      <w:lvlText w:val=""/>
      <w:lvlJc w:val="left"/>
      <w:pPr>
        <w:tabs>
          <w:tab w:val="num" w:pos="2160"/>
        </w:tabs>
        <w:ind w:left="2160" w:hanging="360"/>
      </w:pPr>
      <w:rPr>
        <w:rFonts w:ascii="Wingdings" w:hAnsi="Wingdings" w:hint="default"/>
      </w:rPr>
    </w:lvl>
    <w:lvl w:ilvl="3" w:tplc="418282FC" w:tentative="1">
      <w:start w:val="1"/>
      <w:numFmt w:val="bullet"/>
      <w:lvlText w:val=""/>
      <w:lvlJc w:val="left"/>
      <w:pPr>
        <w:tabs>
          <w:tab w:val="num" w:pos="2880"/>
        </w:tabs>
        <w:ind w:left="2880" w:hanging="360"/>
      </w:pPr>
      <w:rPr>
        <w:rFonts w:ascii="Wingdings" w:hAnsi="Wingdings" w:hint="default"/>
      </w:rPr>
    </w:lvl>
    <w:lvl w:ilvl="4" w:tplc="6308B382" w:tentative="1">
      <w:start w:val="1"/>
      <w:numFmt w:val="bullet"/>
      <w:lvlText w:val=""/>
      <w:lvlJc w:val="left"/>
      <w:pPr>
        <w:tabs>
          <w:tab w:val="num" w:pos="3600"/>
        </w:tabs>
        <w:ind w:left="3600" w:hanging="360"/>
      </w:pPr>
      <w:rPr>
        <w:rFonts w:ascii="Wingdings" w:hAnsi="Wingdings" w:hint="default"/>
      </w:rPr>
    </w:lvl>
    <w:lvl w:ilvl="5" w:tplc="010C6274" w:tentative="1">
      <w:start w:val="1"/>
      <w:numFmt w:val="bullet"/>
      <w:lvlText w:val=""/>
      <w:lvlJc w:val="left"/>
      <w:pPr>
        <w:tabs>
          <w:tab w:val="num" w:pos="4320"/>
        </w:tabs>
        <w:ind w:left="4320" w:hanging="360"/>
      </w:pPr>
      <w:rPr>
        <w:rFonts w:ascii="Wingdings" w:hAnsi="Wingdings" w:hint="default"/>
      </w:rPr>
    </w:lvl>
    <w:lvl w:ilvl="6" w:tplc="87181EB2" w:tentative="1">
      <w:start w:val="1"/>
      <w:numFmt w:val="bullet"/>
      <w:lvlText w:val=""/>
      <w:lvlJc w:val="left"/>
      <w:pPr>
        <w:tabs>
          <w:tab w:val="num" w:pos="5040"/>
        </w:tabs>
        <w:ind w:left="5040" w:hanging="360"/>
      </w:pPr>
      <w:rPr>
        <w:rFonts w:ascii="Wingdings" w:hAnsi="Wingdings" w:hint="default"/>
      </w:rPr>
    </w:lvl>
    <w:lvl w:ilvl="7" w:tplc="1182247A" w:tentative="1">
      <w:start w:val="1"/>
      <w:numFmt w:val="bullet"/>
      <w:lvlText w:val=""/>
      <w:lvlJc w:val="left"/>
      <w:pPr>
        <w:tabs>
          <w:tab w:val="num" w:pos="5760"/>
        </w:tabs>
        <w:ind w:left="5760" w:hanging="360"/>
      </w:pPr>
      <w:rPr>
        <w:rFonts w:ascii="Wingdings" w:hAnsi="Wingdings" w:hint="default"/>
      </w:rPr>
    </w:lvl>
    <w:lvl w:ilvl="8" w:tplc="B270168A" w:tentative="1">
      <w:start w:val="1"/>
      <w:numFmt w:val="bullet"/>
      <w:lvlText w:val=""/>
      <w:lvlJc w:val="left"/>
      <w:pPr>
        <w:tabs>
          <w:tab w:val="num" w:pos="6480"/>
        </w:tabs>
        <w:ind w:left="6480" w:hanging="360"/>
      </w:pPr>
      <w:rPr>
        <w:rFonts w:ascii="Wingdings" w:hAnsi="Wingdings" w:hint="default"/>
      </w:rPr>
    </w:lvl>
  </w:abstractNum>
  <w:abstractNum w:abstractNumId="4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41">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42">
    <w:nsid w:val="703157D4"/>
    <w:multiLevelType w:val="multilevel"/>
    <w:tmpl w:val="DE20FFE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6">
    <w:nsid w:val="77E56CD1"/>
    <w:multiLevelType w:val="multilevel"/>
    <w:tmpl w:val="02CA5FAE"/>
    <w:lvl w:ilvl="0">
      <w:start w:val="1"/>
      <w:numFmt w:val="bullet"/>
      <w:lvlText w:val=""/>
      <w:lvlJc w:val="left"/>
      <w:pPr>
        <w:ind w:left="720" w:hanging="360"/>
      </w:pPr>
      <w:rPr>
        <w:rFonts w:ascii="Symbol" w:hAnsi="Symbol" w:hint="default"/>
      </w:rPr>
    </w:lvl>
    <w:lvl w:ilvl="1">
      <w:numFmt w:val="bullet"/>
      <w:lvlText w:val=""/>
      <w:lvlJc w:val="left"/>
      <w:pPr>
        <w:ind w:left="888" w:hanging="528"/>
      </w:pPr>
      <w:rPr>
        <w:rFonts w:ascii="Wingdings" w:eastAsia="宋体" w:hAnsi="Wingdings"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42"/>
  </w:num>
  <w:num w:numId="2">
    <w:abstractNumId w:val="7"/>
  </w:num>
  <w:num w:numId="3">
    <w:abstractNumId w:val="18"/>
  </w:num>
  <w:num w:numId="4">
    <w:abstractNumId w:val="43"/>
  </w:num>
  <w:num w:numId="5">
    <w:abstractNumId w:val="28"/>
  </w:num>
  <w:num w:numId="6">
    <w:abstractNumId w:val="29"/>
  </w:num>
  <w:num w:numId="7">
    <w:abstractNumId w:val="26"/>
  </w:num>
  <w:num w:numId="8">
    <w:abstractNumId w:val="6"/>
  </w:num>
  <w:num w:numId="9">
    <w:abstractNumId w:val="48"/>
  </w:num>
  <w:num w:numId="10">
    <w:abstractNumId w:val="25"/>
  </w:num>
  <w:num w:numId="11">
    <w:abstractNumId w:val="35"/>
  </w:num>
  <w:num w:numId="12">
    <w:abstractNumId w:val="33"/>
  </w:num>
  <w:num w:numId="13">
    <w:abstractNumId w:val="15"/>
  </w:num>
  <w:num w:numId="14">
    <w:abstractNumId w:val="31"/>
  </w:num>
  <w:num w:numId="15">
    <w:abstractNumId w:val="27"/>
  </w:num>
  <w:num w:numId="16">
    <w:abstractNumId w:val="4"/>
  </w:num>
  <w:num w:numId="17">
    <w:abstractNumId w:val="40"/>
  </w:num>
  <w:num w:numId="18">
    <w:abstractNumId w:val="30"/>
  </w:num>
  <w:num w:numId="19">
    <w:abstractNumId w:val="9"/>
  </w:num>
  <w:num w:numId="20">
    <w:abstractNumId w:val="13"/>
  </w:num>
  <w:num w:numId="21">
    <w:abstractNumId w:val="47"/>
  </w:num>
  <w:num w:numId="22">
    <w:abstractNumId w:val="16"/>
  </w:num>
  <w:num w:numId="23">
    <w:abstractNumId w:val="14"/>
  </w:num>
  <w:num w:numId="24">
    <w:abstractNumId w:val="11"/>
  </w:num>
  <w:num w:numId="25">
    <w:abstractNumId w:val="45"/>
  </w:num>
  <w:num w:numId="26">
    <w:abstractNumId w:val="38"/>
  </w:num>
  <w:num w:numId="27">
    <w:abstractNumId w:val="35"/>
  </w:num>
  <w:num w:numId="28">
    <w:abstractNumId w:val="10"/>
  </w:num>
  <w:num w:numId="29">
    <w:abstractNumId w:val="21"/>
  </w:num>
  <w:num w:numId="30">
    <w:abstractNumId w:val="1"/>
  </w:num>
  <w:num w:numId="31">
    <w:abstractNumId w:val="42"/>
  </w:num>
  <w:num w:numId="32">
    <w:abstractNumId w:val="49"/>
  </w:num>
  <w:num w:numId="33">
    <w:abstractNumId w:val="41"/>
  </w:num>
  <w:num w:numId="34">
    <w:abstractNumId w:val="46"/>
  </w:num>
  <w:num w:numId="35">
    <w:abstractNumId w:val="17"/>
  </w:num>
  <w:num w:numId="36">
    <w:abstractNumId w:val="36"/>
  </w:num>
  <w:num w:numId="37">
    <w:abstractNumId w:val="3"/>
  </w:num>
  <w:num w:numId="38">
    <w:abstractNumId w:val="44"/>
  </w:num>
  <w:num w:numId="39">
    <w:abstractNumId w:val="0"/>
  </w:num>
  <w:num w:numId="40">
    <w:abstractNumId w:val="24"/>
  </w:num>
  <w:num w:numId="41">
    <w:abstractNumId w:val="34"/>
  </w:num>
  <w:num w:numId="42">
    <w:abstractNumId w:val="20"/>
  </w:num>
  <w:num w:numId="43">
    <w:abstractNumId w:val="19"/>
  </w:num>
  <w:num w:numId="44">
    <w:abstractNumId w:val="39"/>
  </w:num>
  <w:num w:numId="45">
    <w:abstractNumId w:val="8"/>
  </w:num>
  <w:num w:numId="46">
    <w:abstractNumId w:val="2"/>
  </w:num>
  <w:num w:numId="47">
    <w:abstractNumId w:val="23"/>
  </w:num>
  <w:num w:numId="48">
    <w:abstractNumId w:val="12"/>
  </w:num>
  <w:num w:numId="49">
    <w:abstractNumId w:val="42"/>
  </w:num>
  <w:num w:numId="50">
    <w:abstractNumId w:val="42"/>
  </w:num>
  <w:num w:numId="51">
    <w:abstractNumId w:val="42"/>
  </w:num>
  <w:num w:numId="52">
    <w:abstractNumId w:val="42"/>
  </w:num>
  <w:num w:numId="53">
    <w:abstractNumId w:val="5"/>
  </w:num>
  <w:num w:numId="54">
    <w:abstractNumId w:val="37"/>
  </w:num>
  <w:num w:numId="55">
    <w:abstractNumId w:val="3"/>
  </w:num>
  <w:num w:numId="56">
    <w:abstractNumId w:val="18"/>
  </w:num>
  <w:num w:numId="57">
    <w:abstractNumId w:val="22"/>
  </w:num>
  <w:num w:numId="58">
    <w:abstractNumId w:val="3"/>
  </w:num>
  <w:num w:numId="59">
    <w:abstractNumId w:val="3"/>
  </w:num>
  <w:num w:numId="60">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31F"/>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1B3"/>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1F85"/>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0B2B"/>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6A16"/>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9FE"/>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288"/>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4EAA"/>
    <w:rsid w:val="001F55E0"/>
    <w:rsid w:val="001F7225"/>
    <w:rsid w:val="001F735A"/>
    <w:rsid w:val="002003CC"/>
    <w:rsid w:val="00200C9A"/>
    <w:rsid w:val="00200C9D"/>
    <w:rsid w:val="00201283"/>
    <w:rsid w:val="0020170D"/>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856"/>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A7DD2"/>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BC0"/>
    <w:rsid w:val="002C6D91"/>
    <w:rsid w:val="002C74EA"/>
    <w:rsid w:val="002C774D"/>
    <w:rsid w:val="002C7ED2"/>
    <w:rsid w:val="002D1D2A"/>
    <w:rsid w:val="002D273F"/>
    <w:rsid w:val="002D2AC5"/>
    <w:rsid w:val="002D2BB7"/>
    <w:rsid w:val="002D32B9"/>
    <w:rsid w:val="002D343A"/>
    <w:rsid w:val="002D43C8"/>
    <w:rsid w:val="002D43CB"/>
    <w:rsid w:val="002D5238"/>
    <w:rsid w:val="002D54C8"/>
    <w:rsid w:val="002D54F8"/>
    <w:rsid w:val="002D562B"/>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01B"/>
    <w:rsid w:val="002F23F6"/>
    <w:rsid w:val="002F258D"/>
    <w:rsid w:val="002F293E"/>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5F8A"/>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26A"/>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880"/>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695"/>
    <w:rsid w:val="00395C5E"/>
    <w:rsid w:val="00396054"/>
    <w:rsid w:val="0039630B"/>
    <w:rsid w:val="003967C7"/>
    <w:rsid w:val="003971A1"/>
    <w:rsid w:val="00397A1E"/>
    <w:rsid w:val="00397A2F"/>
    <w:rsid w:val="003A06EB"/>
    <w:rsid w:val="003A18FA"/>
    <w:rsid w:val="003A1AC6"/>
    <w:rsid w:val="003A2212"/>
    <w:rsid w:val="003A2379"/>
    <w:rsid w:val="003A31C3"/>
    <w:rsid w:val="003A3AD6"/>
    <w:rsid w:val="003A5951"/>
    <w:rsid w:val="003A59F7"/>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7CCF"/>
    <w:rsid w:val="003D01A2"/>
    <w:rsid w:val="003D0656"/>
    <w:rsid w:val="003D086D"/>
    <w:rsid w:val="003D0C6D"/>
    <w:rsid w:val="003D1551"/>
    <w:rsid w:val="003D2430"/>
    <w:rsid w:val="003D24A9"/>
    <w:rsid w:val="003D27EB"/>
    <w:rsid w:val="003D2BB7"/>
    <w:rsid w:val="003D2EE5"/>
    <w:rsid w:val="003D3186"/>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0EFF"/>
    <w:rsid w:val="004B1BA0"/>
    <w:rsid w:val="004B1D53"/>
    <w:rsid w:val="004B27B5"/>
    <w:rsid w:val="004B2B96"/>
    <w:rsid w:val="004B421D"/>
    <w:rsid w:val="004B4670"/>
    <w:rsid w:val="004B497E"/>
    <w:rsid w:val="004B4A3D"/>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1D6"/>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434"/>
    <w:rsid w:val="005436DA"/>
    <w:rsid w:val="00543958"/>
    <w:rsid w:val="005443F5"/>
    <w:rsid w:val="00544C64"/>
    <w:rsid w:val="00544C95"/>
    <w:rsid w:val="005452C9"/>
    <w:rsid w:val="00545789"/>
    <w:rsid w:val="00545CD9"/>
    <w:rsid w:val="00545D5F"/>
    <w:rsid w:val="005460CD"/>
    <w:rsid w:val="005461B9"/>
    <w:rsid w:val="00546312"/>
    <w:rsid w:val="005465BC"/>
    <w:rsid w:val="005466D3"/>
    <w:rsid w:val="00546C48"/>
    <w:rsid w:val="00547014"/>
    <w:rsid w:val="0054769B"/>
    <w:rsid w:val="00547D5C"/>
    <w:rsid w:val="005503C8"/>
    <w:rsid w:val="00550809"/>
    <w:rsid w:val="00550BDF"/>
    <w:rsid w:val="00551510"/>
    <w:rsid w:val="0055198A"/>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04B2"/>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0C55"/>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05D"/>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138"/>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19D"/>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63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63E2"/>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DAB"/>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997"/>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3EA"/>
    <w:rsid w:val="00691433"/>
    <w:rsid w:val="00691660"/>
    <w:rsid w:val="00691D19"/>
    <w:rsid w:val="006920D5"/>
    <w:rsid w:val="006928BB"/>
    <w:rsid w:val="00694253"/>
    <w:rsid w:val="006958AA"/>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11C"/>
    <w:rsid w:val="006B171C"/>
    <w:rsid w:val="006B1D93"/>
    <w:rsid w:val="006B2E8B"/>
    <w:rsid w:val="006B310D"/>
    <w:rsid w:val="006B3488"/>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2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9DF"/>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52E9"/>
    <w:rsid w:val="00725473"/>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412"/>
    <w:rsid w:val="00793530"/>
    <w:rsid w:val="007936AA"/>
    <w:rsid w:val="00793973"/>
    <w:rsid w:val="00793C73"/>
    <w:rsid w:val="00794743"/>
    <w:rsid w:val="00794BE0"/>
    <w:rsid w:val="00795721"/>
    <w:rsid w:val="007957EC"/>
    <w:rsid w:val="007962AA"/>
    <w:rsid w:val="00796701"/>
    <w:rsid w:val="00796C8D"/>
    <w:rsid w:val="00797336"/>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03"/>
    <w:rsid w:val="007B0498"/>
    <w:rsid w:val="007B1037"/>
    <w:rsid w:val="007B1BCD"/>
    <w:rsid w:val="007B1CA5"/>
    <w:rsid w:val="007B2365"/>
    <w:rsid w:val="007B2587"/>
    <w:rsid w:val="007B25A1"/>
    <w:rsid w:val="007B2997"/>
    <w:rsid w:val="007B2B22"/>
    <w:rsid w:val="007B2D0E"/>
    <w:rsid w:val="007B4249"/>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5B5D"/>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4EE"/>
    <w:rsid w:val="00820AC0"/>
    <w:rsid w:val="008217BC"/>
    <w:rsid w:val="00821D12"/>
    <w:rsid w:val="00821E00"/>
    <w:rsid w:val="00821E8D"/>
    <w:rsid w:val="00822C1B"/>
    <w:rsid w:val="008230A6"/>
    <w:rsid w:val="00823115"/>
    <w:rsid w:val="008234E7"/>
    <w:rsid w:val="0082420D"/>
    <w:rsid w:val="008244C6"/>
    <w:rsid w:val="008247F8"/>
    <w:rsid w:val="00825324"/>
    <w:rsid w:val="00825806"/>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240"/>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1BD"/>
    <w:rsid w:val="0086262F"/>
    <w:rsid w:val="00862D6D"/>
    <w:rsid w:val="00863E7E"/>
    <w:rsid w:val="00863FAD"/>
    <w:rsid w:val="008640A3"/>
    <w:rsid w:val="008641FB"/>
    <w:rsid w:val="0086435E"/>
    <w:rsid w:val="00864A4C"/>
    <w:rsid w:val="00864C4C"/>
    <w:rsid w:val="00867B87"/>
    <w:rsid w:val="00867DE1"/>
    <w:rsid w:val="00870096"/>
    <w:rsid w:val="00870DF7"/>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2D1"/>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1AF5"/>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15D"/>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717"/>
    <w:rsid w:val="008D58F8"/>
    <w:rsid w:val="008D5923"/>
    <w:rsid w:val="008D608A"/>
    <w:rsid w:val="008D68F4"/>
    <w:rsid w:val="008D6CC9"/>
    <w:rsid w:val="008D75FA"/>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0A0"/>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65F7"/>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EB"/>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1"/>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15C"/>
    <w:rsid w:val="009D1715"/>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123"/>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197A"/>
    <w:rsid w:val="00A12271"/>
    <w:rsid w:val="00A12AA4"/>
    <w:rsid w:val="00A12D94"/>
    <w:rsid w:val="00A12E43"/>
    <w:rsid w:val="00A138C6"/>
    <w:rsid w:val="00A13F94"/>
    <w:rsid w:val="00A1424F"/>
    <w:rsid w:val="00A14B39"/>
    <w:rsid w:val="00A15705"/>
    <w:rsid w:val="00A165F2"/>
    <w:rsid w:val="00A16CE4"/>
    <w:rsid w:val="00A17B63"/>
    <w:rsid w:val="00A17E11"/>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3FE"/>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6E91"/>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8D0"/>
    <w:rsid w:val="00AA39E5"/>
    <w:rsid w:val="00AA43B5"/>
    <w:rsid w:val="00AA47C4"/>
    <w:rsid w:val="00AA4A80"/>
    <w:rsid w:val="00AA4B3A"/>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2D84"/>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46F6"/>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A77"/>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A4C"/>
    <w:rsid w:val="00C12D44"/>
    <w:rsid w:val="00C13179"/>
    <w:rsid w:val="00C142BA"/>
    <w:rsid w:val="00C14AE3"/>
    <w:rsid w:val="00C14D53"/>
    <w:rsid w:val="00C14DB1"/>
    <w:rsid w:val="00C15178"/>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B39"/>
    <w:rsid w:val="00C53C03"/>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2C9"/>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17E"/>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4DAF"/>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8B5"/>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6C9"/>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1E08"/>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64"/>
    <w:rsid w:val="00D36592"/>
    <w:rsid w:val="00D365A6"/>
    <w:rsid w:val="00D368B4"/>
    <w:rsid w:val="00D36985"/>
    <w:rsid w:val="00D36A43"/>
    <w:rsid w:val="00D37210"/>
    <w:rsid w:val="00D37358"/>
    <w:rsid w:val="00D37B14"/>
    <w:rsid w:val="00D4051E"/>
    <w:rsid w:val="00D409D3"/>
    <w:rsid w:val="00D41294"/>
    <w:rsid w:val="00D414EB"/>
    <w:rsid w:val="00D4191C"/>
    <w:rsid w:val="00D41D4A"/>
    <w:rsid w:val="00D422BB"/>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1FA"/>
    <w:rsid w:val="00D7125A"/>
    <w:rsid w:val="00D713ED"/>
    <w:rsid w:val="00D72662"/>
    <w:rsid w:val="00D7356C"/>
    <w:rsid w:val="00D73736"/>
    <w:rsid w:val="00D7387A"/>
    <w:rsid w:val="00D739A7"/>
    <w:rsid w:val="00D73FF9"/>
    <w:rsid w:val="00D74F45"/>
    <w:rsid w:val="00D750FB"/>
    <w:rsid w:val="00D756A4"/>
    <w:rsid w:val="00D765E3"/>
    <w:rsid w:val="00D76D74"/>
    <w:rsid w:val="00D7708E"/>
    <w:rsid w:val="00D7717A"/>
    <w:rsid w:val="00D77FAA"/>
    <w:rsid w:val="00D81DC5"/>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B54"/>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5BB"/>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3B35"/>
    <w:rsid w:val="00DD47C9"/>
    <w:rsid w:val="00DD4AAB"/>
    <w:rsid w:val="00DD4C4A"/>
    <w:rsid w:val="00DD58BF"/>
    <w:rsid w:val="00DD7401"/>
    <w:rsid w:val="00DD7410"/>
    <w:rsid w:val="00DD7DD8"/>
    <w:rsid w:val="00DE0141"/>
    <w:rsid w:val="00DE0595"/>
    <w:rsid w:val="00DE0B1A"/>
    <w:rsid w:val="00DE1479"/>
    <w:rsid w:val="00DE1990"/>
    <w:rsid w:val="00DE19B5"/>
    <w:rsid w:val="00DE259F"/>
    <w:rsid w:val="00DE39DA"/>
    <w:rsid w:val="00DE3C9C"/>
    <w:rsid w:val="00DE3DE1"/>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729"/>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39D9"/>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3CB"/>
    <w:rsid w:val="00E765D9"/>
    <w:rsid w:val="00E76921"/>
    <w:rsid w:val="00E77CC0"/>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35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079B"/>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0F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372"/>
    <w:rsid w:val="00EF27A6"/>
    <w:rsid w:val="00EF2C47"/>
    <w:rsid w:val="00EF46AC"/>
    <w:rsid w:val="00EF474D"/>
    <w:rsid w:val="00EF4DB4"/>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1A0"/>
    <w:rsid w:val="00F30757"/>
    <w:rsid w:val="00F31DB4"/>
    <w:rsid w:val="00F31E5E"/>
    <w:rsid w:val="00F3203C"/>
    <w:rsid w:val="00F32392"/>
    <w:rsid w:val="00F32490"/>
    <w:rsid w:val="00F32D71"/>
    <w:rsid w:val="00F33049"/>
    <w:rsid w:val="00F35A32"/>
    <w:rsid w:val="00F362CD"/>
    <w:rsid w:val="00F36653"/>
    <w:rsid w:val="00F3682C"/>
    <w:rsid w:val="00F376A6"/>
    <w:rsid w:val="00F40571"/>
    <w:rsid w:val="00F4078B"/>
    <w:rsid w:val="00F40E62"/>
    <w:rsid w:val="00F41463"/>
    <w:rsid w:val="00F417FF"/>
    <w:rsid w:val="00F43596"/>
    <w:rsid w:val="00F43F2D"/>
    <w:rsid w:val="00F44F18"/>
    <w:rsid w:val="00F454C9"/>
    <w:rsid w:val="00F4586F"/>
    <w:rsid w:val="00F45BCD"/>
    <w:rsid w:val="00F45F17"/>
    <w:rsid w:val="00F466DF"/>
    <w:rsid w:val="00F4705C"/>
    <w:rsid w:val="00F50C70"/>
    <w:rsid w:val="00F51AA4"/>
    <w:rsid w:val="00F529FF"/>
    <w:rsid w:val="00F52ABB"/>
    <w:rsid w:val="00F52B2F"/>
    <w:rsid w:val="00F53792"/>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0D26"/>
    <w:rsid w:val="00F71573"/>
    <w:rsid w:val="00F71B92"/>
    <w:rsid w:val="00F71C9A"/>
    <w:rsid w:val="00F7298B"/>
    <w:rsid w:val="00F72ED3"/>
    <w:rsid w:val="00F734C0"/>
    <w:rsid w:val="00F73C7C"/>
    <w:rsid w:val="00F746AF"/>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59EF"/>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F8"/>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C04B2"/>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C04B2"/>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2A36E4"/>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paragraph" w:customStyle="1" w:styleId="RAN1tdoc">
    <w:name w:val="RAN1 tdoc"/>
    <w:basedOn w:val="a"/>
    <w:link w:val="RAN1tdocChar"/>
    <w:qFormat/>
    <w:rsid w:val="0060619D"/>
    <w:pPr>
      <w:snapToGrid/>
      <w:spacing w:after="0" w:afterAutospacing="0"/>
      <w:ind w:left="720" w:hanging="720"/>
      <w:jc w:val="left"/>
    </w:pPr>
    <w:rPr>
      <w:rFonts w:ascii="Times" w:eastAsia="Batang" w:hAnsi="Times"/>
      <w:b/>
      <w:color w:val="0000FF"/>
      <w:sz w:val="20"/>
      <w:szCs w:val="24"/>
      <w:u w:val="single" w:color="0000FF"/>
      <w:lang w:eastAsia="x-none"/>
    </w:rPr>
  </w:style>
  <w:style w:type="paragraph" w:customStyle="1" w:styleId="RAN1bullet1">
    <w:name w:val="RAN1 bullet1"/>
    <w:basedOn w:val="a"/>
    <w:link w:val="RAN1bullet1Char"/>
    <w:qFormat/>
    <w:rsid w:val="0060619D"/>
    <w:pPr>
      <w:numPr>
        <w:numId w:val="37"/>
      </w:numPr>
      <w:snapToGrid/>
      <w:spacing w:after="0" w:afterAutospacing="0"/>
      <w:jc w:val="left"/>
    </w:pPr>
    <w:rPr>
      <w:rFonts w:ascii="Times" w:eastAsia="Batang" w:hAnsi="Times"/>
      <w:sz w:val="20"/>
      <w:szCs w:val="24"/>
      <w:lang w:eastAsia="x-none"/>
    </w:rPr>
  </w:style>
  <w:style w:type="character" w:customStyle="1" w:styleId="RAN1tdocChar">
    <w:name w:val="RAN1 tdoc Char"/>
    <w:link w:val="RAN1tdoc"/>
    <w:rsid w:val="0060619D"/>
    <w:rPr>
      <w:rFonts w:ascii="Times" w:eastAsia="Batang" w:hAnsi="Times"/>
      <w:b/>
      <w:color w:val="0000FF"/>
      <w:szCs w:val="24"/>
      <w:u w:val="single" w:color="0000FF"/>
      <w:lang w:val="en-GB" w:eastAsia="x-none"/>
    </w:rPr>
  </w:style>
  <w:style w:type="paragraph" w:customStyle="1" w:styleId="RAN1bullet2">
    <w:name w:val="RAN1 bullet2"/>
    <w:basedOn w:val="a"/>
    <w:link w:val="RAN1bullet2Char"/>
    <w:qFormat/>
    <w:rsid w:val="0060619D"/>
    <w:pPr>
      <w:numPr>
        <w:ilvl w:val="1"/>
        <w:numId w:val="39"/>
      </w:numPr>
      <w:tabs>
        <w:tab w:val="left" w:pos="1440"/>
      </w:tabs>
      <w:snapToGrid/>
      <w:spacing w:after="0" w:afterAutospacing="0"/>
      <w:jc w:val="left"/>
    </w:pPr>
    <w:rPr>
      <w:rFonts w:ascii="Times" w:eastAsia="Batang" w:hAnsi="Times"/>
      <w:sz w:val="20"/>
      <w:lang w:val="en-US" w:eastAsia="en-US"/>
    </w:rPr>
  </w:style>
  <w:style w:type="character" w:customStyle="1" w:styleId="RAN1bullet1Char">
    <w:name w:val="RAN1 bullet1 Char"/>
    <w:link w:val="RAN1bullet1"/>
    <w:rsid w:val="0060619D"/>
    <w:rPr>
      <w:rFonts w:ascii="Times" w:eastAsia="Batang" w:hAnsi="Times"/>
      <w:szCs w:val="24"/>
      <w:lang w:val="en-GB" w:eastAsia="x-none"/>
    </w:rPr>
  </w:style>
  <w:style w:type="paragraph" w:customStyle="1" w:styleId="RAN1bullet3">
    <w:name w:val="RAN1 bullet3"/>
    <w:basedOn w:val="RAN1bullet2"/>
    <w:link w:val="RAN1bullet3Char"/>
    <w:qFormat/>
    <w:rsid w:val="0060619D"/>
    <w:pPr>
      <w:numPr>
        <w:ilvl w:val="2"/>
        <w:numId w:val="38"/>
      </w:numPr>
    </w:pPr>
  </w:style>
  <w:style w:type="character" w:customStyle="1" w:styleId="RAN1bullet2Char">
    <w:name w:val="RAN1 bullet2 Char"/>
    <w:link w:val="RAN1bullet2"/>
    <w:rsid w:val="0060619D"/>
    <w:rPr>
      <w:rFonts w:ascii="Times" w:eastAsia="Batang" w:hAnsi="Times"/>
      <w:lang w:eastAsia="en-US"/>
    </w:rPr>
  </w:style>
  <w:style w:type="character" w:customStyle="1" w:styleId="RAN1bullet3Char">
    <w:name w:val="RAN1 bullet3 Char"/>
    <w:link w:val="RAN1bullet3"/>
    <w:rsid w:val="0060619D"/>
    <w:rPr>
      <w:rFonts w:ascii="Times" w:eastAsia="Batang" w:hAnsi="Times"/>
      <w:lang w:eastAsia="en-US"/>
    </w:rPr>
  </w:style>
  <w:style w:type="paragraph" w:customStyle="1" w:styleId="TdocHeader2">
    <w:name w:val="Tdoc_Header_2"/>
    <w:basedOn w:val="a"/>
    <w:rsid w:val="00DD3B35"/>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styleId="aff">
    <w:name w:val="Normal (Web)"/>
    <w:basedOn w:val="a"/>
    <w:uiPriority w:val="99"/>
    <w:semiHidden/>
    <w:unhideWhenUsed/>
    <w:rsid w:val="00655DAB"/>
    <w:pPr>
      <w:snapToGrid/>
      <w:spacing w:before="100" w:beforeAutospacing="1"/>
      <w:jc w:val="left"/>
    </w:pPr>
    <w:rPr>
      <w:rFonts w:ascii="宋体" w:eastAsia="宋体" w:hAnsi="宋体" w:cs="宋体"/>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F8"/>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C04B2"/>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C04B2"/>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2A36E4"/>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paragraph" w:customStyle="1" w:styleId="RAN1tdoc">
    <w:name w:val="RAN1 tdoc"/>
    <w:basedOn w:val="a"/>
    <w:link w:val="RAN1tdocChar"/>
    <w:qFormat/>
    <w:rsid w:val="0060619D"/>
    <w:pPr>
      <w:snapToGrid/>
      <w:spacing w:after="0" w:afterAutospacing="0"/>
      <w:ind w:left="720" w:hanging="720"/>
      <w:jc w:val="left"/>
    </w:pPr>
    <w:rPr>
      <w:rFonts w:ascii="Times" w:eastAsia="Batang" w:hAnsi="Times"/>
      <w:b/>
      <w:color w:val="0000FF"/>
      <w:sz w:val="20"/>
      <w:szCs w:val="24"/>
      <w:u w:val="single" w:color="0000FF"/>
      <w:lang w:eastAsia="x-none"/>
    </w:rPr>
  </w:style>
  <w:style w:type="paragraph" w:customStyle="1" w:styleId="RAN1bullet1">
    <w:name w:val="RAN1 bullet1"/>
    <w:basedOn w:val="a"/>
    <w:link w:val="RAN1bullet1Char"/>
    <w:qFormat/>
    <w:rsid w:val="0060619D"/>
    <w:pPr>
      <w:numPr>
        <w:numId w:val="37"/>
      </w:numPr>
      <w:snapToGrid/>
      <w:spacing w:after="0" w:afterAutospacing="0"/>
      <w:jc w:val="left"/>
    </w:pPr>
    <w:rPr>
      <w:rFonts w:ascii="Times" w:eastAsia="Batang" w:hAnsi="Times"/>
      <w:sz w:val="20"/>
      <w:szCs w:val="24"/>
      <w:lang w:eastAsia="x-none"/>
    </w:rPr>
  </w:style>
  <w:style w:type="character" w:customStyle="1" w:styleId="RAN1tdocChar">
    <w:name w:val="RAN1 tdoc Char"/>
    <w:link w:val="RAN1tdoc"/>
    <w:rsid w:val="0060619D"/>
    <w:rPr>
      <w:rFonts w:ascii="Times" w:eastAsia="Batang" w:hAnsi="Times"/>
      <w:b/>
      <w:color w:val="0000FF"/>
      <w:szCs w:val="24"/>
      <w:u w:val="single" w:color="0000FF"/>
      <w:lang w:val="en-GB" w:eastAsia="x-none"/>
    </w:rPr>
  </w:style>
  <w:style w:type="paragraph" w:customStyle="1" w:styleId="RAN1bullet2">
    <w:name w:val="RAN1 bullet2"/>
    <w:basedOn w:val="a"/>
    <w:link w:val="RAN1bullet2Char"/>
    <w:qFormat/>
    <w:rsid w:val="0060619D"/>
    <w:pPr>
      <w:numPr>
        <w:ilvl w:val="1"/>
        <w:numId w:val="39"/>
      </w:numPr>
      <w:tabs>
        <w:tab w:val="left" w:pos="1440"/>
      </w:tabs>
      <w:snapToGrid/>
      <w:spacing w:after="0" w:afterAutospacing="0"/>
      <w:jc w:val="left"/>
    </w:pPr>
    <w:rPr>
      <w:rFonts w:ascii="Times" w:eastAsia="Batang" w:hAnsi="Times"/>
      <w:sz w:val="20"/>
      <w:lang w:val="en-US" w:eastAsia="en-US"/>
    </w:rPr>
  </w:style>
  <w:style w:type="character" w:customStyle="1" w:styleId="RAN1bullet1Char">
    <w:name w:val="RAN1 bullet1 Char"/>
    <w:link w:val="RAN1bullet1"/>
    <w:rsid w:val="0060619D"/>
    <w:rPr>
      <w:rFonts w:ascii="Times" w:eastAsia="Batang" w:hAnsi="Times"/>
      <w:szCs w:val="24"/>
      <w:lang w:val="en-GB" w:eastAsia="x-none"/>
    </w:rPr>
  </w:style>
  <w:style w:type="paragraph" w:customStyle="1" w:styleId="RAN1bullet3">
    <w:name w:val="RAN1 bullet3"/>
    <w:basedOn w:val="RAN1bullet2"/>
    <w:link w:val="RAN1bullet3Char"/>
    <w:qFormat/>
    <w:rsid w:val="0060619D"/>
    <w:pPr>
      <w:numPr>
        <w:ilvl w:val="2"/>
        <w:numId w:val="38"/>
      </w:numPr>
    </w:pPr>
  </w:style>
  <w:style w:type="character" w:customStyle="1" w:styleId="RAN1bullet2Char">
    <w:name w:val="RAN1 bullet2 Char"/>
    <w:link w:val="RAN1bullet2"/>
    <w:rsid w:val="0060619D"/>
    <w:rPr>
      <w:rFonts w:ascii="Times" w:eastAsia="Batang" w:hAnsi="Times"/>
      <w:lang w:eastAsia="en-US"/>
    </w:rPr>
  </w:style>
  <w:style w:type="character" w:customStyle="1" w:styleId="RAN1bullet3Char">
    <w:name w:val="RAN1 bullet3 Char"/>
    <w:link w:val="RAN1bullet3"/>
    <w:rsid w:val="0060619D"/>
    <w:rPr>
      <w:rFonts w:ascii="Times" w:eastAsia="Batang" w:hAnsi="Times"/>
      <w:lang w:eastAsia="en-US"/>
    </w:rPr>
  </w:style>
  <w:style w:type="paragraph" w:customStyle="1" w:styleId="TdocHeader2">
    <w:name w:val="Tdoc_Header_2"/>
    <w:basedOn w:val="a"/>
    <w:rsid w:val="00DD3B35"/>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styleId="aff">
    <w:name w:val="Normal (Web)"/>
    <w:basedOn w:val="a"/>
    <w:uiPriority w:val="99"/>
    <w:semiHidden/>
    <w:unhideWhenUsed/>
    <w:rsid w:val="00655DAB"/>
    <w:pPr>
      <w:snapToGrid/>
      <w:spacing w:before="100" w:beforeAutospacing="1"/>
      <w:jc w:val="left"/>
    </w:pPr>
    <w:rPr>
      <w:rFonts w:ascii="宋体" w:eastAsia="宋体" w:hAnsi="宋体" w:cs="宋体"/>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1679011">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681778873">
      <w:bodyDiv w:val="1"/>
      <w:marLeft w:val="0"/>
      <w:marRight w:val="0"/>
      <w:marTop w:val="0"/>
      <w:marBottom w:val="0"/>
      <w:divBdr>
        <w:top w:val="none" w:sz="0" w:space="0" w:color="auto"/>
        <w:left w:val="none" w:sz="0" w:space="0" w:color="auto"/>
        <w:bottom w:val="none" w:sz="0" w:space="0" w:color="auto"/>
        <w:right w:val="none" w:sz="0" w:space="0" w:color="auto"/>
      </w:divBdr>
      <w:divsChild>
        <w:div w:id="375814554">
          <w:marLeft w:val="1267"/>
          <w:marRight w:val="0"/>
          <w:marTop w:val="0"/>
          <w:marBottom w:val="120"/>
          <w:divBdr>
            <w:top w:val="none" w:sz="0" w:space="0" w:color="auto"/>
            <w:left w:val="none" w:sz="0" w:space="0" w:color="auto"/>
            <w:bottom w:val="none" w:sz="0" w:space="0" w:color="auto"/>
            <w:right w:val="none" w:sz="0" w:space="0" w:color="auto"/>
          </w:divBdr>
        </w:div>
        <w:div w:id="232396315">
          <w:marLeft w:val="1987"/>
          <w:marRight w:val="0"/>
          <w:marTop w:val="0"/>
          <w:marBottom w:val="120"/>
          <w:divBdr>
            <w:top w:val="none" w:sz="0" w:space="0" w:color="auto"/>
            <w:left w:val="none" w:sz="0" w:space="0" w:color="auto"/>
            <w:bottom w:val="none" w:sz="0" w:space="0" w:color="auto"/>
            <w:right w:val="none" w:sz="0" w:space="0" w:color="auto"/>
          </w:divBdr>
        </w:div>
        <w:div w:id="121731888">
          <w:marLeft w:val="1267"/>
          <w:marRight w:val="0"/>
          <w:marTop w:val="0"/>
          <w:marBottom w:val="120"/>
          <w:divBdr>
            <w:top w:val="none" w:sz="0" w:space="0" w:color="auto"/>
            <w:left w:val="none" w:sz="0" w:space="0" w:color="auto"/>
            <w:bottom w:val="none" w:sz="0" w:space="0" w:color="auto"/>
            <w:right w:val="none" w:sz="0" w:space="0" w:color="auto"/>
          </w:divBdr>
        </w:div>
        <w:div w:id="520359985">
          <w:marLeft w:val="1987"/>
          <w:marRight w:val="0"/>
          <w:marTop w:val="0"/>
          <w:marBottom w:val="12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790130324">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49EDE-8C12-4BF9-847E-BB450FF5F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1682</Words>
  <Characters>9592</Characters>
  <Application>Microsoft Office Word</Application>
  <DocSecurity>0</DocSecurity>
  <Lines>79</Lines>
  <Paragraphs>22</Paragraphs>
  <ScaleCrop>false</ScaleCrop>
  <HeadingPairs>
    <vt:vector size="6" baseType="variant">
      <vt:variant>
        <vt:lpstr>タイトル</vt:lpstr>
      </vt:variant>
      <vt:variant>
        <vt:i4>1</vt:i4>
      </vt:variant>
      <vt:variant>
        <vt:lpstr>見出し</vt:lpstr>
      </vt:variant>
      <vt:variant>
        <vt:i4>7</vt:i4>
      </vt:variant>
      <vt:variant>
        <vt:lpstr>Title</vt:lpstr>
      </vt:variant>
      <vt:variant>
        <vt:i4>1</vt:i4>
      </vt:variant>
    </vt:vector>
  </HeadingPairs>
  <TitlesOfParts>
    <vt:vector size="9" baseType="lpstr">
      <vt:lpstr>3GPP TSG RAN WG1 Meeting</vt:lpstr>
      <vt:lpstr>Introduction</vt:lpstr>
      <vt:lpstr>Discussions</vt:lpstr>
      <vt:lpstr>    Quality measurement for beam failure detection</vt:lpstr>
      <vt:lpstr>    Beam failure recovery request transmission</vt:lpstr>
      <vt:lpstr>        Channel of beam recovery request transmission</vt:lpstr>
      <vt:lpstr>Conclusion</vt:lpstr>
      <vt:lpstr>References</vt:lpstr>
      <vt:lpstr>3GPP TSG RAN WG1 Meeting</vt:lpstr>
    </vt:vector>
  </TitlesOfParts>
  <Company>Microsoft</Company>
  <LinksUpToDate>false</LinksUpToDate>
  <CharactersWithSpaces>11252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Luochao3 (Chao)</cp:lastModifiedBy>
  <cp:revision>8</cp:revision>
  <cp:lastPrinted>2017-04-24T01:32:00Z</cp:lastPrinted>
  <dcterms:created xsi:type="dcterms:W3CDTF">2017-11-17T08:03:00Z</dcterms:created>
  <dcterms:modified xsi:type="dcterms:W3CDTF">2017-11-17T08:14:00Z</dcterms:modified>
</cp:coreProperties>
</file>