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B28AE" w14:textId="2A3AEB87" w:rsidR="00F7039A" w:rsidRPr="002C47F0" w:rsidRDefault="00F7039A" w:rsidP="00F7039A">
      <w:pPr>
        <w:pStyle w:val="Header"/>
        <w:tabs>
          <w:tab w:val="right" w:pos="9639"/>
        </w:tabs>
        <w:rPr>
          <w:bCs/>
          <w:i/>
          <w:noProof w:val="0"/>
          <w:sz w:val="32"/>
          <w:lang w:eastAsia="zh-CN"/>
        </w:rPr>
      </w:pPr>
      <w:bookmarkStart w:id="0" w:name="OLE_LINK5"/>
      <w:bookmarkStart w:id="1" w:name="OLE_LINK6"/>
      <w:r w:rsidRPr="002C47F0">
        <w:rPr>
          <w:bCs/>
          <w:noProof w:val="0"/>
          <w:sz w:val="24"/>
        </w:rPr>
        <w:t>3GPP T</w:t>
      </w:r>
      <w:bookmarkStart w:id="2" w:name="_Ref452454252"/>
      <w:bookmarkEnd w:id="2"/>
      <w:r w:rsidRPr="002C47F0">
        <w:rPr>
          <w:bCs/>
          <w:noProof w:val="0"/>
          <w:sz w:val="24"/>
        </w:rPr>
        <w:t xml:space="preserve">SG-RAN </w:t>
      </w:r>
      <w:r w:rsidRPr="002C47F0">
        <w:rPr>
          <w:noProof w:val="0"/>
          <w:sz w:val="24"/>
        </w:rPr>
        <w:t>WG1</w:t>
      </w:r>
      <w:r w:rsidR="00D00042" w:rsidRPr="002C47F0">
        <w:rPr>
          <w:noProof w:val="0"/>
          <w:sz w:val="24"/>
        </w:rPr>
        <w:t xml:space="preserve"> </w:t>
      </w:r>
      <w:r w:rsidR="0031109C" w:rsidRPr="002C47F0">
        <w:rPr>
          <w:noProof w:val="0"/>
          <w:sz w:val="24"/>
        </w:rPr>
        <w:t>RAN1#9</w:t>
      </w:r>
      <w:r w:rsidR="006970D3">
        <w:rPr>
          <w:noProof w:val="0"/>
          <w:sz w:val="24"/>
        </w:rPr>
        <w:t>1</w:t>
      </w:r>
      <w:r w:rsidRPr="002C47F0">
        <w:rPr>
          <w:bCs/>
          <w:noProof w:val="0"/>
          <w:sz w:val="24"/>
        </w:rPr>
        <w:tab/>
      </w:r>
      <w:r w:rsidR="00E02B8A" w:rsidRPr="00E02B8A">
        <w:rPr>
          <w:bCs/>
          <w:noProof w:val="0"/>
          <w:sz w:val="24"/>
          <w:lang w:eastAsia="ja-JP"/>
        </w:rPr>
        <w:t>R1-1720508</w:t>
      </w:r>
    </w:p>
    <w:p w14:paraId="748B28AF" w14:textId="79F4B4F0" w:rsidR="00787640" w:rsidRPr="002C47F0" w:rsidRDefault="006970D3" w:rsidP="00F7039A">
      <w:pPr>
        <w:pStyle w:val="Header"/>
        <w:tabs>
          <w:tab w:val="right" w:pos="9639"/>
        </w:tabs>
        <w:rPr>
          <w:bCs/>
          <w:noProof w:val="0"/>
          <w:sz w:val="24"/>
        </w:rPr>
      </w:pPr>
      <w:r>
        <w:rPr>
          <w:noProof w:val="0"/>
          <w:sz w:val="24"/>
        </w:rPr>
        <w:t>Reno</w:t>
      </w:r>
      <w:r w:rsidR="00935B35" w:rsidRPr="002C47F0">
        <w:rPr>
          <w:noProof w:val="0"/>
          <w:sz w:val="24"/>
        </w:rPr>
        <w:t xml:space="preserve">, </w:t>
      </w:r>
      <w:r>
        <w:rPr>
          <w:noProof w:val="0"/>
          <w:sz w:val="24"/>
        </w:rPr>
        <w:t>Nevada</w:t>
      </w:r>
      <w:r w:rsidR="00935B35" w:rsidRPr="002C47F0">
        <w:rPr>
          <w:noProof w:val="0"/>
          <w:sz w:val="24"/>
        </w:rPr>
        <w:t xml:space="preserve">, </w:t>
      </w:r>
      <w:r>
        <w:rPr>
          <w:noProof w:val="0"/>
          <w:sz w:val="24"/>
        </w:rPr>
        <w:t>27</w:t>
      </w:r>
      <w:r w:rsidR="00935B35" w:rsidRPr="006970D3">
        <w:rPr>
          <w:noProof w:val="0"/>
          <w:sz w:val="24"/>
          <w:vertAlign w:val="superscript"/>
        </w:rPr>
        <w:t>th</w:t>
      </w:r>
      <w:r>
        <w:rPr>
          <w:noProof w:val="0"/>
          <w:sz w:val="24"/>
        </w:rPr>
        <w:t xml:space="preserve"> Nov </w:t>
      </w:r>
      <w:r w:rsidR="00935B35" w:rsidRPr="002C47F0">
        <w:rPr>
          <w:noProof w:val="0"/>
          <w:sz w:val="24"/>
        </w:rPr>
        <w:t>-</w:t>
      </w:r>
      <w:r>
        <w:rPr>
          <w:noProof w:val="0"/>
          <w:sz w:val="24"/>
        </w:rPr>
        <w:t>1</w:t>
      </w:r>
      <w:r w:rsidRPr="00EB6259">
        <w:rPr>
          <w:noProof w:val="0"/>
          <w:sz w:val="24"/>
          <w:vertAlign w:val="superscript"/>
        </w:rPr>
        <w:t>st</w:t>
      </w:r>
      <w:r w:rsidR="00EB6259">
        <w:rPr>
          <w:noProof w:val="0"/>
          <w:sz w:val="24"/>
        </w:rPr>
        <w:t xml:space="preserve"> </w:t>
      </w:r>
      <w:r>
        <w:rPr>
          <w:noProof w:val="0"/>
          <w:sz w:val="24"/>
        </w:rPr>
        <w:t>Dec</w:t>
      </w:r>
      <w:r w:rsidR="00935B35" w:rsidRPr="002C47F0">
        <w:rPr>
          <w:noProof w:val="0"/>
          <w:sz w:val="24"/>
        </w:rPr>
        <w:t xml:space="preserve"> 2017</w:t>
      </w:r>
      <w:r w:rsidR="000731DE" w:rsidRPr="002C47F0">
        <w:rPr>
          <w:sz w:val="24"/>
          <w:szCs w:val="24"/>
        </w:rPr>
        <w:tab/>
      </w:r>
    </w:p>
    <w:bookmarkEnd w:id="0"/>
    <w:bookmarkEnd w:id="1"/>
    <w:p w14:paraId="748B28B0" w14:textId="77777777" w:rsidR="00787640" w:rsidRPr="002C47F0" w:rsidRDefault="00787640" w:rsidP="00787640">
      <w:pPr>
        <w:pStyle w:val="Header"/>
        <w:rPr>
          <w:bCs/>
          <w:noProof w:val="0"/>
          <w:sz w:val="24"/>
          <w:lang w:eastAsia="ja-JP"/>
        </w:rPr>
      </w:pPr>
    </w:p>
    <w:p w14:paraId="748B28B1" w14:textId="108FB029" w:rsidR="00787640" w:rsidRPr="002C47F0" w:rsidRDefault="00787640" w:rsidP="00787640">
      <w:pPr>
        <w:pStyle w:val="CRCoverPage"/>
        <w:rPr>
          <w:rFonts w:cs="Arial"/>
          <w:b/>
          <w:bCs/>
          <w:sz w:val="24"/>
          <w:lang w:val="en-US" w:eastAsia="ja-JP"/>
        </w:rPr>
      </w:pPr>
      <w:r w:rsidRPr="002C47F0">
        <w:rPr>
          <w:rFonts w:cs="Arial"/>
          <w:b/>
          <w:bCs/>
          <w:sz w:val="24"/>
          <w:lang w:val="en-US"/>
        </w:rPr>
        <w:t>Agenda item:</w:t>
      </w:r>
      <w:r w:rsidRPr="002C47F0">
        <w:rPr>
          <w:rFonts w:cs="Arial"/>
          <w:b/>
          <w:bCs/>
          <w:sz w:val="24"/>
          <w:lang w:val="en-US"/>
        </w:rPr>
        <w:tab/>
      </w:r>
      <w:r w:rsidRPr="002C47F0">
        <w:rPr>
          <w:rFonts w:cs="Arial"/>
          <w:b/>
          <w:bCs/>
          <w:sz w:val="24"/>
          <w:lang w:val="en-US"/>
        </w:rPr>
        <w:tab/>
      </w:r>
      <w:r w:rsidR="00F628E6" w:rsidRPr="002C47F0">
        <w:rPr>
          <w:rFonts w:cs="Arial"/>
          <w:b/>
          <w:bCs/>
          <w:sz w:val="24"/>
          <w:lang w:val="en-US"/>
        </w:rPr>
        <w:t>7</w:t>
      </w:r>
      <w:r w:rsidR="00BC1BBE" w:rsidRPr="002C47F0">
        <w:rPr>
          <w:rFonts w:cs="Arial"/>
          <w:b/>
          <w:bCs/>
          <w:sz w:val="24"/>
          <w:lang w:val="en-US"/>
        </w:rPr>
        <w:t>.</w:t>
      </w:r>
      <w:r w:rsidR="00095351" w:rsidRPr="002C47F0">
        <w:rPr>
          <w:rFonts w:cs="Arial"/>
          <w:b/>
          <w:bCs/>
          <w:sz w:val="24"/>
          <w:lang w:val="en-US"/>
        </w:rPr>
        <w:t>3.1.</w:t>
      </w:r>
      <w:r w:rsidR="00F628E6" w:rsidRPr="002C47F0">
        <w:rPr>
          <w:rFonts w:cs="Arial"/>
          <w:b/>
          <w:bCs/>
          <w:sz w:val="24"/>
          <w:lang w:val="en-US"/>
        </w:rPr>
        <w:t>3</w:t>
      </w:r>
    </w:p>
    <w:p w14:paraId="748B28B2" w14:textId="77777777" w:rsidR="00787640" w:rsidRPr="002C47F0" w:rsidRDefault="00787640" w:rsidP="00787640">
      <w:pPr>
        <w:tabs>
          <w:tab w:val="left" w:pos="1985"/>
        </w:tabs>
        <w:ind w:left="1985" w:hanging="1985"/>
        <w:rPr>
          <w:rFonts w:ascii="Arial" w:hAnsi="Arial" w:cs="Arial"/>
          <w:b/>
          <w:bCs/>
          <w:sz w:val="24"/>
        </w:rPr>
      </w:pPr>
      <w:r w:rsidRPr="002C47F0">
        <w:rPr>
          <w:rFonts w:ascii="Arial" w:hAnsi="Arial" w:cs="Arial"/>
          <w:b/>
          <w:bCs/>
          <w:sz w:val="24"/>
        </w:rPr>
        <w:t>Source:</w:t>
      </w:r>
      <w:r w:rsidRPr="002C47F0">
        <w:rPr>
          <w:rFonts w:ascii="Arial" w:hAnsi="Arial" w:cs="Arial"/>
          <w:b/>
          <w:bCs/>
          <w:sz w:val="24"/>
        </w:rPr>
        <w:tab/>
      </w:r>
      <w:bookmarkStart w:id="3" w:name="OLE_LINK1"/>
      <w:bookmarkStart w:id="4" w:name="OLE_LINK2"/>
      <w:r w:rsidRPr="002C47F0">
        <w:rPr>
          <w:rFonts w:ascii="Arial" w:hAnsi="Arial" w:cs="Arial"/>
          <w:b/>
          <w:bCs/>
          <w:sz w:val="24"/>
        </w:rPr>
        <w:t>Nokia</w:t>
      </w:r>
      <w:bookmarkEnd w:id="3"/>
      <w:bookmarkEnd w:id="4"/>
      <w:r w:rsidR="00F80DB5" w:rsidRPr="002C47F0">
        <w:rPr>
          <w:rFonts w:ascii="Arial" w:hAnsi="Arial" w:cs="Arial"/>
          <w:b/>
          <w:bCs/>
          <w:sz w:val="24"/>
        </w:rPr>
        <w:t xml:space="preserve">, </w:t>
      </w:r>
      <w:r w:rsidR="00717B10" w:rsidRPr="002C47F0">
        <w:rPr>
          <w:rFonts w:ascii="Arial" w:hAnsi="Arial" w:cs="Arial"/>
          <w:b/>
          <w:bCs/>
          <w:sz w:val="24"/>
        </w:rPr>
        <w:t>Nokia</w:t>
      </w:r>
      <w:r w:rsidR="00F80DB5" w:rsidRPr="002C47F0">
        <w:rPr>
          <w:rFonts w:ascii="Arial" w:hAnsi="Arial" w:cs="Arial"/>
          <w:b/>
          <w:bCs/>
          <w:sz w:val="24"/>
        </w:rPr>
        <w:t xml:space="preserve"> Shanghai Bell</w:t>
      </w:r>
      <w:r w:rsidR="00DD5FAA" w:rsidRPr="002C47F0">
        <w:rPr>
          <w:rFonts w:ascii="Arial" w:hAnsi="Arial" w:cs="Arial"/>
          <w:b/>
          <w:bCs/>
          <w:sz w:val="24"/>
        </w:rPr>
        <w:t xml:space="preserve"> </w:t>
      </w:r>
    </w:p>
    <w:p w14:paraId="748B28B3" w14:textId="77777777" w:rsidR="00787640" w:rsidRPr="002C47F0" w:rsidRDefault="00787640" w:rsidP="00787640">
      <w:pPr>
        <w:ind w:left="1985" w:hanging="1985"/>
        <w:rPr>
          <w:rFonts w:ascii="Arial" w:hAnsi="Arial" w:cs="Arial"/>
          <w:b/>
          <w:bCs/>
          <w:sz w:val="24"/>
        </w:rPr>
      </w:pPr>
      <w:r w:rsidRPr="002C47F0">
        <w:rPr>
          <w:rFonts w:ascii="Arial" w:hAnsi="Arial" w:cs="Arial"/>
          <w:b/>
          <w:bCs/>
          <w:sz w:val="24"/>
        </w:rPr>
        <w:t>Title:</w:t>
      </w:r>
      <w:r w:rsidRPr="002C47F0">
        <w:rPr>
          <w:rFonts w:ascii="Arial" w:hAnsi="Arial" w:cs="Arial"/>
          <w:b/>
          <w:bCs/>
          <w:sz w:val="24"/>
        </w:rPr>
        <w:tab/>
      </w:r>
      <w:r w:rsidR="00896884" w:rsidRPr="002C47F0">
        <w:rPr>
          <w:rFonts w:ascii="Arial" w:hAnsi="Arial" w:cs="Arial"/>
          <w:b/>
          <w:bCs/>
          <w:sz w:val="24"/>
        </w:rPr>
        <w:t xml:space="preserve">On </w:t>
      </w:r>
      <w:r w:rsidR="00BC1BBE" w:rsidRPr="002C47F0">
        <w:rPr>
          <w:rFonts w:ascii="Arial" w:hAnsi="Arial" w:cs="Arial"/>
          <w:b/>
          <w:bCs/>
          <w:sz w:val="24"/>
        </w:rPr>
        <w:t>th</w:t>
      </w:r>
      <w:r w:rsidR="00717B10" w:rsidRPr="002C47F0">
        <w:rPr>
          <w:rFonts w:ascii="Arial" w:hAnsi="Arial" w:cs="Arial"/>
          <w:b/>
          <w:bCs/>
          <w:sz w:val="24"/>
        </w:rPr>
        <w:t xml:space="preserve">e </w:t>
      </w:r>
      <w:r w:rsidR="00D00042" w:rsidRPr="002C47F0">
        <w:rPr>
          <w:rFonts w:ascii="Arial" w:hAnsi="Arial" w:cs="Arial"/>
          <w:b/>
          <w:bCs/>
          <w:sz w:val="24"/>
        </w:rPr>
        <w:t>remaining aspects of</w:t>
      </w:r>
      <w:r w:rsidR="00717B10" w:rsidRPr="002C47F0">
        <w:rPr>
          <w:rFonts w:ascii="Arial" w:hAnsi="Arial" w:cs="Arial"/>
          <w:b/>
          <w:bCs/>
          <w:sz w:val="24"/>
        </w:rPr>
        <w:t xml:space="preserve"> group-</w:t>
      </w:r>
      <w:r w:rsidR="00896884" w:rsidRPr="002C47F0">
        <w:rPr>
          <w:rFonts w:ascii="Arial" w:hAnsi="Arial" w:cs="Arial"/>
          <w:b/>
          <w:bCs/>
          <w:sz w:val="24"/>
        </w:rPr>
        <w:t xml:space="preserve">common PDCCH </w:t>
      </w:r>
      <w:r w:rsidR="00BC1BBE" w:rsidRPr="002C47F0">
        <w:rPr>
          <w:rFonts w:ascii="Arial" w:hAnsi="Arial" w:cs="Arial"/>
          <w:b/>
          <w:bCs/>
          <w:sz w:val="24"/>
        </w:rPr>
        <w:t>in</w:t>
      </w:r>
      <w:r w:rsidR="00896884" w:rsidRPr="002C47F0">
        <w:rPr>
          <w:rFonts w:ascii="Arial" w:hAnsi="Arial" w:cs="Arial"/>
          <w:b/>
          <w:bCs/>
          <w:sz w:val="24"/>
        </w:rPr>
        <w:t xml:space="preserve"> NR</w:t>
      </w:r>
    </w:p>
    <w:p w14:paraId="748B28B4" w14:textId="77777777" w:rsidR="0034111C" w:rsidRPr="002C47F0" w:rsidRDefault="00787640" w:rsidP="00787640">
      <w:pPr>
        <w:rPr>
          <w:rFonts w:ascii="Arial" w:hAnsi="Arial" w:cs="Arial"/>
          <w:b/>
          <w:bCs/>
          <w:sz w:val="24"/>
        </w:rPr>
      </w:pPr>
      <w:r w:rsidRPr="002C47F0">
        <w:rPr>
          <w:rFonts w:ascii="Arial" w:hAnsi="Arial" w:cs="Arial"/>
          <w:b/>
          <w:bCs/>
          <w:sz w:val="24"/>
        </w:rPr>
        <w:t>Document for:</w:t>
      </w:r>
      <w:r w:rsidRPr="002C47F0">
        <w:rPr>
          <w:rFonts w:ascii="Arial" w:hAnsi="Arial" w:cs="Arial"/>
          <w:b/>
          <w:bCs/>
          <w:sz w:val="24"/>
        </w:rPr>
        <w:tab/>
      </w:r>
      <w:r w:rsidRPr="002C47F0">
        <w:rPr>
          <w:rFonts w:ascii="Arial" w:hAnsi="Arial" w:cs="Arial"/>
          <w:b/>
          <w:bCs/>
          <w:sz w:val="24"/>
        </w:rPr>
        <w:tab/>
        <w:t>Discussion and Decision</w:t>
      </w:r>
    </w:p>
    <w:p w14:paraId="748B28B5" w14:textId="77777777" w:rsidR="0034111C" w:rsidRPr="002C47F0" w:rsidRDefault="0034111C">
      <w:pPr>
        <w:pStyle w:val="Heading1"/>
        <w:rPr>
          <w:lang w:val="en-US"/>
        </w:rPr>
      </w:pPr>
      <w:r w:rsidRPr="002C47F0">
        <w:rPr>
          <w:lang w:val="en-US"/>
        </w:rPr>
        <w:t>1</w:t>
      </w:r>
      <w:r w:rsidRPr="002C47F0">
        <w:rPr>
          <w:lang w:val="en-US"/>
        </w:rPr>
        <w:tab/>
      </w:r>
      <w:r w:rsidR="00EE7FA7" w:rsidRPr="002C47F0">
        <w:rPr>
          <w:lang w:val="en-US"/>
        </w:rPr>
        <w:t>Introduction</w:t>
      </w:r>
    </w:p>
    <w:p w14:paraId="5902B51B" w14:textId="10A444FA" w:rsidR="006970D3" w:rsidRPr="002C47F0" w:rsidRDefault="006970D3" w:rsidP="00F628E6">
      <w:pPr>
        <w:spacing w:before="100" w:beforeAutospacing="1" w:after="100" w:afterAutospacing="1"/>
        <w:jc w:val="both"/>
        <w:rPr>
          <w:rFonts w:ascii="Times New Roman" w:eastAsia="Times New Roman" w:hAnsi="Times New Roman"/>
          <w:sz w:val="20"/>
        </w:rPr>
      </w:pPr>
      <w:r>
        <w:rPr>
          <w:rFonts w:ascii="Times New Roman" w:eastAsia="Times New Roman" w:hAnsi="Times New Roman"/>
          <w:sz w:val="20"/>
        </w:rPr>
        <w:t>In RAN1#9</w:t>
      </w:r>
      <w:r w:rsidR="003D08C7">
        <w:rPr>
          <w:rFonts w:ascii="Times New Roman" w:eastAsia="Times New Roman" w:hAnsi="Times New Roman"/>
          <w:sz w:val="20"/>
        </w:rPr>
        <w:t>0b</w:t>
      </w:r>
      <w:r>
        <w:rPr>
          <w:rFonts w:ascii="Times New Roman" w:eastAsia="Times New Roman" w:hAnsi="Times New Roman"/>
          <w:sz w:val="20"/>
        </w:rPr>
        <w:t xml:space="preserve">, significant progress has been achieved, here we will address some of the remaining </w:t>
      </w:r>
      <w:r w:rsidR="003D08C7">
        <w:rPr>
          <w:rFonts w:ascii="Times New Roman" w:eastAsia="Times New Roman" w:hAnsi="Times New Roman"/>
          <w:sz w:val="20"/>
        </w:rPr>
        <w:t>aspects of GC-PDCCH, particularly the aspects related to</w:t>
      </w:r>
      <w:r>
        <w:rPr>
          <w:rFonts w:ascii="Times New Roman" w:eastAsia="Times New Roman" w:hAnsi="Times New Roman"/>
          <w:sz w:val="20"/>
        </w:rPr>
        <w:t xml:space="preserve"> </w:t>
      </w:r>
      <w:r w:rsidR="003D08C7">
        <w:rPr>
          <w:rFonts w:ascii="Times New Roman" w:eastAsia="Times New Roman" w:hAnsi="Times New Roman"/>
          <w:sz w:val="20"/>
        </w:rPr>
        <w:t>UE behavior and transmission of GC-PDCCH</w:t>
      </w:r>
    </w:p>
    <w:p w14:paraId="748B28F0" w14:textId="77777777" w:rsidR="008E68EE" w:rsidRPr="002C47F0" w:rsidRDefault="008E68EE" w:rsidP="008E68EE">
      <w:pPr>
        <w:pStyle w:val="Heading1"/>
        <w:rPr>
          <w:lang w:val="en-US"/>
        </w:rPr>
      </w:pPr>
      <w:bookmarkStart w:id="5" w:name="OLE_LINK13"/>
      <w:bookmarkStart w:id="6" w:name="OLE_LINK14"/>
      <w:r w:rsidRPr="002C47F0">
        <w:rPr>
          <w:lang w:val="en-US"/>
        </w:rPr>
        <w:t>2</w:t>
      </w:r>
      <w:r w:rsidRPr="002C47F0">
        <w:rPr>
          <w:lang w:val="en-US"/>
        </w:rPr>
        <w:tab/>
      </w:r>
      <w:r w:rsidR="00D00042" w:rsidRPr="002C47F0">
        <w:rPr>
          <w:lang w:val="en-US"/>
        </w:rPr>
        <w:t xml:space="preserve">On </w:t>
      </w:r>
      <w:r w:rsidR="003F20B4" w:rsidRPr="002C47F0">
        <w:rPr>
          <w:lang w:val="en-US"/>
        </w:rPr>
        <w:t>UE behavior</w:t>
      </w:r>
    </w:p>
    <w:p w14:paraId="5C1491BB" w14:textId="77777777" w:rsidR="006970D3" w:rsidRPr="007324A9" w:rsidRDefault="006970D3" w:rsidP="006970D3">
      <w:pPr>
        <w:rPr>
          <w:rFonts w:ascii="Times New Roman" w:hAnsi="Times New Roman" w:cs="Times New Roman"/>
          <w:i/>
          <w:sz w:val="20"/>
          <w:szCs w:val="20"/>
        </w:rPr>
      </w:pPr>
      <w:r w:rsidRPr="007324A9">
        <w:rPr>
          <w:rFonts w:ascii="Times New Roman" w:hAnsi="Times New Roman" w:cs="Times New Roman"/>
          <w:i/>
          <w:sz w:val="20"/>
          <w:szCs w:val="20"/>
          <w:highlight w:val="green"/>
        </w:rPr>
        <w:t>Agreements</w:t>
      </w:r>
      <w:r w:rsidRPr="007324A9">
        <w:rPr>
          <w:rFonts w:ascii="Times New Roman" w:hAnsi="Times New Roman" w:cs="Times New Roman"/>
          <w:i/>
          <w:sz w:val="20"/>
          <w:szCs w:val="20"/>
        </w:rPr>
        <w:t>:</w:t>
      </w:r>
    </w:p>
    <w:p w14:paraId="1C278B20" w14:textId="77777777" w:rsidR="006970D3" w:rsidRPr="007324A9" w:rsidRDefault="006970D3" w:rsidP="006970D3">
      <w:pPr>
        <w:pStyle w:val="bullet"/>
        <w:numPr>
          <w:ilvl w:val="0"/>
          <w:numId w:val="40"/>
        </w:numPr>
        <w:spacing w:line="252" w:lineRule="auto"/>
        <w:rPr>
          <w:i/>
          <w:szCs w:val="20"/>
        </w:rPr>
      </w:pPr>
      <w:r w:rsidRPr="007324A9">
        <w:rPr>
          <w:i/>
          <w:szCs w:val="20"/>
        </w:rPr>
        <w:t>On overwriting rules across semi-static DL/UL assignment, dynamic SFI, DCI, etc</w:t>
      </w:r>
    </w:p>
    <w:p w14:paraId="34111C73" w14:textId="77777777" w:rsidR="006970D3" w:rsidRPr="007324A9" w:rsidRDefault="006970D3" w:rsidP="006970D3">
      <w:pPr>
        <w:numPr>
          <w:ilvl w:val="0"/>
          <w:numId w:val="41"/>
        </w:numPr>
        <w:spacing w:after="0" w:line="252" w:lineRule="auto"/>
        <w:ind w:left="1080"/>
        <w:rPr>
          <w:rFonts w:ascii="Times New Roman" w:hAnsi="Times New Roman" w:cs="Times New Roman"/>
          <w:i/>
          <w:sz w:val="20"/>
          <w:szCs w:val="20"/>
        </w:rPr>
      </w:pPr>
      <w:r w:rsidRPr="007324A9">
        <w:rPr>
          <w:rFonts w:ascii="Times New Roman" w:hAnsi="Times New Roman" w:cs="Times New Roman"/>
          <w:i/>
          <w:sz w:val="20"/>
          <w:szCs w:val="20"/>
        </w:rPr>
        <w:t xml:space="preserve">Need to decide the overwriting rules between </w:t>
      </w:r>
    </w:p>
    <w:p w14:paraId="0F7D28BE"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 xml:space="preserve">Semi-static DL/UL assignment (including states DL, UL, unknown) </w:t>
      </w:r>
    </w:p>
    <w:p w14:paraId="4F90C701"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Dynamic SFI (indicated in GC-PDCCH with states DL, UL, and unknown)</w:t>
      </w:r>
    </w:p>
    <w:p w14:paraId="002F643C"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 xml:space="preserve">UE specific data transmission (UE specific DCI triggered PDSCH, PUSCH, and PUCCH with A/N for a PDSCH) </w:t>
      </w:r>
    </w:p>
    <w:p w14:paraId="3524F05E" w14:textId="77777777" w:rsidR="006970D3" w:rsidRPr="007324A9" w:rsidRDefault="006970D3" w:rsidP="006970D3">
      <w:pPr>
        <w:numPr>
          <w:ilvl w:val="2"/>
          <w:numId w:val="41"/>
        </w:numPr>
        <w:spacing w:after="0" w:line="252" w:lineRule="auto"/>
        <w:ind w:left="2520"/>
        <w:rPr>
          <w:rFonts w:ascii="Times New Roman" w:hAnsi="Times New Roman" w:cs="Times New Roman"/>
          <w:i/>
          <w:sz w:val="20"/>
          <w:szCs w:val="20"/>
        </w:rPr>
      </w:pPr>
      <w:r w:rsidRPr="007324A9">
        <w:rPr>
          <w:rFonts w:ascii="Times New Roman" w:hAnsi="Times New Roman" w:cs="Times New Roman"/>
          <w:i/>
          <w:sz w:val="20"/>
          <w:szCs w:val="20"/>
        </w:rPr>
        <w:t>Also include DCI triggered aperiodic measurement related signals, such as aperiodic CSI-RS, aperiodic SRS, etc</w:t>
      </w:r>
    </w:p>
    <w:p w14:paraId="6526242F" w14:textId="77777777" w:rsidR="006970D3" w:rsidRPr="007324A9" w:rsidRDefault="006970D3" w:rsidP="006970D3">
      <w:pPr>
        <w:numPr>
          <w:ilvl w:val="2"/>
          <w:numId w:val="41"/>
        </w:numPr>
        <w:spacing w:after="0" w:line="252" w:lineRule="auto"/>
        <w:ind w:left="2520"/>
        <w:rPr>
          <w:rFonts w:ascii="Times New Roman" w:hAnsi="Times New Roman" w:cs="Times New Roman"/>
          <w:i/>
          <w:sz w:val="20"/>
          <w:szCs w:val="20"/>
        </w:rPr>
      </w:pPr>
      <w:r w:rsidRPr="007324A9">
        <w:rPr>
          <w:rFonts w:ascii="Times New Roman" w:hAnsi="Times New Roman" w:cs="Times New Roman"/>
          <w:i/>
          <w:sz w:val="20"/>
          <w:szCs w:val="20"/>
        </w:rPr>
        <w:t>FFS: Broadcast transmission, sync, PRACH, RAR, UL data transmission without UL grant, …</w:t>
      </w:r>
    </w:p>
    <w:p w14:paraId="034705BB"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 xml:space="preserve">Measurement: Measurement related signals semi-statically configured by UE-specific RRC (eg. periodic/semi-persistent CSI-RS for CSI report, periodic CSI report, periodic/semi-persistent SRS) where a DL or UL direction will be assumed </w:t>
      </w:r>
    </w:p>
    <w:p w14:paraId="56B38490" w14:textId="41FC8839" w:rsidR="006970D3" w:rsidRPr="007324A9" w:rsidRDefault="006970D3" w:rsidP="006970D3">
      <w:pPr>
        <w:numPr>
          <w:ilvl w:val="2"/>
          <w:numId w:val="41"/>
        </w:numPr>
        <w:spacing w:after="0" w:line="252" w:lineRule="auto"/>
        <w:ind w:left="2520"/>
        <w:rPr>
          <w:rFonts w:ascii="Times New Roman" w:hAnsi="Times New Roman" w:cs="Times New Roman"/>
          <w:i/>
          <w:sz w:val="20"/>
          <w:szCs w:val="20"/>
        </w:rPr>
      </w:pPr>
      <w:r w:rsidRPr="007324A9">
        <w:rPr>
          <w:rFonts w:ascii="Times New Roman" w:hAnsi="Times New Roman" w:cs="Times New Roman"/>
          <w:i/>
          <w:sz w:val="20"/>
          <w:szCs w:val="20"/>
        </w:rPr>
        <w:t>FFS: CSI-RS for RRM, TRS, etc</w:t>
      </w:r>
    </w:p>
    <w:p w14:paraId="1002DB63" w14:textId="77777777" w:rsidR="00EB6259" w:rsidRPr="007324A9" w:rsidRDefault="00EB6259" w:rsidP="006970D3">
      <w:pPr>
        <w:numPr>
          <w:ilvl w:val="2"/>
          <w:numId w:val="41"/>
        </w:numPr>
        <w:spacing w:after="0" w:line="252" w:lineRule="auto"/>
        <w:ind w:left="2520"/>
        <w:rPr>
          <w:rFonts w:ascii="Times New Roman" w:hAnsi="Times New Roman" w:cs="Times New Roman"/>
          <w:i/>
          <w:sz w:val="20"/>
          <w:szCs w:val="20"/>
        </w:rPr>
      </w:pPr>
    </w:p>
    <w:p w14:paraId="3FF179E8"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FFS: Other signals, measurements, and monitoring (including configured coreset monitoring)</w:t>
      </w:r>
    </w:p>
    <w:p w14:paraId="2DDE91D9" w14:textId="77777777" w:rsidR="006970D3" w:rsidRPr="007324A9" w:rsidRDefault="006970D3" w:rsidP="006970D3">
      <w:pPr>
        <w:numPr>
          <w:ilvl w:val="0"/>
          <w:numId w:val="41"/>
        </w:numPr>
        <w:spacing w:after="0" w:line="252" w:lineRule="auto"/>
        <w:ind w:left="1080"/>
        <w:rPr>
          <w:rFonts w:ascii="Times New Roman" w:hAnsi="Times New Roman" w:cs="Times New Roman"/>
          <w:i/>
          <w:sz w:val="20"/>
          <w:szCs w:val="20"/>
        </w:rPr>
      </w:pPr>
      <w:r w:rsidRPr="007324A9">
        <w:rPr>
          <w:rFonts w:ascii="Times New Roman" w:hAnsi="Times New Roman" w:cs="Times New Roman"/>
          <w:i/>
          <w:sz w:val="20"/>
          <w:szCs w:val="20"/>
        </w:rPr>
        <w:t xml:space="preserve">Consider the following directions of potential overwriting in Rel. 15: </w:t>
      </w:r>
    </w:p>
    <w:p w14:paraId="4E8E0022"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States from semi-static DL/UL assignment overwritten by measurement, dynamic SFI, or UE specific data</w:t>
      </w:r>
    </w:p>
    <w:p w14:paraId="38A7EB13"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State from measurement overwritten by dynamic SFI or UE specific data</w:t>
      </w:r>
    </w:p>
    <w:p w14:paraId="1CF1FFC3"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Dynamic SFI overwritten by UE specific data</w:t>
      </w:r>
    </w:p>
    <w:p w14:paraId="0AED96BD"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 xml:space="preserve">FFS: UE-specific data and measurement related signals not semi-statically configured by RRC overwritten by “unknown” in dynamic SFI </w:t>
      </w:r>
    </w:p>
    <w:p w14:paraId="57BC7B4B" w14:textId="77777777" w:rsidR="006970D3" w:rsidRPr="007324A9" w:rsidRDefault="006970D3" w:rsidP="006970D3">
      <w:pPr>
        <w:numPr>
          <w:ilvl w:val="2"/>
          <w:numId w:val="41"/>
        </w:numPr>
        <w:spacing w:after="0" w:line="252" w:lineRule="auto"/>
        <w:rPr>
          <w:rFonts w:ascii="Times New Roman" w:eastAsia="Times New Roman" w:hAnsi="Times New Roman" w:cs="Times New Roman"/>
          <w:i/>
          <w:sz w:val="20"/>
          <w:szCs w:val="20"/>
        </w:rPr>
      </w:pPr>
      <w:r w:rsidRPr="007324A9">
        <w:rPr>
          <w:rFonts w:ascii="Times New Roman" w:eastAsia="Times New Roman" w:hAnsi="Times New Roman" w:cs="Times New Roman"/>
          <w:i/>
          <w:sz w:val="20"/>
          <w:szCs w:val="20"/>
        </w:rPr>
        <w:t>The timing requirement for overwriting</w:t>
      </w:r>
    </w:p>
    <w:p w14:paraId="74D2D3A5" w14:textId="77777777" w:rsidR="006970D3" w:rsidRPr="007324A9" w:rsidRDefault="006970D3" w:rsidP="006970D3">
      <w:pPr>
        <w:numPr>
          <w:ilvl w:val="2"/>
          <w:numId w:val="41"/>
        </w:numPr>
        <w:spacing w:after="0" w:line="252" w:lineRule="auto"/>
        <w:rPr>
          <w:rFonts w:ascii="Times New Roman" w:eastAsia="Times New Roman" w:hAnsi="Times New Roman" w:cs="Times New Roman"/>
          <w:i/>
          <w:sz w:val="20"/>
          <w:szCs w:val="20"/>
        </w:rPr>
      </w:pPr>
      <w:r w:rsidRPr="007324A9">
        <w:rPr>
          <w:rFonts w:ascii="Times New Roman" w:eastAsia="Times New Roman" w:hAnsi="Times New Roman" w:cs="Times New Roman"/>
          <w:i/>
          <w:sz w:val="20"/>
          <w:szCs w:val="20"/>
        </w:rPr>
        <w:t>UE behavior will be the cancellation of the measurement/data reception or measurement/data related transmission</w:t>
      </w:r>
    </w:p>
    <w:p w14:paraId="570E5441" w14:textId="77777777" w:rsidR="006970D3" w:rsidRPr="007324A9" w:rsidRDefault="006970D3" w:rsidP="006970D3">
      <w:pPr>
        <w:numPr>
          <w:ilvl w:val="0"/>
          <w:numId w:val="41"/>
        </w:numPr>
        <w:spacing w:after="0" w:line="252" w:lineRule="auto"/>
        <w:ind w:left="1080"/>
        <w:rPr>
          <w:rFonts w:ascii="Times New Roman" w:eastAsia="Calibri" w:hAnsi="Times New Roman" w:cs="Times New Roman"/>
          <w:i/>
          <w:sz w:val="20"/>
          <w:szCs w:val="20"/>
        </w:rPr>
      </w:pPr>
      <w:r w:rsidRPr="007324A9">
        <w:rPr>
          <w:rFonts w:ascii="Times New Roman" w:hAnsi="Times New Roman" w:cs="Times New Roman"/>
          <w:i/>
          <w:sz w:val="20"/>
          <w:szCs w:val="20"/>
        </w:rPr>
        <w:t xml:space="preserve">For the states from semi-static DL/UL assignment </w:t>
      </w:r>
    </w:p>
    <w:p w14:paraId="5BC3306E"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“Unknown” in semi-static DL/UL assignment can be overwritten by measurement, dynamic SFI, and UE specific data</w:t>
      </w:r>
    </w:p>
    <w:p w14:paraId="6A25DE99"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DL/UL in semi-static DL/UL assignment cannot be overwritten to the other direction (DL to UL or UL to DL) by measurement, dynamic SFI and UE specific data</w:t>
      </w:r>
    </w:p>
    <w:p w14:paraId="49D99056"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DL/UL in semi-static DL/UL assignment cannot be overwritten by “unknown” by dynamic SFI</w:t>
      </w:r>
    </w:p>
    <w:p w14:paraId="3A831DA4" w14:textId="77777777" w:rsidR="006970D3" w:rsidRPr="007324A9" w:rsidRDefault="006970D3" w:rsidP="006970D3">
      <w:pPr>
        <w:numPr>
          <w:ilvl w:val="0"/>
          <w:numId w:val="41"/>
        </w:numPr>
        <w:spacing w:after="0" w:line="252" w:lineRule="auto"/>
        <w:ind w:left="1080"/>
        <w:rPr>
          <w:rFonts w:ascii="Times New Roman" w:hAnsi="Times New Roman" w:cs="Times New Roman"/>
          <w:i/>
          <w:sz w:val="20"/>
          <w:szCs w:val="20"/>
        </w:rPr>
      </w:pPr>
      <w:r w:rsidRPr="007324A9">
        <w:rPr>
          <w:rFonts w:ascii="Times New Roman" w:hAnsi="Times New Roman" w:cs="Times New Roman"/>
          <w:i/>
          <w:sz w:val="20"/>
          <w:szCs w:val="20"/>
        </w:rPr>
        <w:t xml:space="preserve">For the states from measurement in symbols not under DL/UL from semi-static DL/UL assignment: </w:t>
      </w:r>
    </w:p>
    <w:p w14:paraId="5314F3B8"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 xml:space="preserve">DL/UL direction implied by measurement can be overwritten by unknown in dynamic SFI </w:t>
      </w:r>
    </w:p>
    <w:p w14:paraId="65D6BD32" w14:textId="77777777" w:rsidR="006970D3" w:rsidRPr="007324A9" w:rsidRDefault="006970D3" w:rsidP="006970D3">
      <w:pPr>
        <w:numPr>
          <w:ilvl w:val="2"/>
          <w:numId w:val="41"/>
        </w:numPr>
        <w:spacing w:after="0" w:line="252" w:lineRule="auto"/>
        <w:ind w:left="2520"/>
        <w:rPr>
          <w:rFonts w:ascii="Times New Roman" w:hAnsi="Times New Roman" w:cs="Times New Roman"/>
          <w:i/>
          <w:sz w:val="20"/>
          <w:szCs w:val="20"/>
        </w:rPr>
      </w:pPr>
      <w:r w:rsidRPr="007324A9">
        <w:rPr>
          <w:rFonts w:ascii="Times New Roman" w:hAnsi="Times New Roman" w:cs="Times New Roman"/>
          <w:i/>
          <w:sz w:val="20"/>
          <w:szCs w:val="20"/>
        </w:rPr>
        <w:t>UE behavior will be the cancellation of the measurement or measurement related transmission</w:t>
      </w:r>
    </w:p>
    <w:p w14:paraId="7A2521D2"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lastRenderedPageBreak/>
        <w:t xml:space="preserve">DL/UL direction implied by measurement can be overwritten by UL/DL from dynamic SFI </w:t>
      </w:r>
    </w:p>
    <w:p w14:paraId="7D8F5C63" w14:textId="77777777" w:rsidR="006970D3" w:rsidRPr="007324A9" w:rsidRDefault="006970D3" w:rsidP="006970D3">
      <w:pPr>
        <w:numPr>
          <w:ilvl w:val="2"/>
          <w:numId w:val="41"/>
        </w:numPr>
        <w:spacing w:after="0" w:line="252" w:lineRule="auto"/>
        <w:ind w:left="2520"/>
        <w:rPr>
          <w:rFonts w:ascii="Times New Roman" w:hAnsi="Times New Roman" w:cs="Times New Roman"/>
          <w:i/>
          <w:sz w:val="20"/>
          <w:szCs w:val="20"/>
        </w:rPr>
      </w:pPr>
      <w:r w:rsidRPr="007324A9">
        <w:rPr>
          <w:rFonts w:ascii="Times New Roman" w:hAnsi="Times New Roman" w:cs="Times New Roman"/>
          <w:i/>
          <w:sz w:val="20"/>
          <w:szCs w:val="20"/>
        </w:rPr>
        <w:t>UE behavior will be the cancellation of the measurement or measurement related transmission</w:t>
      </w:r>
    </w:p>
    <w:p w14:paraId="7FD83FC4"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 xml:space="preserve">DL/UL direction implied by measurement can be overwritten by UE’s own UE-specific data if the UE specific data imples the other direction </w:t>
      </w:r>
    </w:p>
    <w:p w14:paraId="26134182" w14:textId="77777777" w:rsidR="006970D3" w:rsidRPr="007324A9" w:rsidRDefault="006970D3" w:rsidP="006970D3">
      <w:pPr>
        <w:numPr>
          <w:ilvl w:val="2"/>
          <w:numId w:val="41"/>
        </w:numPr>
        <w:spacing w:after="0" w:line="252" w:lineRule="auto"/>
        <w:ind w:left="2520"/>
        <w:rPr>
          <w:rFonts w:ascii="Times New Roman" w:hAnsi="Times New Roman" w:cs="Times New Roman"/>
          <w:i/>
          <w:sz w:val="20"/>
          <w:szCs w:val="20"/>
        </w:rPr>
      </w:pPr>
      <w:r w:rsidRPr="007324A9">
        <w:rPr>
          <w:rFonts w:ascii="Times New Roman" w:hAnsi="Times New Roman" w:cs="Times New Roman"/>
          <w:i/>
          <w:sz w:val="20"/>
          <w:szCs w:val="20"/>
        </w:rPr>
        <w:t>UE behavior will be the cancellation of the measurement or measurement related transmission</w:t>
      </w:r>
    </w:p>
    <w:p w14:paraId="4BC4E314" w14:textId="77777777" w:rsidR="006970D3" w:rsidRPr="007324A9" w:rsidRDefault="006970D3" w:rsidP="006970D3">
      <w:pPr>
        <w:numPr>
          <w:ilvl w:val="2"/>
          <w:numId w:val="41"/>
        </w:numPr>
        <w:spacing w:after="0" w:line="252" w:lineRule="auto"/>
        <w:ind w:left="2520"/>
        <w:rPr>
          <w:rFonts w:ascii="Times New Roman" w:hAnsi="Times New Roman" w:cs="Times New Roman"/>
          <w:i/>
          <w:sz w:val="20"/>
          <w:szCs w:val="20"/>
        </w:rPr>
      </w:pPr>
      <w:r w:rsidRPr="007324A9">
        <w:rPr>
          <w:rFonts w:ascii="Times New Roman" w:hAnsi="Times New Roman" w:cs="Times New Roman"/>
          <w:i/>
          <w:sz w:val="20"/>
          <w:szCs w:val="20"/>
        </w:rPr>
        <w:t>UE will follow the DCI for UE-specific data transmission and reception</w:t>
      </w:r>
    </w:p>
    <w:p w14:paraId="5B4861B6" w14:textId="77777777" w:rsidR="006970D3" w:rsidRPr="007324A9" w:rsidRDefault="006970D3" w:rsidP="006970D3">
      <w:pPr>
        <w:numPr>
          <w:ilvl w:val="0"/>
          <w:numId w:val="41"/>
        </w:numPr>
        <w:spacing w:after="0" w:line="252" w:lineRule="auto"/>
        <w:ind w:left="1080"/>
        <w:rPr>
          <w:rFonts w:ascii="Times New Roman" w:hAnsi="Times New Roman" w:cs="Times New Roman"/>
          <w:i/>
          <w:sz w:val="20"/>
          <w:szCs w:val="20"/>
        </w:rPr>
      </w:pPr>
      <w:r w:rsidRPr="007324A9">
        <w:rPr>
          <w:rFonts w:ascii="Times New Roman" w:hAnsi="Times New Roman" w:cs="Times New Roman"/>
          <w:i/>
          <w:sz w:val="20"/>
          <w:szCs w:val="20"/>
        </w:rPr>
        <w:t xml:space="preserve">For the states in dynamic SFI in symbols not under DL/UL from semi-static DL/UL assignment (Already agreed in other agreements and only include for completeness) </w:t>
      </w:r>
    </w:p>
    <w:p w14:paraId="02D96F18" w14:textId="77777777"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 xml:space="preserve">UL/DL in dynamic SFI cannot be overwritten by UE specific data </w:t>
      </w:r>
    </w:p>
    <w:p w14:paraId="6A879560" w14:textId="77777777" w:rsidR="006970D3" w:rsidRPr="007324A9" w:rsidRDefault="006970D3" w:rsidP="006970D3">
      <w:pPr>
        <w:numPr>
          <w:ilvl w:val="2"/>
          <w:numId w:val="41"/>
        </w:numPr>
        <w:spacing w:after="0" w:line="252" w:lineRule="auto"/>
        <w:ind w:left="2520"/>
        <w:rPr>
          <w:rFonts w:ascii="Times New Roman" w:hAnsi="Times New Roman" w:cs="Times New Roman"/>
          <w:i/>
          <w:sz w:val="20"/>
          <w:szCs w:val="20"/>
        </w:rPr>
      </w:pPr>
      <w:r w:rsidRPr="007324A9">
        <w:rPr>
          <w:rFonts w:ascii="Times New Roman" w:hAnsi="Times New Roman" w:cs="Times New Roman"/>
          <w:i/>
          <w:sz w:val="20"/>
          <w:szCs w:val="20"/>
        </w:rPr>
        <w:t>UE will treat it as an error case when UE specific data and dynamic SFI imply different transmit directions</w:t>
      </w:r>
    </w:p>
    <w:p w14:paraId="6E7A83C7" w14:textId="40CDD563" w:rsidR="006970D3" w:rsidRPr="007324A9" w:rsidRDefault="006970D3" w:rsidP="006970D3">
      <w:pPr>
        <w:numPr>
          <w:ilvl w:val="1"/>
          <w:numId w:val="41"/>
        </w:numPr>
        <w:spacing w:after="0" w:line="252" w:lineRule="auto"/>
        <w:ind w:left="1800"/>
        <w:rPr>
          <w:rFonts w:ascii="Times New Roman" w:hAnsi="Times New Roman" w:cs="Times New Roman"/>
          <w:i/>
          <w:sz w:val="20"/>
          <w:szCs w:val="20"/>
        </w:rPr>
      </w:pPr>
      <w:r w:rsidRPr="007324A9">
        <w:rPr>
          <w:rFonts w:ascii="Times New Roman" w:hAnsi="Times New Roman" w:cs="Times New Roman"/>
          <w:i/>
          <w:sz w:val="20"/>
          <w:szCs w:val="20"/>
        </w:rPr>
        <w:t xml:space="preserve">Unknown in dynamic SFI can be overwritten by UE specific data (change to DL or UL) </w:t>
      </w:r>
    </w:p>
    <w:p w14:paraId="33800B8F" w14:textId="11EF3B18" w:rsidR="006970D3" w:rsidRPr="007324A9" w:rsidRDefault="006970D3" w:rsidP="006970D3">
      <w:pPr>
        <w:numPr>
          <w:ilvl w:val="2"/>
          <w:numId w:val="41"/>
        </w:numPr>
        <w:spacing w:after="0" w:line="252" w:lineRule="auto"/>
        <w:rPr>
          <w:rFonts w:ascii="Times New Roman" w:hAnsi="Times New Roman" w:cs="Times New Roman"/>
          <w:i/>
          <w:sz w:val="20"/>
          <w:szCs w:val="20"/>
        </w:rPr>
      </w:pPr>
      <w:r w:rsidRPr="007324A9">
        <w:rPr>
          <w:rFonts w:ascii="Times New Roman" w:hAnsi="Times New Roman" w:cs="Times New Roman"/>
          <w:i/>
          <w:sz w:val="20"/>
          <w:szCs w:val="20"/>
        </w:rPr>
        <w:t>UE will follow the DCI for UE-specific data transmission and reception</w:t>
      </w:r>
    </w:p>
    <w:p w14:paraId="2BECEAE1" w14:textId="1701EB52" w:rsidR="006970D3" w:rsidRDefault="006970D3" w:rsidP="00935B35">
      <w:pPr>
        <w:jc w:val="both"/>
        <w:rPr>
          <w:rFonts w:ascii="Times New Roman" w:hAnsi="Times New Roman"/>
          <w:sz w:val="20"/>
          <w:szCs w:val="20"/>
        </w:rPr>
      </w:pPr>
    </w:p>
    <w:p w14:paraId="3FAD7897" w14:textId="7CF808FD" w:rsidR="00885C4D" w:rsidRDefault="00885C4D" w:rsidP="00935B35">
      <w:pPr>
        <w:jc w:val="both"/>
        <w:rPr>
          <w:rFonts w:ascii="Times New Roman" w:hAnsi="Times New Roman"/>
          <w:sz w:val="20"/>
          <w:szCs w:val="20"/>
        </w:rPr>
      </w:pPr>
    </w:p>
    <w:p w14:paraId="2320CC73" w14:textId="1C8C8323" w:rsidR="00885C4D" w:rsidRDefault="00885C4D" w:rsidP="00935B35">
      <w:pPr>
        <w:jc w:val="both"/>
        <w:rPr>
          <w:rFonts w:ascii="Times New Roman" w:hAnsi="Times New Roman"/>
          <w:sz w:val="20"/>
          <w:szCs w:val="20"/>
        </w:rPr>
      </w:pPr>
      <w:r w:rsidRPr="003D08C7">
        <w:rPr>
          <w:rFonts w:ascii="Times New Roman" w:hAnsi="Times New Roman"/>
          <w:sz w:val="20"/>
          <w:szCs w:val="20"/>
        </w:rPr>
        <w:t xml:space="preserve">We think that essential </w:t>
      </w:r>
      <w:r w:rsidR="00CC3151" w:rsidRPr="003D08C7">
        <w:rPr>
          <w:rFonts w:ascii="Times New Roman" w:hAnsi="Times New Roman"/>
          <w:sz w:val="20"/>
          <w:szCs w:val="20"/>
        </w:rPr>
        <w:t>signals, such as PRACH</w:t>
      </w:r>
      <w:r w:rsidR="0022197E">
        <w:rPr>
          <w:rFonts w:ascii="Times New Roman" w:hAnsi="Times New Roman"/>
          <w:sz w:val="20"/>
          <w:szCs w:val="20"/>
        </w:rPr>
        <w:t xml:space="preserve"> resource</w:t>
      </w:r>
      <w:r w:rsidR="00CC3151" w:rsidRPr="003D08C7">
        <w:rPr>
          <w:rFonts w:ascii="Times New Roman" w:hAnsi="Times New Roman"/>
          <w:sz w:val="20"/>
          <w:szCs w:val="20"/>
        </w:rPr>
        <w:t xml:space="preserve">, </w:t>
      </w:r>
      <w:r w:rsidR="0086165D">
        <w:rPr>
          <w:rFonts w:ascii="Times New Roman" w:hAnsi="Times New Roman"/>
          <w:sz w:val="20"/>
          <w:szCs w:val="20"/>
        </w:rPr>
        <w:t>SSB</w:t>
      </w:r>
      <w:r w:rsidRPr="003D08C7">
        <w:rPr>
          <w:rFonts w:ascii="Times New Roman" w:hAnsi="Times New Roman"/>
          <w:sz w:val="20"/>
          <w:szCs w:val="20"/>
        </w:rPr>
        <w:t xml:space="preserve"> should not be overridden by any dynamic or semi-static signaling.</w:t>
      </w:r>
    </w:p>
    <w:p w14:paraId="4312FD13" w14:textId="114442B0" w:rsidR="00711A49" w:rsidRPr="003D08C7" w:rsidRDefault="003D08C7" w:rsidP="00935B35">
      <w:pPr>
        <w:jc w:val="both"/>
        <w:rPr>
          <w:rFonts w:ascii="Times New Roman" w:hAnsi="Times New Roman"/>
          <w:b/>
          <w:sz w:val="20"/>
          <w:szCs w:val="20"/>
        </w:rPr>
      </w:pPr>
      <w:r w:rsidRPr="003D08C7">
        <w:rPr>
          <w:rFonts w:ascii="Times New Roman" w:hAnsi="Times New Roman"/>
          <w:b/>
          <w:sz w:val="20"/>
          <w:szCs w:val="20"/>
        </w:rPr>
        <w:t>Proposal-</w:t>
      </w:r>
      <w:r w:rsidR="0086165D">
        <w:rPr>
          <w:rFonts w:ascii="Times New Roman" w:hAnsi="Times New Roman"/>
          <w:b/>
          <w:sz w:val="20"/>
          <w:szCs w:val="20"/>
        </w:rPr>
        <w:t>1</w:t>
      </w:r>
      <w:r w:rsidRPr="003D08C7">
        <w:rPr>
          <w:rFonts w:ascii="Times New Roman" w:hAnsi="Times New Roman"/>
          <w:b/>
          <w:sz w:val="20"/>
          <w:szCs w:val="20"/>
        </w:rPr>
        <w:t xml:space="preserve">: </w:t>
      </w:r>
      <w:r w:rsidR="006B5773">
        <w:rPr>
          <w:rFonts w:ascii="Times New Roman" w:hAnsi="Times New Roman"/>
          <w:b/>
          <w:sz w:val="20"/>
          <w:szCs w:val="20"/>
        </w:rPr>
        <w:t>SSB and</w:t>
      </w:r>
      <w:r w:rsidR="00EB0891">
        <w:rPr>
          <w:rFonts w:ascii="Times New Roman" w:hAnsi="Times New Roman"/>
          <w:b/>
          <w:sz w:val="20"/>
          <w:szCs w:val="20"/>
        </w:rPr>
        <w:t xml:space="preserve"> </w:t>
      </w:r>
      <w:r w:rsidRPr="003D08C7">
        <w:rPr>
          <w:rFonts w:ascii="Times New Roman" w:hAnsi="Times New Roman"/>
          <w:b/>
          <w:sz w:val="20"/>
          <w:szCs w:val="20"/>
        </w:rPr>
        <w:t>PRACH</w:t>
      </w:r>
      <w:r w:rsidR="00FE6024">
        <w:rPr>
          <w:rFonts w:ascii="Times New Roman" w:hAnsi="Times New Roman"/>
          <w:b/>
          <w:sz w:val="20"/>
          <w:szCs w:val="20"/>
        </w:rPr>
        <w:t xml:space="preserve"> </w:t>
      </w:r>
      <w:r w:rsidRPr="003D08C7">
        <w:rPr>
          <w:rFonts w:ascii="Times New Roman" w:hAnsi="Times New Roman"/>
          <w:b/>
          <w:sz w:val="20"/>
          <w:szCs w:val="20"/>
        </w:rPr>
        <w:t xml:space="preserve">are not expected to be </w:t>
      </w:r>
      <w:r w:rsidRPr="0022197E">
        <w:rPr>
          <w:rFonts w:ascii="Times New Roman" w:hAnsi="Times New Roman"/>
          <w:b/>
          <w:sz w:val="20"/>
          <w:szCs w:val="20"/>
        </w:rPr>
        <w:t>overridden</w:t>
      </w:r>
      <w:r w:rsidR="0022197E" w:rsidRPr="0022197E">
        <w:rPr>
          <w:rFonts w:ascii="Times New Roman" w:hAnsi="Times New Roman"/>
          <w:b/>
          <w:sz w:val="20"/>
          <w:szCs w:val="20"/>
        </w:rPr>
        <w:t xml:space="preserve"> by any dynamic</w:t>
      </w:r>
      <w:r w:rsidR="006B5773">
        <w:rPr>
          <w:rFonts w:ascii="Times New Roman" w:hAnsi="Times New Roman"/>
          <w:b/>
          <w:sz w:val="20"/>
          <w:szCs w:val="20"/>
        </w:rPr>
        <w:t xml:space="preserve"> </w:t>
      </w:r>
      <w:r w:rsidR="0022197E" w:rsidRPr="0022197E">
        <w:rPr>
          <w:rFonts w:ascii="Times New Roman" w:hAnsi="Times New Roman"/>
          <w:b/>
          <w:sz w:val="20"/>
          <w:szCs w:val="20"/>
        </w:rPr>
        <w:t>or semi-static signaling</w:t>
      </w:r>
      <w:r w:rsidRPr="0022197E">
        <w:rPr>
          <w:rFonts w:ascii="Times New Roman" w:hAnsi="Times New Roman"/>
          <w:b/>
          <w:sz w:val="20"/>
          <w:szCs w:val="20"/>
        </w:rPr>
        <w:t>.</w:t>
      </w:r>
      <w:r w:rsidRPr="003D08C7">
        <w:rPr>
          <w:rFonts w:ascii="Times New Roman" w:hAnsi="Times New Roman"/>
          <w:b/>
          <w:sz w:val="20"/>
          <w:szCs w:val="20"/>
        </w:rPr>
        <w:t xml:space="preserve"> </w:t>
      </w:r>
    </w:p>
    <w:p w14:paraId="58FB65FA" w14:textId="0CFD0220" w:rsidR="00CC3151" w:rsidRDefault="00CC3151" w:rsidP="00935B35">
      <w:pPr>
        <w:jc w:val="both"/>
        <w:rPr>
          <w:rFonts w:ascii="Times New Roman" w:hAnsi="Times New Roman"/>
          <w:sz w:val="20"/>
          <w:szCs w:val="20"/>
        </w:rPr>
      </w:pPr>
      <w:r>
        <w:rPr>
          <w:rFonts w:ascii="Times New Roman" w:hAnsi="Times New Roman"/>
          <w:sz w:val="20"/>
          <w:szCs w:val="20"/>
        </w:rPr>
        <w:t xml:space="preserve">When coming </w:t>
      </w:r>
      <w:r w:rsidR="003D08C7">
        <w:rPr>
          <w:rFonts w:ascii="Times New Roman" w:hAnsi="Times New Roman"/>
          <w:sz w:val="20"/>
          <w:szCs w:val="20"/>
        </w:rPr>
        <w:t xml:space="preserve">to </w:t>
      </w:r>
      <w:r>
        <w:rPr>
          <w:rFonts w:ascii="Times New Roman" w:hAnsi="Times New Roman"/>
          <w:sz w:val="20"/>
          <w:szCs w:val="20"/>
        </w:rPr>
        <w:t xml:space="preserve">relation </w:t>
      </w:r>
      <w:r w:rsidR="003D08C7">
        <w:rPr>
          <w:rFonts w:ascii="Times New Roman" w:hAnsi="Times New Roman"/>
          <w:sz w:val="20"/>
          <w:szCs w:val="20"/>
        </w:rPr>
        <w:t>between</w:t>
      </w:r>
      <w:r>
        <w:rPr>
          <w:rFonts w:ascii="Times New Roman" w:hAnsi="Times New Roman"/>
          <w:sz w:val="20"/>
          <w:szCs w:val="20"/>
        </w:rPr>
        <w:t xml:space="preserve"> scheduling DCI and GC-PDCC</w:t>
      </w:r>
      <w:r w:rsidR="003D08C7">
        <w:rPr>
          <w:rFonts w:ascii="Times New Roman" w:hAnsi="Times New Roman"/>
          <w:sz w:val="20"/>
          <w:szCs w:val="20"/>
        </w:rPr>
        <w:t>H</w:t>
      </w:r>
      <w:r>
        <w:rPr>
          <w:rFonts w:ascii="Times New Roman" w:hAnsi="Times New Roman"/>
          <w:sz w:val="20"/>
          <w:szCs w:val="20"/>
        </w:rPr>
        <w:t>.</w:t>
      </w:r>
      <w:r w:rsidR="003D08C7">
        <w:rPr>
          <w:rFonts w:ascii="Times New Roman" w:hAnsi="Times New Roman"/>
          <w:sz w:val="20"/>
          <w:szCs w:val="20"/>
        </w:rPr>
        <w:t xml:space="preserve"> </w:t>
      </w:r>
      <w:r>
        <w:rPr>
          <w:rFonts w:ascii="Times New Roman" w:hAnsi="Times New Roman"/>
          <w:sz w:val="20"/>
          <w:szCs w:val="20"/>
        </w:rPr>
        <w:t xml:space="preserve">The latest transmitted information </w:t>
      </w:r>
      <w:r w:rsidR="003D08C7">
        <w:rPr>
          <w:rFonts w:ascii="Times New Roman" w:hAnsi="Times New Roman"/>
          <w:sz w:val="20"/>
          <w:szCs w:val="20"/>
        </w:rPr>
        <w:t>c</w:t>
      </w:r>
      <w:r>
        <w:rPr>
          <w:rFonts w:ascii="Times New Roman" w:hAnsi="Times New Roman"/>
          <w:sz w:val="20"/>
          <w:szCs w:val="20"/>
        </w:rPr>
        <w:t xml:space="preserve">ould be valid. On the other </w:t>
      </w:r>
      <w:r w:rsidR="00EB0891">
        <w:rPr>
          <w:rFonts w:ascii="Times New Roman" w:hAnsi="Times New Roman"/>
          <w:sz w:val="20"/>
          <w:szCs w:val="20"/>
        </w:rPr>
        <w:t>hand,</w:t>
      </w:r>
      <w:r w:rsidR="003D08C7">
        <w:rPr>
          <w:rFonts w:ascii="Times New Roman" w:hAnsi="Times New Roman"/>
          <w:sz w:val="20"/>
          <w:szCs w:val="20"/>
        </w:rPr>
        <w:t xml:space="preserve"> it</w:t>
      </w:r>
      <w:r>
        <w:rPr>
          <w:rFonts w:ascii="Times New Roman" w:hAnsi="Times New Roman"/>
          <w:sz w:val="20"/>
          <w:szCs w:val="20"/>
        </w:rPr>
        <w:t xml:space="preserve"> is not clear whether SFI information can be val</w:t>
      </w:r>
      <w:r w:rsidR="00EB0891">
        <w:rPr>
          <w:rFonts w:ascii="Times New Roman" w:hAnsi="Times New Roman"/>
          <w:sz w:val="20"/>
          <w:szCs w:val="20"/>
        </w:rPr>
        <w:t>id</w:t>
      </w:r>
      <w:r>
        <w:rPr>
          <w:rFonts w:ascii="Times New Roman" w:hAnsi="Times New Roman"/>
          <w:sz w:val="20"/>
          <w:szCs w:val="20"/>
        </w:rPr>
        <w:t xml:space="preserve"> for the currently transmitted slot. If for example UL has been scheduled and SFI later overwrites the slot to DL, then it is not clear whether UE can stop prepared transmission immediately</w:t>
      </w:r>
      <w:r w:rsidR="00EB0891">
        <w:rPr>
          <w:rFonts w:ascii="Times New Roman" w:hAnsi="Times New Roman"/>
          <w:sz w:val="20"/>
          <w:szCs w:val="20"/>
        </w:rPr>
        <w:t xml:space="preserve"> after reception of GC-PDCCH and change direction</w:t>
      </w:r>
      <w:r>
        <w:rPr>
          <w:rFonts w:ascii="Times New Roman" w:hAnsi="Times New Roman"/>
          <w:sz w:val="20"/>
          <w:szCs w:val="20"/>
        </w:rPr>
        <w:t xml:space="preserve">. Therefore, we think it would be better if </w:t>
      </w:r>
      <w:r w:rsidRPr="00C51AFB">
        <w:rPr>
          <w:rFonts w:ascii="Times New Roman" w:hAnsi="Times New Roman"/>
          <w:sz w:val="20"/>
          <w:szCs w:val="20"/>
        </w:rPr>
        <w:t>scheduling DCI is the one with</w:t>
      </w:r>
      <w:r w:rsidR="00EB0891" w:rsidRPr="00C51AFB">
        <w:rPr>
          <w:rFonts w:ascii="Times New Roman" w:hAnsi="Times New Roman"/>
          <w:sz w:val="20"/>
          <w:szCs w:val="20"/>
        </w:rPr>
        <w:t xml:space="preserve"> the</w:t>
      </w:r>
      <w:r w:rsidRPr="00C51AFB">
        <w:rPr>
          <w:rFonts w:ascii="Times New Roman" w:hAnsi="Times New Roman"/>
          <w:sz w:val="20"/>
          <w:szCs w:val="20"/>
        </w:rPr>
        <w:t xml:space="preserve"> highe</w:t>
      </w:r>
      <w:r w:rsidR="00EB0891" w:rsidRPr="00C51AFB">
        <w:rPr>
          <w:rFonts w:ascii="Times New Roman" w:hAnsi="Times New Roman"/>
          <w:sz w:val="20"/>
          <w:szCs w:val="20"/>
        </w:rPr>
        <w:t>st</w:t>
      </w:r>
      <w:r w:rsidRPr="00C51AFB">
        <w:rPr>
          <w:rFonts w:ascii="Times New Roman" w:hAnsi="Times New Roman"/>
          <w:sz w:val="20"/>
          <w:szCs w:val="20"/>
        </w:rPr>
        <w:t xml:space="preserve"> priority and if GC-PDCCH says something else than </w:t>
      </w:r>
      <w:r w:rsidR="00EB0891" w:rsidRPr="00C51AFB">
        <w:rPr>
          <w:rFonts w:ascii="Times New Roman" w:hAnsi="Times New Roman"/>
          <w:sz w:val="20"/>
          <w:szCs w:val="20"/>
        </w:rPr>
        <w:t>GC-PDCCH</w:t>
      </w:r>
      <w:r w:rsidRPr="00C51AFB">
        <w:rPr>
          <w:rFonts w:ascii="Times New Roman" w:hAnsi="Times New Roman"/>
          <w:sz w:val="20"/>
          <w:szCs w:val="20"/>
        </w:rPr>
        <w:t xml:space="preserve"> is considered as </w:t>
      </w:r>
      <w:r w:rsidR="00C51AFB" w:rsidRPr="00C51AFB">
        <w:rPr>
          <w:rFonts w:ascii="Times New Roman" w:hAnsi="Times New Roman"/>
          <w:sz w:val="20"/>
          <w:szCs w:val="20"/>
        </w:rPr>
        <w:t>erroneous, i.e. UE follows</w:t>
      </w:r>
      <w:r w:rsidR="00C51AFB">
        <w:rPr>
          <w:rFonts w:ascii="Times New Roman" w:hAnsi="Times New Roman"/>
          <w:sz w:val="20"/>
          <w:szCs w:val="20"/>
        </w:rPr>
        <w:t xml:space="preserve"> the UE-specific data assignment.</w:t>
      </w:r>
      <w:r>
        <w:rPr>
          <w:rFonts w:ascii="Times New Roman" w:hAnsi="Times New Roman"/>
          <w:sz w:val="20"/>
          <w:szCs w:val="20"/>
        </w:rPr>
        <w:t xml:space="preserve"> </w:t>
      </w:r>
    </w:p>
    <w:p w14:paraId="381CC120" w14:textId="3BF62E6F" w:rsidR="00711A49" w:rsidRPr="003D08C7" w:rsidRDefault="003D08C7" w:rsidP="00935B35">
      <w:pPr>
        <w:jc w:val="both"/>
        <w:rPr>
          <w:rFonts w:ascii="Times New Roman" w:hAnsi="Times New Roman"/>
          <w:b/>
          <w:sz w:val="20"/>
          <w:szCs w:val="20"/>
        </w:rPr>
      </w:pPr>
      <w:r w:rsidRPr="00C51AFB">
        <w:rPr>
          <w:rFonts w:ascii="Times New Roman" w:hAnsi="Times New Roman" w:cs="Times New Roman"/>
          <w:b/>
          <w:sz w:val="20"/>
          <w:szCs w:val="20"/>
        </w:rPr>
        <w:t>Proposal-</w:t>
      </w:r>
      <w:r w:rsidR="0086165D" w:rsidRPr="00C51AFB">
        <w:rPr>
          <w:rFonts w:ascii="Times New Roman" w:hAnsi="Times New Roman" w:cs="Times New Roman"/>
          <w:b/>
          <w:sz w:val="20"/>
          <w:szCs w:val="20"/>
        </w:rPr>
        <w:t>2:</w:t>
      </w:r>
      <w:r w:rsidRPr="00C51AFB">
        <w:rPr>
          <w:rFonts w:ascii="Times New Roman" w:hAnsi="Times New Roman" w:cs="Times New Roman"/>
          <w:b/>
          <w:sz w:val="20"/>
          <w:szCs w:val="20"/>
        </w:rPr>
        <w:t xml:space="preserve"> UE-specific data and measurement related signals not semi-statically configured by RRC </w:t>
      </w:r>
      <w:r w:rsidR="00EB0891" w:rsidRPr="00C51AFB">
        <w:rPr>
          <w:rFonts w:ascii="Times New Roman" w:hAnsi="Times New Roman" w:cs="Times New Roman"/>
          <w:b/>
          <w:sz w:val="20"/>
          <w:szCs w:val="20"/>
        </w:rPr>
        <w:t>cannot be overridden by</w:t>
      </w:r>
      <w:r w:rsidRPr="00C51AFB">
        <w:rPr>
          <w:rFonts w:ascii="Times New Roman" w:hAnsi="Times New Roman" w:cs="Times New Roman"/>
          <w:b/>
          <w:sz w:val="20"/>
          <w:szCs w:val="20"/>
        </w:rPr>
        <w:t xml:space="preserve"> dynamic SFI</w:t>
      </w:r>
      <w:r w:rsidR="00EB0891" w:rsidRPr="00C51AFB">
        <w:rPr>
          <w:rFonts w:ascii="Times New Roman" w:hAnsi="Times New Roman" w:cs="Times New Roman"/>
          <w:b/>
          <w:sz w:val="20"/>
          <w:szCs w:val="20"/>
        </w:rPr>
        <w:t>.</w:t>
      </w:r>
      <w:r>
        <w:rPr>
          <w:rFonts w:ascii="Times New Roman" w:hAnsi="Times New Roman" w:cs="Times New Roman"/>
          <w:b/>
          <w:sz w:val="20"/>
          <w:szCs w:val="20"/>
        </w:rPr>
        <w:t xml:space="preserve"> </w:t>
      </w:r>
    </w:p>
    <w:p w14:paraId="527DC90C" w14:textId="68A63AD4" w:rsidR="00885C4D" w:rsidRPr="002C47F0" w:rsidRDefault="00EB0891" w:rsidP="00935B35">
      <w:pPr>
        <w:jc w:val="both"/>
        <w:rPr>
          <w:rFonts w:ascii="Times New Roman" w:hAnsi="Times New Roman"/>
          <w:sz w:val="20"/>
          <w:szCs w:val="20"/>
        </w:rPr>
      </w:pPr>
      <w:r>
        <w:rPr>
          <w:rFonts w:ascii="Times New Roman" w:hAnsi="Times New Roman"/>
          <w:sz w:val="20"/>
          <w:szCs w:val="20"/>
        </w:rPr>
        <w:t>Furthermore, we think that t</w:t>
      </w:r>
      <w:r w:rsidR="00885C4D">
        <w:rPr>
          <w:rFonts w:ascii="Times New Roman" w:hAnsi="Times New Roman"/>
          <w:sz w:val="20"/>
          <w:szCs w:val="20"/>
        </w:rPr>
        <w:t xml:space="preserve">he blind detection in configured PDCCH monitoring occasions should be performed by UE, unless at least one of the symbols overlapping with CORESET associated with PDCCH monitoring is </w:t>
      </w:r>
      <w:r>
        <w:rPr>
          <w:rFonts w:ascii="Times New Roman" w:hAnsi="Times New Roman"/>
          <w:sz w:val="20"/>
          <w:szCs w:val="20"/>
        </w:rPr>
        <w:t>signaled</w:t>
      </w:r>
      <w:r w:rsidR="00885C4D">
        <w:rPr>
          <w:rFonts w:ascii="Times New Roman" w:hAnsi="Times New Roman"/>
          <w:sz w:val="20"/>
          <w:szCs w:val="20"/>
        </w:rPr>
        <w:t xml:space="preserve"> to be UL. </w:t>
      </w:r>
      <w:r>
        <w:rPr>
          <w:rFonts w:ascii="Times New Roman" w:hAnsi="Times New Roman"/>
          <w:sz w:val="20"/>
          <w:szCs w:val="20"/>
        </w:rPr>
        <w:t>In addition, the blind detection could be</w:t>
      </w:r>
      <w:r w:rsidR="00885C4D">
        <w:rPr>
          <w:rFonts w:ascii="Times New Roman" w:hAnsi="Times New Roman"/>
          <w:sz w:val="20"/>
          <w:szCs w:val="20"/>
        </w:rPr>
        <w:t xml:space="preserve"> </w:t>
      </w:r>
      <w:r>
        <w:rPr>
          <w:rFonts w:ascii="Times New Roman" w:hAnsi="Times New Roman"/>
          <w:sz w:val="20"/>
          <w:szCs w:val="20"/>
        </w:rPr>
        <w:t>canceled by signalling</w:t>
      </w:r>
      <w:r w:rsidR="00885C4D">
        <w:rPr>
          <w:rFonts w:ascii="Times New Roman" w:hAnsi="Times New Roman"/>
          <w:sz w:val="20"/>
          <w:szCs w:val="20"/>
        </w:rPr>
        <w:t xml:space="preserve"> unknown</w:t>
      </w:r>
      <w:r w:rsidR="0023504B">
        <w:rPr>
          <w:rFonts w:ascii="Times New Roman" w:hAnsi="Times New Roman"/>
          <w:sz w:val="20"/>
          <w:szCs w:val="20"/>
        </w:rPr>
        <w:t xml:space="preserve"> symbol</w:t>
      </w:r>
      <w:r>
        <w:rPr>
          <w:rFonts w:ascii="Times New Roman" w:hAnsi="Times New Roman"/>
          <w:sz w:val="20"/>
          <w:szCs w:val="20"/>
        </w:rPr>
        <w:t xml:space="preserve"> overlapping with the CORESET </w:t>
      </w:r>
      <w:r w:rsidR="00885C4D">
        <w:rPr>
          <w:rFonts w:ascii="Times New Roman" w:hAnsi="Times New Roman"/>
          <w:sz w:val="20"/>
          <w:szCs w:val="20"/>
        </w:rPr>
        <w:t xml:space="preserve">by GC-PDCCH. </w:t>
      </w:r>
      <w:r>
        <w:rPr>
          <w:rFonts w:ascii="Times New Roman" w:hAnsi="Times New Roman"/>
          <w:sz w:val="20"/>
          <w:szCs w:val="20"/>
        </w:rPr>
        <w:t>In other words, t</w:t>
      </w:r>
      <w:r w:rsidR="00885C4D">
        <w:rPr>
          <w:rFonts w:ascii="Times New Roman" w:hAnsi="Times New Roman"/>
          <w:sz w:val="20"/>
          <w:szCs w:val="20"/>
        </w:rPr>
        <w:t xml:space="preserve">he GC-PDCCH could be used to </w:t>
      </w:r>
      <w:r w:rsidR="0023504B">
        <w:rPr>
          <w:rFonts w:ascii="Times New Roman" w:hAnsi="Times New Roman"/>
          <w:sz w:val="20"/>
          <w:szCs w:val="20"/>
        </w:rPr>
        <w:t>reduce the PDCCH monitoring</w:t>
      </w:r>
      <w:r>
        <w:rPr>
          <w:rFonts w:ascii="Times New Roman" w:hAnsi="Times New Roman"/>
          <w:sz w:val="20"/>
          <w:szCs w:val="20"/>
        </w:rPr>
        <w:t xml:space="preserve"> load</w:t>
      </w:r>
      <w:r w:rsidR="0023504B">
        <w:rPr>
          <w:rFonts w:ascii="Times New Roman" w:hAnsi="Times New Roman"/>
          <w:sz w:val="20"/>
          <w:szCs w:val="20"/>
        </w:rPr>
        <w:t xml:space="preserve">. </w:t>
      </w:r>
      <w:r w:rsidR="00885C4D">
        <w:rPr>
          <w:rFonts w:ascii="Times New Roman" w:hAnsi="Times New Roman"/>
          <w:sz w:val="20"/>
          <w:szCs w:val="20"/>
        </w:rPr>
        <w:t xml:space="preserve"> </w:t>
      </w:r>
    </w:p>
    <w:p w14:paraId="748B290F" w14:textId="5910DDF3" w:rsidR="00C46A35" w:rsidRDefault="0023504B" w:rsidP="00F50A14">
      <w:pPr>
        <w:rPr>
          <w:rFonts w:ascii="Times New Roman" w:hAnsi="Times New Roman"/>
          <w:b/>
          <w:sz w:val="20"/>
          <w:szCs w:val="20"/>
        </w:rPr>
      </w:pPr>
      <w:r>
        <w:rPr>
          <w:rFonts w:ascii="Times New Roman" w:hAnsi="Times New Roman"/>
          <w:b/>
          <w:sz w:val="20"/>
          <w:szCs w:val="20"/>
        </w:rPr>
        <w:t>Proposal</w:t>
      </w:r>
      <w:r w:rsidR="003D08C7">
        <w:rPr>
          <w:rFonts w:ascii="Times New Roman" w:hAnsi="Times New Roman"/>
          <w:b/>
          <w:sz w:val="20"/>
          <w:szCs w:val="20"/>
        </w:rPr>
        <w:t>-</w:t>
      </w:r>
      <w:r w:rsidR="0086165D">
        <w:rPr>
          <w:rFonts w:ascii="Times New Roman" w:hAnsi="Times New Roman"/>
          <w:b/>
          <w:sz w:val="20"/>
          <w:szCs w:val="20"/>
        </w:rPr>
        <w:t>3</w:t>
      </w:r>
      <w:r>
        <w:rPr>
          <w:rFonts w:ascii="Times New Roman" w:hAnsi="Times New Roman"/>
          <w:b/>
          <w:sz w:val="20"/>
          <w:szCs w:val="20"/>
        </w:rPr>
        <w:t>: UE monitors PDCCH as configured, unless symbol</w:t>
      </w:r>
      <w:r w:rsidR="0030220B">
        <w:rPr>
          <w:rFonts w:ascii="Times New Roman" w:hAnsi="Times New Roman"/>
          <w:b/>
          <w:sz w:val="20"/>
          <w:szCs w:val="20"/>
        </w:rPr>
        <w:t>(s)</w:t>
      </w:r>
      <w:r>
        <w:rPr>
          <w:rFonts w:ascii="Times New Roman" w:hAnsi="Times New Roman"/>
          <w:b/>
          <w:sz w:val="20"/>
          <w:szCs w:val="20"/>
        </w:rPr>
        <w:t xml:space="preserve"> of the CORESET carrying the search-space-set overlaps at least partially with symbol</w:t>
      </w:r>
      <w:r w:rsidR="0030220B">
        <w:rPr>
          <w:rFonts w:ascii="Times New Roman" w:hAnsi="Times New Roman"/>
          <w:b/>
          <w:sz w:val="20"/>
          <w:szCs w:val="20"/>
        </w:rPr>
        <w:t>s</w:t>
      </w:r>
      <w:r>
        <w:rPr>
          <w:rFonts w:ascii="Times New Roman" w:hAnsi="Times New Roman"/>
          <w:b/>
          <w:sz w:val="20"/>
          <w:szCs w:val="20"/>
        </w:rPr>
        <w:t xml:space="preserve"> that has been signaled</w:t>
      </w:r>
      <w:r w:rsidR="006B5773">
        <w:rPr>
          <w:rFonts w:ascii="Times New Roman" w:hAnsi="Times New Roman"/>
          <w:b/>
          <w:sz w:val="20"/>
          <w:szCs w:val="20"/>
        </w:rPr>
        <w:t>/configured</w:t>
      </w:r>
      <w:r>
        <w:rPr>
          <w:rFonts w:ascii="Times New Roman" w:hAnsi="Times New Roman"/>
          <w:b/>
          <w:sz w:val="20"/>
          <w:szCs w:val="20"/>
        </w:rPr>
        <w:t xml:space="preserve"> to be</w:t>
      </w:r>
      <w:r w:rsidR="0030220B">
        <w:rPr>
          <w:rFonts w:ascii="Times New Roman" w:hAnsi="Times New Roman"/>
          <w:b/>
          <w:sz w:val="20"/>
          <w:szCs w:val="20"/>
        </w:rPr>
        <w:t xml:space="preserve"> UL</w:t>
      </w:r>
      <w:r>
        <w:rPr>
          <w:rFonts w:ascii="Times New Roman" w:hAnsi="Times New Roman"/>
          <w:b/>
          <w:sz w:val="20"/>
          <w:szCs w:val="20"/>
        </w:rPr>
        <w:t xml:space="preserve"> or has been signaled as “unknown” in GC-PDCCH.</w:t>
      </w:r>
    </w:p>
    <w:p w14:paraId="20D99D35" w14:textId="7E0E053F" w:rsidR="00EB6259" w:rsidRDefault="00EB6259" w:rsidP="00F50A14">
      <w:pPr>
        <w:rPr>
          <w:rFonts w:ascii="Times New Roman" w:hAnsi="Times New Roman"/>
          <w:sz w:val="20"/>
          <w:szCs w:val="20"/>
        </w:rPr>
      </w:pPr>
      <w:r>
        <w:rPr>
          <w:rFonts w:ascii="Times New Roman" w:hAnsi="Times New Roman"/>
          <w:sz w:val="20"/>
          <w:szCs w:val="20"/>
        </w:rPr>
        <w:t xml:space="preserve">One more open issue is </w:t>
      </w:r>
      <w:r w:rsidR="0023504B">
        <w:rPr>
          <w:rFonts w:ascii="Times New Roman" w:hAnsi="Times New Roman"/>
          <w:sz w:val="20"/>
          <w:szCs w:val="20"/>
        </w:rPr>
        <w:t xml:space="preserve">the </w:t>
      </w:r>
      <w:r>
        <w:rPr>
          <w:rFonts w:ascii="Times New Roman" w:hAnsi="Times New Roman"/>
          <w:sz w:val="20"/>
          <w:szCs w:val="20"/>
        </w:rPr>
        <w:t>fall-back</w:t>
      </w:r>
      <w:r w:rsidR="0023504B">
        <w:rPr>
          <w:rFonts w:ascii="Times New Roman" w:hAnsi="Times New Roman"/>
          <w:sz w:val="20"/>
          <w:szCs w:val="20"/>
        </w:rPr>
        <w:t xml:space="preserve"> behavior</w:t>
      </w:r>
      <w:r>
        <w:rPr>
          <w:rFonts w:ascii="Times New Roman" w:hAnsi="Times New Roman"/>
          <w:sz w:val="20"/>
          <w:szCs w:val="20"/>
        </w:rPr>
        <w:t>, when GC-PDCCH is not transmitted or not received at the give</w:t>
      </w:r>
      <w:r w:rsidR="0023504B">
        <w:rPr>
          <w:rFonts w:ascii="Times New Roman" w:hAnsi="Times New Roman"/>
          <w:sz w:val="20"/>
          <w:szCs w:val="20"/>
        </w:rPr>
        <w:t>n</w:t>
      </w:r>
      <w:r>
        <w:rPr>
          <w:rFonts w:ascii="Times New Roman" w:hAnsi="Times New Roman"/>
          <w:sz w:val="20"/>
          <w:szCs w:val="20"/>
        </w:rPr>
        <w:t xml:space="preserve"> periodic</w:t>
      </w:r>
      <w:r w:rsidR="0030220B">
        <w:rPr>
          <w:rFonts w:ascii="Times New Roman" w:hAnsi="Times New Roman"/>
          <w:sz w:val="20"/>
          <w:szCs w:val="20"/>
        </w:rPr>
        <w:t xml:space="preserve"> monitoring</w:t>
      </w:r>
      <w:r>
        <w:rPr>
          <w:rFonts w:ascii="Times New Roman" w:hAnsi="Times New Roman"/>
          <w:sz w:val="20"/>
          <w:szCs w:val="20"/>
        </w:rPr>
        <w:t xml:space="preserve"> occasion. In this case</w:t>
      </w:r>
      <w:r w:rsidR="0030220B">
        <w:rPr>
          <w:rFonts w:ascii="Times New Roman" w:hAnsi="Times New Roman"/>
          <w:sz w:val="20"/>
          <w:szCs w:val="20"/>
        </w:rPr>
        <w:t>,</w:t>
      </w:r>
      <w:r>
        <w:rPr>
          <w:rFonts w:ascii="Times New Roman" w:hAnsi="Times New Roman"/>
          <w:sz w:val="20"/>
          <w:szCs w:val="20"/>
        </w:rPr>
        <w:t xml:space="preserve"> the UE should consider all slots until next periodic occasion to follow the semi-static DL/UL assignment. Which </w:t>
      </w:r>
      <w:r w:rsidR="0030220B">
        <w:rPr>
          <w:rFonts w:ascii="Times New Roman" w:hAnsi="Times New Roman"/>
          <w:sz w:val="20"/>
          <w:szCs w:val="20"/>
        </w:rPr>
        <w:t xml:space="preserve">is </w:t>
      </w:r>
      <w:r>
        <w:rPr>
          <w:rFonts w:ascii="Times New Roman" w:hAnsi="Times New Roman"/>
          <w:sz w:val="20"/>
          <w:szCs w:val="20"/>
        </w:rPr>
        <w:t xml:space="preserve">in principle already </w:t>
      </w:r>
      <w:r w:rsidR="0030220B">
        <w:rPr>
          <w:rFonts w:ascii="Times New Roman" w:hAnsi="Times New Roman"/>
          <w:sz w:val="20"/>
          <w:szCs w:val="20"/>
        </w:rPr>
        <w:t xml:space="preserve">implicitly </w:t>
      </w:r>
      <w:r>
        <w:rPr>
          <w:rFonts w:ascii="Times New Roman" w:hAnsi="Times New Roman"/>
          <w:sz w:val="20"/>
          <w:szCs w:val="20"/>
        </w:rPr>
        <w:t xml:space="preserve">agreed, </w:t>
      </w:r>
      <w:r w:rsidR="0030220B">
        <w:rPr>
          <w:rFonts w:ascii="Times New Roman" w:hAnsi="Times New Roman"/>
          <w:sz w:val="20"/>
          <w:szCs w:val="20"/>
        </w:rPr>
        <w:t>because</w:t>
      </w:r>
      <w:r>
        <w:rPr>
          <w:rFonts w:ascii="Times New Roman" w:hAnsi="Times New Roman"/>
          <w:sz w:val="20"/>
          <w:szCs w:val="20"/>
        </w:rPr>
        <w:t xml:space="preserve"> DL/UL symbol of DL/UL semi-static assignment cannot be overridden by GC-PDCCH anyway. Therefore, we have the following proposal:</w:t>
      </w:r>
    </w:p>
    <w:p w14:paraId="09136081" w14:textId="54004B65" w:rsidR="00EB6259" w:rsidRPr="00EB6259" w:rsidRDefault="00EB6259" w:rsidP="00F50A14">
      <w:pPr>
        <w:rPr>
          <w:rFonts w:ascii="Times New Roman" w:hAnsi="Times New Roman"/>
          <w:b/>
          <w:sz w:val="20"/>
          <w:szCs w:val="20"/>
        </w:rPr>
      </w:pPr>
      <w:r w:rsidRPr="00EB6259">
        <w:rPr>
          <w:rFonts w:ascii="Times New Roman" w:hAnsi="Times New Roman"/>
          <w:b/>
          <w:sz w:val="20"/>
          <w:szCs w:val="20"/>
        </w:rPr>
        <w:t>Proposal</w:t>
      </w:r>
      <w:r w:rsidR="00885C4D">
        <w:rPr>
          <w:rFonts w:ascii="Times New Roman" w:hAnsi="Times New Roman"/>
          <w:b/>
          <w:sz w:val="20"/>
          <w:szCs w:val="20"/>
        </w:rPr>
        <w:t>-</w:t>
      </w:r>
      <w:r w:rsidR="0086165D">
        <w:rPr>
          <w:rFonts w:ascii="Times New Roman" w:hAnsi="Times New Roman"/>
          <w:b/>
          <w:sz w:val="20"/>
          <w:szCs w:val="20"/>
        </w:rPr>
        <w:t>4</w:t>
      </w:r>
      <w:r w:rsidRPr="00EB6259">
        <w:rPr>
          <w:rFonts w:ascii="Times New Roman" w:hAnsi="Times New Roman"/>
          <w:b/>
          <w:sz w:val="20"/>
          <w:szCs w:val="20"/>
        </w:rPr>
        <w:t xml:space="preserve">: </w:t>
      </w:r>
      <w:r>
        <w:rPr>
          <w:rFonts w:ascii="Times New Roman" w:hAnsi="Times New Roman"/>
          <w:b/>
          <w:sz w:val="20"/>
          <w:szCs w:val="20"/>
        </w:rPr>
        <w:t xml:space="preserve">In case the GC-PDCCH is not transmitted by gNB or UE does not receive the GC-PDCCH at the given configured periodic </w:t>
      </w:r>
      <w:r w:rsidR="00885C4D">
        <w:rPr>
          <w:rFonts w:ascii="Times New Roman" w:hAnsi="Times New Roman"/>
          <w:b/>
          <w:sz w:val="20"/>
          <w:szCs w:val="20"/>
        </w:rPr>
        <w:t xml:space="preserve">monitoring </w:t>
      </w:r>
      <w:r>
        <w:rPr>
          <w:rFonts w:ascii="Times New Roman" w:hAnsi="Times New Roman"/>
          <w:b/>
          <w:sz w:val="20"/>
          <w:szCs w:val="20"/>
        </w:rPr>
        <w:t>occasion, the UE shall assume that all slot</w:t>
      </w:r>
      <w:r w:rsidR="00885C4D">
        <w:rPr>
          <w:rFonts w:ascii="Times New Roman" w:hAnsi="Times New Roman"/>
          <w:b/>
          <w:sz w:val="20"/>
          <w:szCs w:val="20"/>
        </w:rPr>
        <w:t>s</w:t>
      </w:r>
      <w:r>
        <w:rPr>
          <w:rFonts w:ascii="Times New Roman" w:hAnsi="Times New Roman"/>
          <w:b/>
          <w:sz w:val="20"/>
          <w:szCs w:val="20"/>
        </w:rPr>
        <w:t xml:space="preserve"> until the next GC-PDCCH monitoring occasion are</w:t>
      </w:r>
      <w:r w:rsidR="00885C4D">
        <w:rPr>
          <w:rFonts w:ascii="Times New Roman" w:hAnsi="Times New Roman"/>
          <w:b/>
          <w:sz w:val="20"/>
          <w:szCs w:val="20"/>
        </w:rPr>
        <w:t xml:space="preserve"> according to DL/UL semi-static configuration by SIB and dedicated RRC.</w:t>
      </w:r>
    </w:p>
    <w:p w14:paraId="231A51DD" w14:textId="77777777" w:rsidR="00597229" w:rsidRPr="002C47F0" w:rsidRDefault="00597229" w:rsidP="00F50A14">
      <w:pPr>
        <w:rPr>
          <w:rFonts w:ascii="Times New Roman" w:hAnsi="Times New Roman"/>
          <w:b/>
          <w:sz w:val="20"/>
          <w:szCs w:val="20"/>
        </w:rPr>
      </w:pPr>
    </w:p>
    <w:p w14:paraId="748B2910" w14:textId="2C3643D9" w:rsidR="00C46A35" w:rsidRPr="002C47F0" w:rsidRDefault="00CC3151" w:rsidP="00C46A35">
      <w:pPr>
        <w:pStyle w:val="Heading1"/>
        <w:rPr>
          <w:lang w:val="en-US"/>
        </w:rPr>
      </w:pPr>
      <w:r>
        <w:rPr>
          <w:lang w:val="en-US"/>
        </w:rPr>
        <w:t>3</w:t>
      </w:r>
      <w:r w:rsidR="00C46A35" w:rsidRPr="002C47F0">
        <w:rPr>
          <w:lang w:val="en-US"/>
        </w:rPr>
        <w:tab/>
        <w:t>On transmission of SFI</w:t>
      </w:r>
    </w:p>
    <w:p w14:paraId="54658177" w14:textId="410AEDC7" w:rsidR="0030220B" w:rsidRPr="0030220B" w:rsidRDefault="0030220B" w:rsidP="00597229">
      <w:pPr>
        <w:spacing w:after="0"/>
        <w:rPr>
          <w:szCs w:val="20"/>
          <w:lang w:eastAsia="x-none"/>
        </w:rPr>
      </w:pPr>
      <w:r w:rsidRPr="0030220B">
        <w:rPr>
          <w:szCs w:val="20"/>
          <w:lang w:eastAsia="x-none"/>
        </w:rPr>
        <w:t>With re</w:t>
      </w:r>
      <w:r>
        <w:rPr>
          <w:szCs w:val="20"/>
          <w:lang w:eastAsia="x-none"/>
        </w:rPr>
        <w:t>spect to delivery of SFI, the fo</w:t>
      </w:r>
      <w:r w:rsidRPr="0030220B">
        <w:rPr>
          <w:szCs w:val="20"/>
          <w:lang w:eastAsia="x-none"/>
        </w:rPr>
        <w:t>llowing agreements were made</w:t>
      </w:r>
      <w:r>
        <w:rPr>
          <w:szCs w:val="20"/>
          <w:lang w:eastAsia="x-none"/>
        </w:rPr>
        <w:t>:</w:t>
      </w:r>
    </w:p>
    <w:p w14:paraId="75EAA289" w14:textId="77777777" w:rsidR="0030220B" w:rsidRDefault="0030220B" w:rsidP="00597229">
      <w:pPr>
        <w:spacing w:after="0"/>
        <w:rPr>
          <w:szCs w:val="20"/>
          <w:highlight w:val="green"/>
          <w:lang w:eastAsia="x-none"/>
        </w:rPr>
      </w:pPr>
    </w:p>
    <w:p w14:paraId="5B931164" w14:textId="7AEC4023" w:rsidR="00597229" w:rsidRPr="0086165D" w:rsidRDefault="00597229" w:rsidP="00597229">
      <w:pPr>
        <w:spacing w:after="0"/>
        <w:rPr>
          <w:rFonts w:ascii="Times New Roman" w:hAnsi="Times New Roman" w:cs="Times New Roman"/>
          <w:i/>
          <w:sz w:val="20"/>
          <w:szCs w:val="20"/>
          <w:highlight w:val="green"/>
          <w:lang w:eastAsia="x-none"/>
        </w:rPr>
      </w:pPr>
      <w:r w:rsidRPr="0086165D">
        <w:rPr>
          <w:rFonts w:ascii="Times New Roman" w:hAnsi="Times New Roman" w:cs="Times New Roman"/>
          <w:i/>
          <w:sz w:val="20"/>
          <w:szCs w:val="20"/>
          <w:highlight w:val="green"/>
          <w:lang w:eastAsia="x-none"/>
        </w:rPr>
        <w:t>Agreements:</w:t>
      </w:r>
    </w:p>
    <w:p w14:paraId="340F0FC2" w14:textId="77777777" w:rsidR="00597229" w:rsidRPr="0086165D" w:rsidRDefault="00597229" w:rsidP="00597229">
      <w:pPr>
        <w:numPr>
          <w:ilvl w:val="0"/>
          <w:numId w:val="42"/>
        </w:numPr>
        <w:spacing w:after="0" w:line="240" w:lineRule="auto"/>
        <w:rPr>
          <w:rFonts w:ascii="Times New Roman" w:hAnsi="Times New Roman" w:cs="Times New Roman"/>
          <w:i/>
          <w:sz w:val="20"/>
          <w:szCs w:val="20"/>
          <w:lang w:eastAsia="x-none"/>
        </w:rPr>
      </w:pPr>
      <w:r w:rsidRPr="0086165D">
        <w:rPr>
          <w:rFonts w:ascii="Times New Roman" w:hAnsi="Times New Roman" w:cs="Times New Roman"/>
          <w:i/>
          <w:sz w:val="20"/>
          <w:szCs w:val="20"/>
          <w:lang w:eastAsia="x-none"/>
        </w:rPr>
        <w:t xml:space="preserve">GC-PDCCH for SFI is associated with a SFI RNTI by configuration </w:t>
      </w:r>
    </w:p>
    <w:p w14:paraId="40DC4491" w14:textId="77777777" w:rsidR="00597229" w:rsidRPr="0086165D" w:rsidRDefault="00597229" w:rsidP="00597229">
      <w:pPr>
        <w:spacing w:after="0"/>
        <w:jc w:val="both"/>
        <w:rPr>
          <w:rFonts w:ascii="Times New Roman" w:hAnsi="Times New Roman" w:cs="Times New Roman"/>
          <w:b/>
          <w:i/>
          <w:sz w:val="20"/>
          <w:szCs w:val="20"/>
          <w:u w:val="single"/>
        </w:rPr>
      </w:pPr>
    </w:p>
    <w:p w14:paraId="5D3F4644" w14:textId="77777777" w:rsidR="00597229" w:rsidRPr="0086165D" w:rsidRDefault="00597229" w:rsidP="00597229">
      <w:pPr>
        <w:spacing w:after="0"/>
        <w:rPr>
          <w:rFonts w:ascii="Times New Roman" w:hAnsi="Times New Roman" w:cs="Times New Roman"/>
          <w:i/>
          <w:sz w:val="20"/>
          <w:szCs w:val="20"/>
        </w:rPr>
      </w:pPr>
      <w:r w:rsidRPr="0086165D">
        <w:rPr>
          <w:rFonts w:ascii="Times New Roman" w:hAnsi="Times New Roman" w:cs="Times New Roman"/>
          <w:i/>
          <w:sz w:val="20"/>
          <w:szCs w:val="20"/>
          <w:highlight w:val="green"/>
        </w:rPr>
        <w:t>Agreements</w:t>
      </w:r>
      <w:r w:rsidRPr="0086165D">
        <w:rPr>
          <w:rFonts w:ascii="Times New Roman" w:hAnsi="Times New Roman" w:cs="Times New Roman"/>
          <w:i/>
          <w:sz w:val="20"/>
          <w:szCs w:val="20"/>
        </w:rPr>
        <w:t>:</w:t>
      </w:r>
    </w:p>
    <w:p w14:paraId="5F778581" w14:textId="154F89CB" w:rsidR="00597229" w:rsidRPr="0086165D" w:rsidRDefault="00597229" w:rsidP="00597229">
      <w:pPr>
        <w:numPr>
          <w:ilvl w:val="0"/>
          <w:numId w:val="43"/>
        </w:numPr>
        <w:spacing w:after="0" w:line="240" w:lineRule="auto"/>
        <w:rPr>
          <w:rFonts w:ascii="Times New Roman" w:eastAsia="Times New Roman" w:hAnsi="Times New Roman" w:cs="Times New Roman"/>
          <w:i/>
          <w:color w:val="000000"/>
          <w:sz w:val="20"/>
          <w:szCs w:val="20"/>
        </w:rPr>
      </w:pPr>
      <w:r w:rsidRPr="0086165D">
        <w:rPr>
          <w:rFonts w:ascii="Times New Roman" w:eastAsia="Times New Roman" w:hAnsi="Times New Roman" w:cs="Times New Roman"/>
          <w:i/>
          <w:color w:val="000000"/>
          <w:sz w:val="20"/>
          <w:szCs w:val="20"/>
        </w:rPr>
        <w:t>For the blind decoding of GC-PDCCH carrying SFI, the GC-PDCCH blind decoding is configured with up to two decoding candidates with a configured aggregation level in a CSS or group-CSS in a configured CORESET</w:t>
      </w:r>
    </w:p>
    <w:p w14:paraId="3E49C8D1" w14:textId="77777777" w:rsidR="0086165D" w:rsidRPr="0086165D" w:rsidRDefault="0086165D" w:rsidP="0086165D">
      <w:pPr>
        <w:overflowPunct w:val="0"/>
        <w:autoSpaceDE w:val="0"/>
        <w:autoSpaceDN w:val="0"/>
        <w:adjustRightInd w:val="0"/>
        <w:spacing w:after="0" w:line="240" w:lineRule="auto"/>
        <w:ind w:left="720" w:hanging="720"/>
        <w:textAlignment w:val="baseline"/>
        <w:rPr>
          <w:rFonts w:ascii="Times New Roman" w:eastAsia="Batang" w:hAnsi="Times New Roman" w:cs="Times New Roman"/>
          <w:i/>
          <w:sz w:val="20"/>
          <w:szCs w:val="20"/>
          <w:highlight w:val="green"/>
          <w:lang w:val="en-GB"/>
        </w:rPr>
      </w:pPr>
    </w:p>
    <w:p w14:paraId="792D3DEA" w14:textId="1C853B89" w:rsidR="0086165D" w:rsidRPr="0086165D" w:rsidRDefault="0086165D" w:rsidP="0086165D">
      <w:pPr>
        <w:overflowPunct w:val="0"/>
        <w:autoSpaceDE w:val="0"/>
        <w:autoSpaceDN w:val="0"/>
        <w:adjustRightInd w:val="0"/>
        <w:spacing w:after="0" w:line="240" w:lineRule="auto"/>
        <w:ind w:left="720" w:hanging="720"/>
        <w:textAlignment w:val="baseline"/>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highlight w:val="green"/>
          <w:lang w:val="en-GB"/>
        </w:rPr>
        <w:t>Agreements</w:t>
      </w:r>
      <w:r w:rsidRPr="0086165D">
        <w:rPr>
          <w:rFonts w:ascii="Times New Roman" w:eastAsia="Batang" w:hAnsi="Times New Roman" w:cs="Times New Roman"/>
          <w:i/>
          <w:sz w:val="20"/>
          <w:szCs w:val="20"/>
          <w:lang w:val="en-GB"/>
        </w:rPr>
        <w:t>:</w:t>
      </w:r>
    </w:p>
    <w:p w14:paraId="57AD4466" w14:textId="77777777" w:rsidR="0086165D" w:rsidRPr="0086165D" w:rsidRDefault="0086165D" w:rsidP="0086165D">
      <w:pPr>
        <w:numPr>
          <w:ilvl w:val="0"/>
          <w:numId w:val="44"/>
        </w:numPr>
        <w:tabs>
          <w:tab w:val="num" w:pos="720"/>
        </w:tabs>
        <w:overflowPunct w:val="0"/>
        <w:autoSpaceDE w:val="0"/>
        <w:autoSpaceDN w:val="0"/>
        <w:adjustRightInd w:val="0"/>
        <w:spacing w:after="0" w:line="240" w:lineRule="auto"/>
        <w:ind w:left="720"/>
        <w:textAlignment w:val="baseline"/>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lang w:val="en-GB"/>
        </w:rPr>
        <w:t>GC-PDCCH for dynamic SFI monitoring</w:t>
      </w:r>
    </w:p>
    <w:p w14:paraId="2D25E9C7" w14:textId="77777777" w:rsidR="0086165D" w:rsidRPr="0086165D" w:rsidRDefault="0086165D" w:rsidP="0086165D">
      <w:pPr>
        <w:numPr>
          <w:ilvl w:val="1"/>
          <w:numId w:val="44"/>
        </w:numPr>
        <w:overflowPunct w:val="0"/>
        <w:autoSpaceDE w:val="0"/>
        <w:autoSpaceDN w:val="0"/>
        <w:adjustRightInd w:val="0"/>
        <w:spacing w:after="0" w:line="240" w:lineRule="auto"/>
        <w:textAlignment w:val="baseline"/>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lang w:val="en-GB"/>
        </w:rPr>
        <w:t>For same cell GC-PDCCH monitoring: UE is required to monitor at most one GC-PDCCH per spatial QCL per configuration period carrying dynamic SFI in the active BWP in the cell</w:t>
      </w:r>
    </w:p>
    <w:p w14:paraId="22864046" w14:textId="77777777" w:rsidR="0086165D" w:rsidRPr="0086165D" w:rsidRDefault="0086165D" w:rsidP="0086165D">
      <w:pPr>
        <w:numPr>
          <w:ilvl w:val="2"/>
          <w:numId w:val="44"/>
        </w:numPr>
        <w:overflowPunct w:val="0"/>
        <w:autoSpaceDE w:val="0"/>
        <w:autoSpaceDN w:val="0"/>
        <w:adjustRightInd w:val="0"/>
        <w:spacing w:after="0" w:line="240" w:lineRule="auto"/>
        <w:textAlignment w:val="baseline"/>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lang w:val="en-GB"/>
        </w:rPr>
        <w:t>The coreset(s) is located in the first 1/2/3 symbols in a slot</w:t>
      </w:r>
    </w:p>
    <w:p w14:paraId="135C9420" w14:textId="77777777" w:rsidR="0086165D" w:rsidRPr="0086165D" w:rsidRDefault="0086165D" w:rsidP="0086165D">
      <w:pPr>
        <w:numPr>
          <w:ilvl w:val="2"/>
          <w:numId w:val="44"/>
        </w:numPr>
        <w:overflowPunct w:val="0"/>
        <w:autoSpaceDE w:val="0"/>
        <w:autoSpaceDN w:val="0"/>
        <w:adjustRightInd w:val="0"/>
        <w:spacing w:after="0" w:line="240" w:lineRule="auto"/>
        <w:textAlignment w:val="baseline"/>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lang w:val="en-GB"/>
        </w:rPr>
        <w:t>Configuration of GC-PDCCH for UE to monitor is FFS especially considering interaction with BWP configuration</w:t>
      </w:r>
    </w:p>
    <w:p w14:paraId="61AB492B" w14:textId="77777777" w:rsidR="0086165D" w:rsidRPr="0086165D" w:rsidRDefault="0086165D" w:rsidP="0086165D">
      <w:pPr>
        <w:numPr>
          <w:ilvl w:val="2"/>
          <w:numId w:val="44"/>
        </w:numPr>
        <w:overflowPunct w:val="0"/>
        <w:autoSpaceDE w:val="0"/>
        <w:autoSpaceDN w:val="0"/>
        <w:adjustRightInd w:val="0"/>
        <w:spacing w:after="0" w:line="240" w:lineRule="auto"/>
        <w:textAlignment w:val="baseline"/>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lang w:val="en-GB"/>
        </w:rPr>
        <w:t xml:space="preserve">Note: This is not intended to address the case of multi-TRP which is deprioritized before Dec. </w:t>
      </w:r>
    </w:p>
    <w:p w14:paraId="0322E3A5" w14:textId="77777777" w:rsidR="0086165D" w:rsidRPr="0086165D" w:rsidRDefault="0086165D" w:rsidP="0086165D">
      <w:pPr>
        <w:numPr>
          <w:ilvl w:val="1"/>
          <w:numId w:val="44"/>
        </w:numPr>
        <w:overflowPunct w:val="0"/>
        <w:autoSpaceDE w:val="0"/>
        <w:autoSpaceDN w:val="0"/>
        <w:adjustRightInd w:val="0"/>
        <w:spacing w:after="0" w:line="240" w:lineRule="auto"/>
        <w:textAlignment w:val="baseline"/>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lang w:val="en-GB"/>
        </w:rPr>
        <w:t xml:space="preserve">When configuring the GC-PDCCH monitoring for dynamic SFI, the gNB will configure the payload length </w:t>
      </w:r>
    </w:p>
    <w:p w14:paraId="6C83EF6E" w14:textId="77777777" w:rsidR="0086165D" w:rsidRPr="0086165D" w:rsidRDefault="0086165D" w:rsidP="0086165D">
      <w:pPr>
        <w:numPr>
          <w:ilvl w:val="1"/>
          <w:numId w:val="44"/>
        </w:numPr>
        <w:overflowPunct w:val="0"/>
        <w:autoSpaceDE w:val="0"/>
        <w:autoSpaceDN w:val="0"/>
        <w:adjustRightInd w:val="0"/>
        <w:spacing w:after="0" w:line="240" w:lineRule="auto"/>
        <w:textAlignment w:val="baseline"/>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lang w:val="en-GB"/>
        </w:rPr>
        <w:t>When configuring the GC PDCCH monitoring for dynamic SFI for a serving cell, the gNB will configure the location of the bits used for the dynamic SFI in the payload</w:t>
      </w:r>
    </w:p>
    <w:p w14:paraId="4DE3F509" w14:textId="77777777" w:rsidR="00015E90" w:rsidRDefault="00015E90" w:rsidP="00C46A35">
      <w:pPr>
        <w:jc w:val="both"/>
        <w:rPr>
          <w:rFonts w:ascii="Times New Roman" w:hAnsi="Times New Roman"/>
          <w:b/>
          <w:sz w:val="20"/>
          <w:szCs w:val="20"/>
          <w:u w:val="single"/>
        </w:rPr>
      </w:pPr>
    </w:p>
    <w:p w14:paraId="7B729AFC" w14:textId="091ACBFC" w:rsidR="00711A49" w:rsidRDefault="0030220B" w:rsidP="00C46A35">
      <w:pPr>
        <w:jc w:val="both"/>
        <w:rPr>
          <w:rFonts w:ascii="Times New Roman" w:hAnsi="Times New Roman"/>
          <w:sz w:val="20"/>
          <w:szCs w:val="20"/>
        </w:rPr>
      </w:pPr>
      <w:r>
        <w:rPr>
          <w:rFonts w:ascii="Times New Roman" w:hAnsi="Times New Roman"/>
          <w:sz w:val="20"/>
          <w:szCs w:val="20"/>
        </w:rPr>
        <w:t>To summarize, it</w:t>
      </w:r>
      <w:r w:rsidR="00C46A35" w:rsidRPr="002C47F0">
        <w:rPr>
          <w:rFonts w:ascii="Times New Roman" w:hAnsi="Times New Roman"/>
          <w:sz w:val="20"/>
          <w:szCs w:val="20"/>
        </w:rPr>
        <w:t xml:space="preserve"> was agreed that </w:t>
      </w:r>
      <w:r>
        <w:rPr>
          <w:rFonts w:ascii="Times New Roman" w:hAnsi="Times New Roman"/>
          <w:sz w:val="20"/>
          <w:szCs w:val="20"/>
        </w:rPr>
        <w:t>GC-PDCCH</w:t>
      </w:r>
      <w:r w:rsidR="00C46A35" w:rsidRPr="002C47F0">
        <w:rPr>
          <w:rFonts w:ascii="Times New Roman" w:hAnsi="Times New Roman"/>
          <w:sz w:val="20"/>
          <w:szCs w:val="20"/>
        </w:rPr>
        <w:t xml:space="preserve"> follows the CORESET configuration</w:t>
      </w:r>
      <w:r w:rsidR="00711A49">
        <w:rPr>
          <w:rFonts w:ascii="Times New Roman" w:hAnsi="Times New Roman"/>
          <w:sz w:val="20"/>
          <w:szCs w:val="20"/>
        </w:rPr>
        <w:t>, fits to supported AL</w:t>
      </w:r>
      <w:r>
        <w:rPr>
          <w:rFonts w:ascii="Times New Roman" w:hAnsi="Times New Roman"/>
          <w:sz w:val="20"/>
          <w:szCs w:val="20"/>
        </w:rPr>
        <w:t>s</w:t>
      </w:r>
      <w:r w:rsidR="00711A49">
        <w:rPr>
          <w:rFonts w:ascii="Times New Roman" w:hAnsi="Times New Roman"/>
          <w:sz w:val="20"/>
          <w:szCs w:val="20"/>
        </w:rPr>
        <w:t>, is scrambled by SFI-RNTI, and one or two candidates can be configured for monitoring</w:t>
      </w:r>
      <w:r w:rsidR="00C46A35" w:rsidRPr="002C47F0">
        <w:rPr>
          <w:rFonts w:ascii="Times New Roman" w:hAnsi="Times New Roman"/>
          <w:sz w:val="20"/>
          <w:szCs w:val="20"/>
        </w:rPr>
        <w:t xml:space="preserve">. </w:t>
      </w:r>
      <w:r w:rsidR="00711A49">
        <w:rPr>
          <w:rFonts w:ascii="Times New Roman" w:hAnsi="Times New Roman"/>
          <w:sz w:val="20"/>
          <w:szCs w:val="20"/>
        </w:rPr>
        <w:t>The</w:t>
      </w:r>
      <w:r w:rsidR="00711A49" w:rsidRPr="002C47F0">
        <w:rPr>
          <w:rFonts w:ascii="Times New Roman" w:hAnsi="Times New Roman"/>
          <w:sz w:val="20"/>
          <w:szCs w:val="20"/>
        </w:rPr>
        <w:t>s</w:t>
      </w:r>
      <w:r w:rsidR="00711A49">
        <w:rPr>
          <w:rFonts w:ascii="Times New Roman" w:hAnsi="Times New Roman"/>
          <w:sz w:val="20"/>
          <w:szCs w:val="20"/>
        </w:rPr>
        <w:t>e properties</w:t>
      </w:r>
      <w:r w:rsidR="00711A49" w:rsidRPr="002C47F0">
        <w:rPr>
          <w:rFonts w:ascii="Times New Roman" w:hAnsi="Times New Roman"/>
          <w:sz w:val="20"/>
          <w:szCs w:val="20"/>
        </w:rPr>
        <w:t xml:space="preserve"> ensure good compatibility </w:t>
      </w:r>
      <w:r>
        <w:rPr>
          <w:rFonts w:ascii="Times New Roman" w:hAnsi="Times New Roman"/>
          <w:sz w:val="20"/>
          <w:szCs w:val="20"/>
        </w:rPr>
        <w:t>and</w:t>
      </w:r>
      <w:r w:rsidR="00711A49" w:rsidRPr="002C47F0">
        <w:rPr>
          <w:rFonts w:ascii="Times New Roman" w:hAnsi="Times New Roman"/>
          <w:sz w:val="20"/>
          <w:szCs w:val="20"/>
        </w:rPr>
        <w:t xml:space="preserve"> multiplexing with other PDCCH transmissions</w:t>
      </w:r>
      <w:r w:rsidR="00711A49">
        <w:rPr>
          <w:rFonts w:ascii="Times New Roman" w:hAnsi="Times New Roman"/>
          <w:sz w:val="20"/>
          <w:szCs w:val="20"/>
        </w:rPr>
        <w:t>.</w:t>
      </w:r>
    </w:p>
    <w:p w14:paraId="7A24B99B" w14:textId="3CA590BB" w:rsidR="00711A49" w:rsidRDefault="00C46A35" w:rsidP="00C46A35">
      <w:pPr>
        <w:jc w:val="both"/>
        <w:rPr>
          <w:rFonts w:ascii="Times New Roman" w:hAnsi="Times New Roman"/>
          <w:sz w:val="20"/>
          <w:szCs w:val="20"/>
        </w:rPr>
      </w:pPr>
      <w:r w:rsidRPr="002C47F0">
        <w:rPr>
          <w:rFonts w:ascii="Times New Roman" w:hAnsi="Times New Roman"/>
          <w:sz w:val="20"/>
          <w:szCs w:val="20"/>
        </w:rPr>
        <w:t xml:space="preserve">The open issue is </w:t>
      </w:r>
      <w:r w:rsidR="00711A49">
        <w:rPr>
          <w:rFonts w:ascii="Times New Roman" w:hAnsi="Times New Roman"/>
          <w:sz w:val="20"/>
          <w:szCs w:val="20"/>
        </w:rPr>
        <w:t>the</w:t>
      </w:r>
      <w:r w:rsidR="00015E90">
        <w:rPr>
          <w:rFonts w:ascii="Times New Roman" w:hAnsi="Times New Roman"/>
          <w:sz w:val="20"/>
          <w:szCs w:val="20"/>
        </w:rPr>
        <w:t xml:space="preserve"> adoption of</w:t>
      </w:r>
      <w:r w:rsidR="00711A49">
        <w:rPr>
          <w:rFonts w:ascii="Times New Roman" w:hAnsi="Times New Roman"/>
          <w:sz w:val="20"/>
          <w:szCs w:val="20"/>
        </w:rPr>
        <w:t xml:space="preserve"> Polar</w:t>
      </w:r>
      <w:r w:rsidR="0030220B">
        <w:rPr>
          <w:rFonts w:ascii="Times New Roman" w:hAnsi="Times New Roman"/>
          <w:sz w:val="20"/>
          <w:szCs w:val="20"/>
        </w:rPr>
        <w:t xml:space="preserve"> code</w:t>
      </w:r>
      <w:r w:rsidR="00711A49">
        <w:rPr>
          <w:rFonts w:ascii="Times New Roman" w:hAnsi="Times New Roman"/>
          <w:sz w:val="20"/>
          <w:szCs w:val="20"/>
        </w:rPr>
        <w:t xml:space="preserve"> with CRC or RM</w:t>
      </w:r>
      <w:r w:rsidR="0030220B">
        <w:rPr>
          <w:rFonts w:ascii="Times New Roman" w:hAnsi="Times New Roman"/>
          <w:sz w:val="20"/>
          <w:szCs w:val="20"/>
        </w:rPr>
        <w:t xml:space="preserve"> code</w:t>
      </w:r>
      <w:r w:rsidR="00711A49">
        <w:rPr>
          <w:rFonts w:ascii="Times New Roman" w:hAnsi="Times New Roman"/>
          <w:sz w:val="20"/>
          <w:szCs w:val="20"/>
        </w:rPr>
        <w:t xml:space="preserve">. The selection seems to depend on two aspects (i) the payload size of GC-PDCCH and (ii) false alarm. </w:t>
      </w:r>
    </w:p>
    <w:p w14:paraId="639497A5" w14:textId="792EFC32" w:rsidR="00711A49" w:rsidRDefault="000A1E36" w:rsidP="00C46A35">
      <w:pPr>
        <w:jc w:val="both"/>
        <w:rPr>
          <w:rFonts w:ascii="Times New Roman" w:hAnsi="Times New Roman"/>
          <w:sz w:val="20"/>
          <w:szCs w:val="20"/>
        </w:rPr>
      </w:pPr>
      <w:r>
        <w:rPr>
          <w:rFonts w:ascii="Times New Roman" w:hAnsi="Times New Roman"/>
          <w:sz w:val="20"/>
          <w:szCs w:val="20"/>
        </w:rPr>
        <w:t xml:space="preserve">Based on RAN1#90b agreement, the multi-slot table is configurable. </w:t>
      </w:r>
    </w:p>
    <w:p w14:paraId="6800DC9F" w14:textId="77777777" w:rsidR="000A1E36" w:rsidRPr="0086165D" w:rsidRDefault="000A1E36" w:rsidP="000A1E36">
      <w:pPr>
        <w:spacing w:after="0" w:line="240" w:lineRule="auto"/>
        <w:ind w:left="720" w:hanging="720"/>
        <w:rPr>
          <w:rFonts w:ascii="Times New Roman" w:eastAsia="Batang" w:hAnsi="Times New Roman" w:cs="Times New Roman"/>
          <w:i/>
          <w:sz w:val="20"/>
          <w:szCs w:val="20"/>
          <w:highlight w:val="green"/>
          <w:lang w:val="en-GB" w:eastAsia="x-none"/>
        </w:rPr>
      </w:pPr>
      <w:r w:rsidRPr="0086165D">
        <w:rPr>
          <w:rFonts w:ascii="Times New Roman" w:eastAsia="Batang" w:hAnsi="Times New Roman" w:cs="Times New Roman"/>
          <w:i/>
          <w:sz w:val="20"/>
          <w:szCs w:val="20"/>
          <w:highlight w:val="green"/>
          <w:lang w:val="en-GB" w:eastAsia="x-none"/>
        </w:rPr>
        <w:t>Agreements:</w:t>
      </w:r>
    </w:p>
    <w:p w14:paraId="041CAE6F" w14:textId="77777777" w:rsidR="000A1E36" w:rsidRPr="0086165D" w:rsidRDefault="000A1E36" w:rsidP="000A1E36">
      <w:pPr>
        <w:numPr>
          <w:ilvl w:val="0"/>
          <w:numId w:val="45"/>
        </w:numPr>
        <w:spacing w:after="0" w:line="240" w:lineRule="auto"/>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lang w:val="en-GB"/>
        </w:rPr>
        <w:t>gNB configures a per serving cell GC-PDCCH (for dynamic SFI) monitoring periodicity of K slots (based on GC-PDCCH numerology), up to 8 choices</w:t>
      </w:r>
    </w:p>
    <w:p w14:paraId="5B5C96AA" w14:textId="77777777" w:rsidR="000A1E36" w:rsidRPr="0086165D" w:rsidRDefault="000A1E36" w:rsidP="000A1E36">
      <w:pPr>
        <w:numPr>
          <w:ilvl w:val="1"/>
          <w:numId w:val="45"/>
        </w:numPr>
        <w:spacing w:after="0" w:line="240" w:lineRule="auto"/>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lang w:val="en-GB"/>
        </w:rPr>
        <w:t>K = 1, 2, 5, 10, 20</w:t>
      </w:r>
    </w:p>
    <w:p w14:paraId="0A0CD665" w14:textId="77777777" w:rsidR="000A1E36" w:rsidRPr="0086165D" w:rsidRDefault="000A1E36" w:rsidP="000A1E36">
      <w:pPr>
        <w:numPr>
          <w:ilvl w:val="2"/>
          <w:numId w:val="45"/>
        </w:numPr>
        <w:spacing w:after="0" w:line="240" w:lineRule="auto"/>
        <w:rPr>
          <w:rFonts w:ascii="Times New Roman" w:eastAsia="Batang" w:hAnsi="Times New Roman" w:cs="Times New Roman"/>
          <w:i/>
          <w:sz w:val="20"/>
          <w:szCs w:val="20"/>
          <w:lang w:val="en-GB"/>
        </w:rPr>
      </w:pPr>
      <w:r w:rsidRPr="0086165D">
        <w:rPr>
          <w:rFonts w:ascii="Times New Roman" w:eastAsia="Batang" w:hAnsi="Times New Roman" w:cs="Times New Roman"/>
          <w:i/>
          <w:sz w:val="20"/>
          <w:szCs w:val="20"/>
          <w:lang w:val="en-GB"/>
        </w:rPr>
        <w:t>FFS other values</w:t>
      </w:r>
    </w:p>
    <w:p w14:paraId="2989A3FB" w14:textId="77777777" w:rsidR="000A1E36" w:rsidRPr="0086165D" w:rsidRDefault="000A1E36" w:rsidP="000A1E36">
      <w:pPr>
        <w:overflowPunct w:val="0"/>
        <w:autoSpaceDE w:val="0"/>
        <w:autoSpaceDN w:val="0"/>
        <w:adjustRightInd w:val="0"/>
        <w:spacing w:after="0" w:line="240" w:lineRule="auto"/>
        <w:ind w:left="720" w:hanging="720"/>
        <w:textAlignment w:val="baseline"/>
        <w:rPr>
          <w:rFonts w:ascii="Times New Roman" w:eastAsia="Batang" w:hAnsi="Times New Roman" w:cs="Times New Roman"/>
          <w:i/>
          <w:sz w:val="20"/>
          <w:szCs w:val="20"/>
          <w:highlight w:val="green"/>
          <w:lang w:val="en-GB"/>
        </w:rPr>
      </w:pPr>
      <w:r w:rsidRPr="0086165D">
        <w:rPr>
          <w:rFonts w:ascii="Times New Roman" w:eastAsia="Batang" w:hAnsi="Times New Roman" w:cs="Times New Roman"/>
          <w:i/>
          <w:sz w:val="20"/>
          <w:szCs w:val="20"/>
          <w:highlight w:val="green"/>
          <w:lang w:val="en-GB"/>
        </w:rPr>
        <w:t>Agreements:</w:t>
      </w:r>
    </w:p>
    <w:p w14:paraId="20648C02" w14:textId="77777777" w:rsidR="000A1E36" w:rsidRPr="0086165D" w:rsidRDefault="000A1E36" w:rsidP="000A1E36">
      <w:pPr>
        <w:spacing w:after="0" w:line="240" w:lineRule="auto"/>
        <w:ind w:left="720" w:hanging="360"/>
        <w:contextualSpacing/>
        <w:rPr>
          <w:rFonts w:ascii="Times New Roman" w:eastAsia="Times New Roman" w:hAnsi="Times New Roman" w:cs="Times New Roman"/>
          <w:i/>
          <w:sz w:val="20"/>
          <w:szCs w:val="20"/>
        </w:rPr>
      </w:pPr>
      <w:r w:rsidRPr="0086165D">
        <w:rPr>
          <w:rFonts w:ascii="Times New Roman" w:eastAsia="Times New Roman" w:hAnsi="Times New Roman" w:cs="Times New Roman"/>
          <w:i/>
          <w:sz w:val="20"/>
          <w:szCs w:val="20"/>
        </w:rPr>
        <w:t>For the UE specific single-slot/multi-slotset SFI table configuration</w:t>
      </w:r>
    </w:p>
    <w:p w14:paraId="4C5BE891" w14:textId="77777777" w:rsidR="000A1E36" w:rsidRPr="0086165D" w:rsidRDefault="000A1E36" w:rsidP="000A1E36">
      <w:pPr>
        <w:numPr>
          <w:ilvl w:val="1"/>
          <w:numId w:val="39"/>
        </w:numPr>
        <w:spacing w:after="0" w:line="240" w:lineRule="auto"/>
        <w:contextualSpacing/>
        <w:rPr>
          <w:rFonts w:ascii="Times New Roman" w:eastAsia="Times New Roman" w:hAnsi="Times New Roman" w:cs="Times New Roman"/>
          <w:i/>
          <w:sz w:val="20"/>
          <w:szCs w:val="20"/>
        </w:rPr>
      </w:pPr>
      <w:r w:rsidRPr="0086165D">
        <w:rPr>
          <w:rFonts w:ascii="Times New Roman" w:eastAsia="Times New Roman" w:hAnsi="Times New Roman" w:cs="Times New Roman"/>
          <w:i/>
          <w:sz w:val="20"/>
          <w:szCs w:val="20"/>
        </w:rPr>
        <w:t xml:space="preserve">Each entry of the table indicates a sequence of configured single-slot slot formats </w:t>
      </w:r>
    </w:p>
    <w:p w14:paraId="7CF5D338" w14:textId="77777777" w:rsidR="000A1E36" w:rsidRPr="0086165D" w:rsidRDefault="000A1E36" w:rsidP="000A1E36">
      <w:pPr>
        <w:numPr>
          <w:ilvl w:val="2"/>
          <w:numId w:val="39"/>
        </w:numPr>
        <w:spacing w:after="0" w:line="240" w:lineRule="auto"/>
        <w:contextualSpacing/>
        <w:rPr>
          <w:rFonts w:ascii="Times New Roman" w:eastAsia="Times New Roman" w:hAnsi="Times New Roman" w:cs="Times New Roman"/>
          <w:i/>
          <w:sz w:val="20"/>
          <w:szCs w:val="20"/>
        </w:rPr>
      </w:pPr>
      <w:r w:rsidRPr="0086165D">
        <w:rPr>
          <w:rFonts w:ascii="Times New Roman" w:eastAsia="Times New Roman" w:hAnsi="Times New Roman" w:cs="Times New Roman"/>
          <w:i/>
          <w:sz w:val="20"/>
          <w:szCs w:val="20"/>
        </w:rPr>
        <w:t>Note if the sequence length is 1, the entry is a single-slot slot format</w:t>
      </w:r>
    </w:p>
    <w:p w14:paraId="7DB515A8" w14:textId="77777777" w:rsidR="000A1E36" w:rsidRPr="0086165D" w:rsidRDefault="000A1E36" w:rsidP="000A1E36">
      <w:pPr>
        <w:numPr>
          <w:ilvl w:val="2"/>
          <w:numId w:val="39"/>
        </w:numPr>
        <w:spacing w:after="0" w:line="240" w:lineRule="auto"/>
        <w:contextualSpacing/>
        <w:rPr>
          <w:rFonts w:ascii="Times New Roman" w:eastAsia="Times New Roman" w:hAnsi="Times New Roman" w:cs="Times New Roman"/>
          <w:i/>
          <w:sz w:val="20"/>
          <w:szCs w:val="20"/>
        </w:rPr>
      </w:pPr>
      <w:r w:rsidRPr="0086165D">
        <w:rPr>
          <w:rFonts w:ascii="Times New Roman" w:eastAsia="Times New Roman" w:hAnsi="Times New Roman" w:cs="Times New Roman"/>
          <w:i/>
          <w:sz w:val="20"/>
          <w:szCs w:val="20"/>
        </w:rPr>
        <w:t>Note if the sequence length is more than one, the entry is a multi-slot slot format</w:t>
      </w:r>
    </w:p>
    <w:p w14:paraId="270CDA39" w14:textId="77777777" w:rsidR="000A1E36" w:rsidRPr="0086165D" w:rsidRDefault="000A1E36" w:rsidP="000A1E36">
      <w:pPr>
        <w:numPr>
          <w:ilvl w:val="2"/>
          <w:numId w:val="39"/>
        </w:numPr>
        <w:spacing w:after="0" w:line="240" w:lineRule="auto"/>
        <w:contextualSpacing/>
        <w:rPr>
          <w:rFonts w:ascii="Times New Roman" w:eastAsia="Times New Roman" w:hAnsi="Times New Roman" w:cs="Times New Roman"/>
          <w:i/>
          <w:sz w:val="20"/>
          <w:szCs w:val="20"/>
        </w:rPr>
      </w:pPr>
      <w:r w:rsidRPr="0086165D">
        <w:rPr>
          <w:rFonts w:ascii="Times New Roman" w:eastAsia="Times New Roman" w:hAnsi="Times New Roman" w:cs="Times New Roman"/>
          <w:i/>
          <w:sz w:val="20"/>
          <w:szCs w:val="20"/>
        </w:rPr>
        <w:t>Note that it is possible all the slots in a multi-slot slot-format can have the same slot format</w:t>
      </w:r>
    </w:p>
    <w:p w14:paraId="331C90DA" w14:textId="77777777" w:rsidR="000A1E36" w:rsidRPr="0086165D" w:rsidRDefault="000A1E36" w:rsidP="000A1E36">
      <w:pPr>
        <w:numPr>
          <w:ilvl w:val="2"/>
          <w:numId w:val="39"/>
        </w:numPr>
        <w:spacing w:after="0" w:line="240" w:lineRule="auto"/>
        <w:contextualSpacing/>
        <w:rPr>
          <w:rFonts w:ascii="Times New Roman" w:eastAsia="Times New Roman" w:hAnsi="Times New Roman" w:cs="Times New Roman"/>
          <w:i/>
          <w:sz w:val="20"/>
          <w:szCs w:val="20"/>
        </w:rPr>
      </w:pPr>
      <w:r w:rsidRPr="0086165D">
        <w:rPr>
          <w:rFonts w:ascii="Times New Roman" w:eastAsia="Times New Roman" w:hAnsi="Times New Roman" w:cs="Times New Roman"/>
          <w:i/>
          <w:sz w:val="20"/>
          <w:szCs w:val="20"/>
        </w:rPr>
        <w:t>Note The entries in the table can be of different length including a mix of single slot SFI and multi-slot SFI</w:t>
      </w:r>
    </w:p>
    <w:p w14:paraId="69EDD45C" w14:textId="77777777" w:rsidR="000A1E36" w:rsidRPr="0086165D" w:rsidRDefault="000A1E36" w:rsidP="000A1E36">
      <w:pPr>
        <w:numPr>
          <w:ilvl w:val="3"/>
          <w:numId w:val="39"/>
        </w:numPr>
        <w:spacing w:after="0" w:line="240" w:lineRule="auto"/>
        <w:contextualSpacing/>
        <w:rPr>
          <w:rFonts w:ascii="Times New Roman" w:eastAsia="Times New Roman" w:hAnsi="Times New Roman" w:cs="Times New Roman"/>
          <w:i/>
          <w:sz w:val="20"/>
          <w:szCs w:val="20"/>
        </w:rPr>
      </w:pPr>
      <w:r w:rsidRPr="0086165D">
        <w:rPr>
          <w:rFonts w:ascii="Times New Roman" w:eastAsia="Times New Roman" w:hAnsi="Times New Roman" w:cs="Times New Roman"/>
          <w:i/>
          <w:sz w:val="20"/>
          <w:szCs w:val="20"/>
        </w:rPr>
        <w:t>The length of each entry in the table is FFS, e.g., multiple of configured GC-PDCCH monitoring period, a fraction of the configuration GC-PDCCH monitoring period, etc.</w:t>
      </w:r>
    </w:p>
    <w:p w14:paraId="3B8FED7B" w14:textId="77777777" w:rsidR="00711A49" w:rsidRDefault="00711A49" w:rsidP="00C46A35">
      <w:pPr>
        <w:jc w:val="both"/>
        <w:rPr>
          <w:rFonts w:ascii="Times New Roman" w:hAnsi="Times New Roman"/>
          <w:sz w:val="20"/>
          <w:szCs w:val="20"/>
        </w:rPr>
      </w:pPr>
    </w:p>
    <w:p w14:paraId="5B66244D" w14:textId="5FDEFCE2" w:rsidR="0055457D" w:rsidRDefault="00015E90" w:rsidP="000E0518">
      <w:pPr>
        <w:jc w:val="both"/>
        <w:rPr>
          <w:rFonts w:ascii="Times New Roman" w:hAnsi="Times New Roman"/>
          <w:b/>
          <w:sz w:val="20"/>
          <w:szCs w:val="20"/>
        </w:rPr>
      </w:pPr>
      <w:r>
        <w:rPr>
          <w:rFonts w:ascii="Times New Roman" w:hAnsi="Times New Roman"/>
          <w:sz w:val="20"/>
          <w:szCs w:val="20"/>
        </w:rPr>
        <w:t>Despite</w:t>
      </w:r>
      <w:r w:rsidR="000A1E36">
        <w:rPr>
          <w:rFonts w:ascii="Times New Roman" w:hAnsi="Times New Roman"/>
          <w:sz w:val="20"/>
          <w:szCs w:val="20"/>
        </w:rPr>
        <w:t xml:space="preserve"> the</w:t>
      </w:r>
      <w:r w:rsidR="0030220B">
        <w:rPr>
          <w:rFonts w:ascii="Times New Roman" w:hAnsi="Times New Roman"/>
          <w:sz w:val="20"/>
          <w:szCs w:val="20"/>
        </w:rPr>
        <w:t xml:space="preserve"> fact that the</w:t>
      </w:r>
      <w:r w:rsidR="0086165D">
        <w:rPr>
          <w:rFonts w:ascii="Times New Roman" w:hAnsi="Times New Roman"/>
          <w:sz w:val="20"/>
          <w:szCs w:val="20"/>
        </w:rPr>
        <w:t xml:space="preserve"> maximum</w:t>
      </w:r>
      <w:r w:rsidR="000A1E36">
        <w:rPr>
          <w:rFonts w:ascii="Times New Roman" w:hAnsi="Times New Roman"/>
          <w:sz w:val="20"/>
          <w:szCs w:val="20"/>
        </w:rPr>
        <w:t xml:space="preserve"> size of the single-slot/multi-slot configurable table is not yet agreed</w:t>
      </w:r>
      <w:r w:rsidR="00411D2A">
        <w:rPr>
          <w:rFonts w:ascii="Times New Roman" w:hAnsi="Times New Roman"/>
          <w:sz w:val="20"/>
          <w:szCs w:val="20"/>
        </w:rPr>
        <w:t xml:space="preserve">, </w:t>
      </w:r>
      <w:r w:rsidR="0030220B">
        <w:rPr>
          <w:rFonts w:ascii="Times New Roman" w:hAnsi="Times New Roman"/>
          <w:sz w:val="20"/>
          <w:szCs w:val="20"/>
        </w:rPr>
        <w:t>it</w:t>
      </w:r>
      <w:r w:rsidR="00411D2A">
        <w:rPr>
          <w:rFonts w:ascii="Times New Roman" w:hAnsi="Times New Roman"/>
          <w:sz w:val="20"/>
          <w:szCs w:val="20"/>
        </w:rPr>
        <w:t xml:space="preserve"> could be somewhere between 16-64 entries</w:t>
      </w:r>
      <w:r w:rsidR="00C46A35" w:rsidRPr="002C47F0">
        <w:rPr>
          <w:rFonts w:ascii="Times New Roman" w:hAnsi="Times New Roman"/>
          <w:sz w:val="20"/>
          <w:szCs w:val="20"/>
        </w:rPr>
        <w:t>.</w:t>
      </w:r>
      <w:r w:rsidR="00411D2A">
        <w:rPr>
          <w:rFonts w:ascii="Times New Roman" w:hAnsi="Times New Roman"/>
          <w:sz w:val="20"/>
          <w:szCs w:val="20"/>
        </w:rPr>
        <w:t xml:space="preserve"> This resulting into payload of 4-6bits. </w:t>
      </w:r>
      <w:r w:rsidR="002F3CE5">
        <w:rPr>
          <w:rFonts w:ascii="Times New Roman" w:hAnsi="Times New Roman"/>
          <w:sz w:val="20"/>
          <w:szCs w:val="20"/>
        </w:rPr>
        <w:t>F</w:t>
      </w:r>
      <w:r w:rsidR="00411D2A">
        <w:rPr>
          <w:rFonts w:ascii="Times New Roman" w:hAnsi="Times New Roman"/>
          <w:sz w:val="20"/>
          <w:szCs w:val="20"/>
        </w:rPr>
        <w:t>urther</w:t>
      </w:r>
      <w:r w:rsidR="002F3CE5">
        <w:rPr>
          <w:rFonts w:ascii="Times New Roman" w:hAnsi="Times New Roman"/>
          <w:sz w:val="20"/>
          <w:szCs w:val="20"/>
        </w:rPr>
        <w:t xml:space="preserve"> the payload</w:t>
      </w:r>
      <w:r w:rsidR="00411D2A">
        <w:rPr>
          <w:rFonts w:ascii="Times New Roman" w:hAnsi="Times New Roman"/>
          <w:sz w:val="20"/>
          <w:szCs w:val="20"/>
        </w:rPr>
        <w:t xml:space="preserve"> </w:t>
      </w:r>
      <w:r w:rsidR="002F3CE5">
        <w:rPr>
          <w:rFonts w:ascii="Times New Roman" w:hAnsi="Times New Roman"/>
          <w:sz w:val="20"/>
          <w:szCs w:val="20"/>
        </w:rPr>
        <w:t xml:space="preserve">could be </w:t>
      </w:r>
      <w:r w:rsidR="00411D2A">
        <w:rPr>
          <w:rFonts w:ascii="Times New Roman" w:hAnsi="Times New Roman"/>
          <w:sz w:val="20"/>
          <w:szCs w:val="20"/>
        </w:rPr>
        <w:t xml:space="preserve">factorized by the number of cells, while typically, single value could be valid </w:t>
      </w:r>
      <w:r w:rsidR="0086165D">
        <w:rPr>
          <w:rFonts w:ascii="Times New Roman" w:hAnsi="Times New Roman"/>
          <w:sz w:val="20"/>
          <w:szCs w:val="20"/>
        </w:rPr>
        <w:t>for</w:t>
      </w:r>
      <w:r w:rsidR="00411D2A">
        <w:rPr>
          <w:rFonts w:ascii="Times New Roman" w:hAnsi="Times New Roman"/>
          <w:sz w:val="20"/>
          <w:szCs w:val="20"/>
        </w:rPr>
        <w:t xml:space="preserve"> multiple cell</w:t>
      </w:r>
      <w:r w:rsidR="002F3CE5">
        <w:rPr>
          <w:rFonts w:ascii="Times New Roman" w:hAnsi="Times New Roman"/>
          <w:sz w:val="20"/>
          <w:szCs w:val="20"/>
        </w:rPr>
        <w:t>s</w:t>
      </w:r>
      <w:r w:rsidR="00411D2A">
        <w:rPr>
          <w:rFonts w:ascii="Times New Roman" w:hAnsi="Times New Roman"/>
          <w:sz w:val="20"/>
          <w:szCs w:val="20"/>
        </w:rPr>
        <w:t>. Given such a low payload,</w:t>
      </w:r>
      <w:r w:rsidR="002F3CE5">
        <w:rPr>
          <w:rFonts w:ascii="Times New Roman" w:hAnsi="Times New Roman"/>
          <w:sz w:val="20"/>
          <w:szCs w:val="20"/>
        </w:rPr>
        <w:t xml:space="preserve"> RM code could be an option here. However, the false alarm for</w:t>
      </w:r>
      <w:r w:rsidR="0055457D">
        <w:rPr>
          <w:rFonts w:ascii="Times New Roman" w:hAnsi="Times New Roman"/>
          <w:sz w:val="20"/>
          <w:szCs w:val="20"/>
        </w:rPr>
        <w:t xml:space="preserve"> R</w:t>
      </w:r>
      <w:r w:rsidR="002F3CE5">
        <w:rPr>
          <w:rFonts w:ascii="Times New Roman" w:hAnsi="Times New Roman"/>
          <w:sz w:val="20"/>
          <w:szCs w:val="20"/>
        </w:rPr>
        <w:t xml:space="preserve">M code </w:t>
      </w:r>
      <w:r w:rsidR="0055457D">
        <w:rPr>
          <w:rFonts w:ascii="Times New Roman" w:hAnsi="Times New Roman"/>
          <w:sz w:val="20"/>
          <w:szCs w:val="20"/>
        </w:rPr>
        <w:t xml:space="preserve">for the case when monitored CCE(s) can contain noise or </w:t>
      </w:r>
      <w:r w:rsidR="0086165D">
        <w:rPr>
          <w:rFonts w:ascii="Times New Roman" w:hAnsi="Times New Roman"/>
          <w:sz w:val="20"/>
          <w:szCs w:val="20"/>
        </w:rPr>
        <w:t xml:space="preserve">DCI </w:t>
      </w:r>
      <w:r w:rsidR="0055457D">
        <w:rPr>
          <w:rFonts w:ascii="Times New Roman" w:hAnsi="Times New Roman"/>
          <w:sz w:val="20"/>
          <w:szCs w:val="20"/>
        </w:rPr>
        <w:t xml:space="preserve">messages of other UEs is ~1/16, this means that </w:t>
      </w:r>
      <w:r w:rsidR="00000ECE">
        <w:rPr>
          <w:rFonts w:ascii="Times New Roman" w:hAnsi="Times New Roman"/>
          <w:sz w:val="20"/>
          <w:szCs w:val="20"/>
        </w:rPr>
        <w:t xml:space="preserve">in </w:t>
      </w:r>
      <w:r w:rsidR="0055457D">
        <w:rPr>
          <w:rFonts w:ascii="Times New Roman" w:hAnsi="Times New Roman"/>
          <w:sz w:val="20"/>
          <w:szCs w:val="20"/>
        </w:rPr>
        <w:t>every 16 monitoring occasion</w:t>
      </w:r>
      <w:r w:rsidR="0030220B">
        <w:rPr>
          <w:rFonts w:ascii="Times New Roman" w:hAnsi="Times New Roman"/>
          <w:sz w:val="20"/>
          <w:szCs w:val="20"/>
        </w:rPr>
        <w:t>s</w:t>
      </w:r>
      <w:r w:rsidR="0055457D">
        <w:rPr>
          <w:rFonts w:ascii="Times New Roman" w:hAnsi="Times New Roman"/>
          <w:sz w:val="20"/>
          <w:szCs w:val="20"/>
        </w:rPr>
        <w:t xml:space="preserve">, a UE </w:t>
      </w:r>
      <w:r w:rsidR="000E0518">
        <w:rPr>
          <w:rFonts w:ascii="Times New Roman" w:hAnsi="Times New Roman"/>
          <w:sz w:val="20"/>
          <w:szCs w:val="20"/>
        </w:rPr>
        <w:t>wo</w:t>
      </w:r>
      <w:r w:rsidR="0055457D">
        <w:rPr>
          <w:rFonts w:ascii="Times New Roman" w:hAnsi="Times New Roman"/>
          <w:sz w:val="20"/>
          <w:szCs w:val="20"/>
        </w:rPr>
        <w:t>uld decode SFI which has not been transmitte</w:t>
      </w:r>
      <w:r w:rsidR="000E0518">
        <w:rPr>
          <w:rFonts w:ascii="Times New Roman" w:hAnsi="Times New Roman"/>
          <w:sz w:val="20"/>
          <w:szCs w:val="20"/>
        </w:rPr>
        <w:t>d. This is clearly unacceptable, and therefore we propose.</w:t>
      </w:r>
      <w:r w:rsidR="000E0518">
        <w:rPr>
          <w:rFonts w:ascii="Times New Roman" w:hAnsi="Times New Roman"/>
          <w:b/>
          <w:sz w:val="20"/>
          <w:szCs w:val="20"/>
        </w:rPr>
        <w:t xml:space="preserve"> </w:t>
      </w:r>
    </w:p>
    <w:p w14:paraId="748B2914" w14:textId="3DF14F32" w:rsidR="00C46A35" w:rsidRPr="002C47F0" w:rsidRDefault="00C46A35" w:rsidP="00C46A35">
      <w:pPr>
        <w:rPr>
          <w:rFonts w:ascii="Times New Roman" w:hAnsi="Times New Roman"/>
          <w:b/>
          <w:sz w:val="20"/>
          <w:szCs w:val="20"/>
        </w:rPr>
      </w:pPr>
      <w:r w:rsidRPr="002C47F0">
        <w:rPr>
          <w:rFonts w:ascii="Times New Roman" w:hAnsi="Times New Roman"/>
          <w:b/>
          <w:sz w:val="20"/>
          <w:szCs w:val="20"/>
        </w:rPr>
        <w:t>Proposal</w:t>
      </w:r>
      <w:r w:rsidR="00846B68" w:rsidRPr="002C47F0">
        <w:rPr>
          <w:rFonts w:ascii="Times New Roman" w:hAnsi="Times New Roman"/>
          <w:b/>
          <w:sz w:val="20"/>
          <w:szCs w:val="20"/>
        </w:rPr>
        <w:t>-</w:t>
      </w:r>
      <w:r w:rsidR="0086165D">
        <w:rPr>
          <w:rFonts w:ascii="Times New Roman" w:hAnsi="Times New Roman"/>
          <w:b/>
          <w:sz w:val="20"/>
          <w:szCs w:val="20"/>
        </w:rPr>
        <w:t>5</w:t>
      </w:r>
      <w:r w:rsidRPr="002C47F0">
        <w:rPr>
          <w:rFonts w:ascii="Times New Roman" w:hAnsi="Times New Roman"/>
          <w:b/>
          <w:sz w:val="20"/>
          <w:szCs w:val="20"/>
        </w:rPr>
        <w:t xml:space="preserve">: The </w:t>
      </w:r>
      <w:r w:rsidR="000E0518">
        <w:rPr>
          <w:rFonts w:ascii="Times New Roman" w:hAnsi="Times New Roman"/>
          <w:b/>
          <w:sz w:val="20"/>
          <w:szCs w:val="20"/>
        </w:rPr>
        <w:t>GC-</w:t>
      </w:r>
      <w:r w:rsidRPr="002C47F0">
        <w:rPr>
          <w:rFonts w:ascii="Times New Roman" w:hAnsi="Times New Roman"/>
          <w:b/>
          <w:sz w:val="20"/>
          <w:szCs w:val="20"/>
        </w:rPr>
        <w:t>PDCCH that carries the slot format related information is transmitted using</w:t>
      </w:r>
      <w:r w:rsidR="000E0518">
        <w:rPr>
          <w:rFonts w:ascii="Times New Roman" w:hAnsi="Times New Roman"/>
          <w:b/>
          <w:sz w:val="20"/>
          <w:szCs w:val="20"/>
        </w:rPr>
        <w:t xml:space="preserve"> regular</w:t>
      </w:r>
      <w:r w:rsidRPr="002C47F0">
        <w:rPr>
          <w:rFonts w:ascii="Times New Roman" w:hAnsi="Times New Roman"/>
          <w:b/>
          <w:sz w:val="20"/>
          <w:szCs w:val="20"/>
        </w:rPr>
        <w:t xml:space="preserve"> PDCCH</w:t>
      </w:r>
      <w:r w:rsidR="000E0518">
        <w:rPr>
          <w:rFonts w:ascii="Times New Roman" w:hAnsi="Times New Roman"/>
          <w:b/>
          <w:sz w:val="20"/>
          <w:szCs w:val="20"/>
        </w:rPr>
        <w:t>, i.e. polar with CRC</w:t>
      </w:r>
      <w:r w:rsidRPr="002C47F0">
        <w:rPr>
          <w:rFonts w:ascii="Times New Roman" w:hAnsi="Times New Roman"/>
          <w:b/>
          <w:sz w:val="20"/>
          <w:szCs w:val="20"/>
        </w:rPr>
        <w:t>.</w:t>
      </w:r>
    </w:p>
    <w:p w14:paraId="748B2915" w14:textId="77777777" w:rsidR="00C46A35" w:rsidRPr="002C47F0" w:rsidRDefault="00C46A35" w:rsidP="00F50A14">
      <w:pPr>
        <w:rPr>
          <w:rFonts w:ascii="Times New Roman" w:hAnsi="Times New Roman"/>
          <w:sz w:val="20"/>
          <w:szCs w:val="20"/>
        </w:rPr>
      </w:pPr>
    </w:p>
    <w:bookmarkEnd w:id="5"/>
    <w:bookmarkEnd w:id="6"/>
    <w:p w14:paraId="748B2916" w14:textId="2E80A8F2" w:rsidR="005B6509" w:rsidRPr="002C47F0" w:rsidRDefault="00622917" w:rsidP="005B6509">
      <w:pPr>
        <w:pStyle w:val="Heading1"/>
        <w:rPr>
          <w:lang w:val="en-US"/>
        </w:rPr>
      </w:pPr>
      <w:r>
        <w:rPr>
          <w:lang w:val="en-US"/>
        </w:rPr>
        <w:lastRenderedPageBreak/>
        <w:t>4</w:t>
      </w:r>
      <w:bookmarkStart w:id="7" w:name="_GoBack"/>
      <w:bookmarkEnd w:id="7"/>
      <w:r w:rsidR="005B6509" w:rsidRPr="002C47F0">
        <w:rPr>
          <w:lang w:val="en-US"/>
        </w:rPr>
        <w:tab/>
        <w:t>Conclusion</w:t>
      </w:r>
      <w:r w:rsidR="00A07F41" w:rsidRPr="002C47F0">
        <w:rPr>
          <w:lang w:val="en-US"/>
        </w:rPr>
        <w:t>s</w:t>
      </w:r>
    </w:p>
    <w:p w14:paraId="748B2917" w14:textId="7C3FF297" w:rsidR="00165148" w:rsidRDefault="001F1089" w:rsidP="00A07F41">
      <w:pPr>
        <w:jc w:val="both"/>
        <w:rPr>
          <w:rFonts w:ascii="Times New Roman" w:hAnsi="Times New Roman"/>
          <w:sz w:val="20"/>
        </w:rPr>
      </w:pPr>
      <w:bookmarkStart w:id="8" w:name="OLE_LINK43"/>
      <w:bookmarkStart w:id="9" w:name="OLE_LINK44"/>
      <w:bookmarkStart w:id="10" w:name="OLE_LINK34"/>
      <w:bookmarkStart w:id="11" w:name="OLE_LINK35"/>
      <w:r w:rsidRPr="002C47F0">
        <w:rPr>
          <w:rFonts w:ascii="Times New Roman" w:hAnsi="Times New Roman"/>
          <w:sz w:val="20"/>
        </w:rPr>
        <w:t>In this contribution</w:t>
      </w:r>
      <w:r w:rsidR="00DF0733" w:rsidRPr="002C47F0">
        <w:rPr>
          <w:rFonts w:ascii="Times New Roman" w:hAnsi="Times New Roman"/>
          <w:sz w:val="20"/>
        </w:rPr>
        <w:t>,</w:t>
      </w:r>
      <w:r w:rsidR="00165148" w:rsidRPr="002C47F0">
        <w:rPr>
          <w:rFonts w:ascii="Times New Roman" w:hAnsi="Times New Roman"/>
          <w:sz w:val="20"/>
        </w:rPr>
        <w:t xml:space="preserve"> we have discussed </w:t>
      </w:r>
      <w:r w:rsidR="0030220B">
        <w:rPr>
          <w:rFonts w:ascii="Times New Roman" w:hAnsi="Times New Roman"/>
          <w:sz w:val="20"/>
        </w:rPr>
        <w:t xml:space="preserve">some of </w:t>
      </w:r>
      <w:r w:rsidR="00165148" w:rsidRPr="002C47F0">
        <w:rPr>
          <w:rFonts w:ascii="Times New Roman" w:hAnsi="Times New Roman"/>
          <w:sz w:val="20"/>
        </w:rPr>
        <w:t xml:space="preserve">the </w:t>
      </w:r>
      <w:r w:rsidR="00467228" w:rsidRPr="002C47F0">
        <w:rPr>
          <w:rFonts w:ascii="Times New Roman" w:hAnsi="Times New Roman"/>
          <w:sz w:val="20"/>
        </w:rPr>
        <w:t>remaining aspects of</w:t>
      </w:r>
      <w:r w:rsidR="00165148" w:rsidRPr="002C47F0">
        <w:rPr>
          <w:rFonts w:ascii="Times New Roman" w:hAnsi="Times New Roman"/>
          <w:sz w:val="20"/>
        </w:rPr>
        <w:t xml:space="preserve"> group common PDCCH </w:t>
      </w:r>
      <w:r w:rsidR="0030220B">
        <w:rPr>
          <w:rFonts w:ascii="Times New Roman" w:hAnsi="Times New Roman"/>
          <w:sz w:val="20"/>
        </w:rPr>
        <w:t xml:space="preserve">design for SFI </w:t>
      </w:r>
      <w:r w:rsidR="00165148" w:rsidRPr="002C47F0">
        <w:rPr>
          <w:rFonts w:ascii="Times New Roman" w:hAnsi="Times New Roman"/>
          <w:sz w:val="20"/>
        </w:rPr>
        <w:t>and proposed the following:</w:t>
      </w:r>
    </w:p>
    <w:bookmarkEnd w:id="8"/>
    <w:bookmarkEnd w:id="9"/>
    <w:bookmarkEnd w:id="10"/>
    <w:bookmarkEnd w:id="11"/>
    <w:p w14:paraId="15A3EEEF" w14:textId="77777777" w:rsidR="006B5773" w:rsidRPr="003D08C7" w:rsidRDefault="006B5773" w:rsidP="006B5773">
      <w:pPr>
        <w:jc w:val="both"/>
        <w:rPr>
          <w:rFonts w:ascii="Times New Roman" w:hAnsi="Times New Roman"/>
          <w:b/>
          <w:sz w:val="20"/>
          <w:szCs w:val="20"/>
        </w:rPr>
      </w:pPr>
      <w:r w:rsidRPr="003D08C7">
        <w:rPr>
          <w:rFonts w:ascii="Times New Roman" w:hAnsi="Times New Roman"/>
          <w:b/>
          <w:sz w:val="20"/>
          <w:szCs w:val="20"/>
        </w:rPr>
        <w:t>Proposal-</w:t>
      </w:r>
      <w:r>
        <w:rPr>
          <w:rFonts w:ascii="Times New Roman" w:hAnsi="Times New Roman"/>
          <w:b/>
          <w:sz w:val="20"/>
          <w:szCs w:val="20"/>
        </w:rPr>
        <w:t>1</w:t>
      </w:r>
      <w:r w:rsidRPr="003D08C7">
        <w:rPr>
          <w:rFonts w:ascii="Times New Roman" w:hAnsi="Times New Roman"/>
          <w:b/>
          <w:sz w:val="20"/>
          <w:szCs w:val="20"/>
        </w:rPr>
        <w:t xml:space="preserve">: </w:t>
      </w:r>
      <w:r>
        <w:rPr>
          <w:rFonts w:ascii="Times New Roman" w:hAnsi="Times New Roman"/>
          <w:b/>
          <w:sz w:val="20"/>
          <w:szCs w:val="20"/>
        </w:rPr>
        <w:t xml:space="preserve">SSB and </w:t>
      </w:r>
      <w:r w:rsidRPr="003D08C7">
        <w:rPr>
          <w:rFonts w:ascii="Times New Roman" w:hAnsi="Times New Roman"/>
          <w:b/>
          <w:sz w:val="20"/>
          <w:szCs w:val="20"/>
        </w:rPr>
        <w:t>PRACH</w:t>
      </w:r>
      <w:r>
        <w:rPr>
          <w:rFonts w:ascii="Times New Roman" w:hAnsi="Times New Roman"/>
          <w:b/>
          <w:sz w:val="20"/>
          <w:szCs w:val="20"/>
        </w:rPr>
        <w:t xml:space="preserve"> </w:t>
      </w:r>
      <w:r w:rsidRPr="003D08C7">
        <w:rPr>
          <w:rFonts w:ascii="Times New Roman" w:hAnsi="Times New Roman"/>
          <w:b/>
          <w:sz w:val="20"/>
          <w:szCs w:val="20"/>
        </w:rPr>
        <w:t xml:space="preserve">are not expected to be </w:t>
      </w:r>
      <w:r w:rsidRPr="0022197E">
        <w:rPr>
          <w:rFonts w:ascii="Times New Roman" w:hAnsi="Times New Roman"/>
          <w:b/>
          <w:sz w:val="20"/>
          <w:szCs w:val="20"/>
        </w:rPr>
        <w:t>overridden by any dynamic</w:t>
      </w:r>
      <w:r>
        <w:rPr>
          <w:rFonts w:ascii="Times New Roman" w:hAnsi="Times New Roman"/>
          <w:b/>
          <w:sz w:val="20"/>
          <w:szCs w:val="20"/>
        </w:rPr>
        <w:t xml:space="preserve"> </w:t>
      </w:r>
      <w:r w:rsidRPr="0022197E">
        <w:rPr>
          <w:rFonts w:ascii="Times New Roman" w:hAnsi="Times New Roman"/>
          <w:b/>
          <w:sz w:val="20"/>
          <w:szCs w:val="20"/>
        </w:rPr>
        <w:t>or semi-static signaling.</w:t>
      </w:r>
      <w:r w:rsidRPr="003D08C7">
        <w:rPr>
          <w:rFonts w:ascii="Times New Roman" w:hAnsi="Times New Roman"/>
          <w:b/>
          <w:sz w:val="20"/>
          <w:szCs w:val="20"/>
        </w:rPr>
        <w:t xml:space="preserve"> </w:t>
      </w:r>
    </w:p>
    <w:p w14:paraId="4D11F3DB" w14:textId="77777777" w:rsidR="006B5773" w:rsidRPr="003D08C7" w:rsidRDefault="006B5773" w:rsidP="006B5773">
      <w:pPr>
        <w:jc w:val="both"/>
        <w:rPr>
          <w:rFonts w:ascii="Times New Roman" w:hAnsi="Times New Roman"/>
          <w:b/>
          <w:sz w:val="20"/>
          <w:szCs w:val="20"/>
        </w:rPr>
      </w:pPr>
      <w:r w:rsidRPr="00C51AFB">
        <w:rPr>
          <w:rFonts w:ascii="Times New Roman" w:hAnsi="Times New Roman" w:cs="Times New Roman"/>
          <w:b/>
          <w:sz w:val="20"/>
          <w:szCs w:val="20"/>
        </w:rPr>
        <w:t>Proposal-2: UE-specific data and measurement related signals not semi-statically configured by RRC cannot be overridden by dynamic SFI.</w:t>
      </w:r>
      <w:r>
        <w:rPr>
          <w:rFonts w:ascii="Times New Roman" w:hAnsi="Times New Roman" w:cs="Times New Roman"/>
          <w:b/>
          <w:sz w:val="20"/>
          <w:szCs w:val="20"/>
        </w:rPr>
        <w:t xml:space="preserve"> </w:t>
      </w:r>
    </w:p>
    <w:p w14:paraId="44C4F8C4" w14:textId="3E718354" w:rsidR="006B5773" w:rsidRDefault="006B5773" w:rsidP="006B5773">
      <w:pPr>
        <w:rPr>
          <w:rFonts w:ascii="Times New Roman" w:hAnsi="Times New Roman"/>
          <w:b/>
          <w:sz w:val="20"/>
          <w:szCs w:val="20"/>
        </w:rPr>
      </w:pPr>
      <w:r>
        <w:rPr>
          <w:rFonts w:ascii="Times New Roman" w:hAnsi="Times New Roman"/>
          <w:b/>
          <w:sz w:val="20"/>
          <w:szCs w:val="20"/>
        </w:rPr>
        <w:t>Proposal-3: UE monitors PDCCH as configured, unless symbol(s) of the CORESET carrying the search-space-set overlap(s) at least partially with symbols that has been signaled/configured to be UL or has been signaled as “unknown” in GC-PDCCH.</w:t>
      </w:r>
    </w:p>
    <w:p w14:paraId="538859BC" w14:textId="77777777" w:rsidR="006B5773" w:rsidRPr="00EB6259" w:rsidRDefault="006B5773" w:rsidP="006B5773">
      <w:pPr>
        <w:rPr>
          <w:rFonts w:ascii="Times New Roman" w:hAnsi="Times New Roman"/>
          <w:b/>
          <w:sz w:val="20"/>
          <w:szCs w:val="20"/>
        </w:rPr>
      </w:pPr>
      <w:r w:rsidRPr="00EB6259">
        <w:rPr>
          <w:rFonts w:ascii="Times New Roman" w:hAnsi="Times New Roman"/>
          <w:b/>
          <w:sz w:val="20"/>
          <w:szCs w:val="20"/>
        </w:rPr>
        <w:t>Proposal</w:t>
      </w:r>
      <w:r>
        <w:rPr>
          <w:rFonts w:ascii="Times New Roman" w:hAnsi="Times New Roman"/>
          <w:b/>
          <w:sz w:val="20"/>
          <w:szCs w:val="20"/>
        </w:rPr>
        <w:t>-4</w:t>
      </w:r>
      <w:r w:rsidRPr="00EB6259">
        <w:rPr>
          <w:rFonts w:ascii="Times New Roman" w:hAnsi="Times New Roman"/>
          <w:b/>
          <w:sz w:val="20"/>
          <w:szCs w:val="20"/>
        </w:rPr>
        <w:t xml:space="preserve">: </w:t>
      </w:r>
      <w:r>
        <w:rPr>
          <w:rFonts w:ascii="Times New Roman" w:hAnsi="Times New Roman"/>
          <w:b/>
          <w:sz w:val="20"/>
          <w:szCs w:val="20"/>
        </w:rPr>
        <w:t>In case the GC-PDCCH is not transmitted by gNB or UE does not receive the GC-PDCCH at the given configured periodic monitoring occasion, the UE shall assume that all slots until the next GC-PDCCH monitoring occasion are according to DL/UL semi-static configuration by SIB and dedicated RRC.</w:t>
      </w:r>
    </w:p>
    <w:p w14:paraId="30E755AB" w14:textId="77777777" w:rsidR="006B5773" w:rsidRPr="002C47F0" w:rsidRDefault="006B5773" w:rsidP="006B5773">
      <w:pPr>
        <w:rPr>
          <w:rFonts w:ascii="Times New Roman" w:hAnsi="Times New Roman"/>
          <w:b/>
          <w:sz w:val="20"/>
          <w:szCs w:val="20"/>
        </w:rPr>
      </w:pPr>
      <w:r w:rsidRPr="002C47F0">
        <w:rPr>
          <w:rFonts w:ascii="Times New Roman" w:hAnsi="Times New Roman"/>
          <w:b/>
          <w:sz w:val="20"/>
          <w:szCs w:val="20"/>
        </w:rPr>
        <w:t>Proposal-</w:t>
      </w:r>
      <w:r>
        <w:rPr>
          <w:rFonts w:ascii="Times New Roman" w:hAnsi="Times New Roman"/>
          <w:b/>
          <w:sz w:val="20"/>
          <w:szCs w:val="20"/>
        </w:rPr>
        <w:t>5</w:t>
      </w:r>
      <w:r w:rsidRPr="002C47F0">
        <w:rPr>
          <w:rFonts w:ascii="Times New Roman" w:hAnsi="Times New Roman"/>
          <w:b/>
          <w:sz w:val="20"/>
          <w:szCs w:val="20"/>
        </w:rPr>
        <w:t xml:space="preserve">: The </w:t>
      </w:r>
      <w:r>
        <w:rPr>
          <w:rFonts w:ascii="Times New Roman" w:hAnsi="Times New Roman"/>
          <w:b/>
          <w:sz w:val="20"/>
          <w:szCs w:val="20"/>
        </w:rPr>
        <w:t>GC-</w:t>
      </w:r>
      <w:r w:rsidRPr="002C47F0">
        <w:rPr>
          <w:rFonts w:ascii="Times New Roman" w:hAnsi="Times New Roman"/>
          <w:b/>
          <w:sz w:val="20"/>
          <w:szCs w:val="20"/>
        </w:rPr>
        <w:t>PDCCH that carries the slot format related information is transmitted using</w:t>
      </w:r>
      <w:r>
        <w:rPr>
          <w:rFonts w:ascii="Times New Roman" w:hAnsi="Times New Roman"/>
          <w:b/>
          <w:sz w:val="20"/>
          <w:szCs w:val="20"/>
        </w:rPr>
        <w:t xml:space="preserve"> regular</w:t>
      </w:r>
      <w:r w:rsidRPr="002C47F0">
        <w:rPr>
          <w:rFonts w:ascii="Times New Roman" w:hAnsi="Times New Roman"/>
          <w:b/>
          <w:sz w:val="20"/>
          <w:szCs w:val="20"/>
        </w:rPr>
        <w:t xml:space="preserve"> PDCCH</w:t>
      </w:r>
      <w:r>
        <w:rPr>
          <w:rFonts w:ascii="Times New Roman" w:hAnsi="Times New Roman"/>
          <w:b/>
          <w:sz w:val="20"/>
          <w:szCs w:val="20"/>
        </w:rPr>
        <w:t>, i.e. polar with CRC</w:t>
      </w:r>
      <w:r w:rsidRPr="002C47F0">
        <w:rPr>
          <w:rFonts w:ascii="Times New Roman" w:hAnsi="Times New Roman"/>
          <w:b/>
          <w:sz w:val="20"/>
          <w:szCs w:val="20"/>
        </w:rPr>
        <w:t>.</w:t>
      </w:r>
    </w:p>
    <w:sectPr w:rsidR="006B5773" w:rsidRPr="002C47F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2DE7A" w14:textId="77777777" w:rsidR="004669E7" w:rsidRDefault="004669E7">
      <w:r>
        <w:separator/>
      </w:r>
    </w:p>
  </w:endnote>
  <w:endnote w:type="continuationSeparator" w:id="0">
    <w:p w14:paraId="10E9F27C" w14:textId="77777777" w:rsidR="004669E7" w:rsidRDefault="00466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BADD9" w14:textId="77777777" w:rsidR="004669E7" w:rsidRDefault="004669E7">
      <w:r>
        <w:separator/>
      </w:r>
    </w:p>
  </w:footnote>
  <w:footnote w:type="continuationSeparator" w:id="0">
    <w:p w14:paraId="31D289CA" w14:textId="77777777" w:rsidR="004669E7" w:rsidRDefault="00466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4269F"/>
    <w:multiLevelType w:val="hybridMultilevel"/>
    <w:tmpl w:val="26BA2574"/>
    <w:lvl w:ilvl="0" w:tplc="8B0E1F62">
      <w:start w:val="2"/>
      <w:numFmt w:val="bullet"/>
      <w:lvlText w:val="-"/>
      <w:lvlJc w:val="left"/>
      <w:pPr>
        <w:ind w:left="720" w:hanging="360"/>
      </w:pPr>
      <w:rPr>
        <w:rFonts w:ascii="Times New Roman" w:eastAsia="Calibri" w:hAnsi="Times New Roman" w:cs="Times New Roman" w:hint="default"/>
      </w:rPr>
    </w:lvl>
    <w:lvl w:ilvl="1" w:tplc="8B0E1F62">
      <w:start w:val="2"/>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1B22FA"/>
    <w:multiLevelType w:val="hybridMultilevel"/>
    <w:tmpl w:val="F3B621CA"/>
    <w:lvl w:ilvl="0" w:tplc="8B0E1F6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cs="Times New Roman" w:hint="default"/>
      </w:rPr>
    </w:lvl>
    <w:lvl w:ilvl="1" w:tplc="D72E7896">
      <w:numFmt w:val="bullet"/>
      <w:lvlText w:val="–"/>
      <w:lvlJc w:val="left"/>
      <w:pPr>
        <w:tabs>
          <w:tab w:val="num" w:pos="1080"/>
        </w:tabs>
        <w:ind w:left="1080" w:hanging="360"/>
      </w:pPr>
      <w:rPr>
        <w:rFonts w:ascii="Arial" w:hAnsi="Arial" w:cs="Times New Roman" w:hint="default"/>
      </w:rPr>
    </w:lvl>
    <w:lvl w:ilvl="2" w:tplc="99FABAC0">
      <w:start w:val="1"/>
      <w:numFmt w:val="bullet"/>
      <w:lvlText w:val="•"/>
      <w:lvlJc w:val="left"/>
      <w:pPr>
        <w:tabs>
          <w:tab w:val="num" w:pos="1800"/>
        </w:tabs>
        <w:ind w:left="1800" w:hanging="360"/>
      </w:pPr>
      <w:rPr>
        <w:rFonts w:ascii="Arial" w:hAnsi="Arial" w:cs="Times New Roman" w:hint="default"/>
      </w:rPr>
    </w:lvl>
    <w:lvl w:ilvl="3" w:tplc="EA0664EC">
      <w:start w:val="1"/>
      <w:numFmt w:val="bullet"/>
      <w:lvlText w:val="•"/>
      <w:lvlJc w:val="left"/>
      <w:pPr>
        <w:tabs>
          <w:tab w:val="num" w:pos="2520"/>
        </w:tabs>
        <w:ind w:left="2520" w:hanging="360"/>
      </w:pPr>
      <w:rPr>
        <w:rFonts w:ascii="Arial" w:hAnsi="Arial" w:cs="Times New Roman" w:hint="default"/>
      </w:rPr>
    </w:lvl>
    <w:lvl w:ilvl="4" w:tplc="0CBCF4B8">
      <w:start w:val="1"/>
      <w:numFmt w:val="bullet"/>
      <w:lvlText w:val="•"/>
      <w:lvlJc w:val="left"/>
      <w:pPr>
        <w:tabs>
          <w:tab w:val="num" w:pos="3240"/>
        </w:tabs>
        <w:ind w:left="3240" w:hanging="360"/>
      </w:pPr>
      <w:rPr>
        <w:rFonts w:ascii="Arial" w:hAnsi="Arial" w:cs="Times New Roman" w:hint="default"/>
      </w:rPr>
    </w:lvl>
    <w:lvl w:ilvl="5" w:tplc="BACEFE74">
      <w:start w:val="1"/>
      <w:numFmt w:val="bullet"/>
      <w:lvlText w:val="•"/>
      <w:lvlJc w:val="left"/>
      <w:pPr>
        <w:tabs>
          <w:tab w:val="num" w:pos="3960"/>
        </w:tabs>
        <w:ind w:left="3960" w:hanging="360"/>
      </w:pPr>
      <w:rPr>
        <w:rFonts w:ascii="Arial" w:hAnsi="Arial" w:cs="Times New Roman" w:hint="default"/>
      </w:rPr>
    </w:lvl>
    <w:lvl w:ilvl="6" w:tplc="5AE8F5F0">
      <w:start w:val="1"/>
      <w:numFmt w:val="bullet"/>
      <w:lvlText w:val="•"/>
      <w:lvlJc w:val="left"/>
      <w:pPr>
        <w:tabs>
          <w:tab w:val="num" w:pos="4680"/>
        </w:tabs>
        <w:ind w:left="4680" w:hanging="360"/>
      </w:pPr>
      <w:rPr>
        <w:rFonts w:ascii="Arial" w:hAnsi="Arial" w:cs="Times New Roman" w:hint="default"/>
      </w:rPr>
    </w:lvl>
    <w:lvl w:ilvl="7" w:tplc="AB043FF6">
      <w:start w:val="1"/>
      <w:numFmt w:val="bullet"/>
      <w:lvlText w:val="•"/>
      <w:lvlJc w:val="left"/>
      <w:pPr>
        <w:tabs>
          <w:tab w:val="num" w:pos="5400"/>
        </w:tabs>
        <w:ind w:left="5400" w:hanging="360"/>
      </w:pPr>
      <w:rPr>
        <w:rFonts w:ascii="Arial" w:hAnsi="Arial" w:cs="Times New Roman" w:hint="default"/>
      </w:rPr>
    </w:lvl>
    <w:lvl w:ilvl="8" w:tplc="14882D3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FB4736"/>
    <w:multiLevelType w:val="hybridMultilevel"/>
    <w:tmpl w:val="4FE21022"/>
    <w:lvl w:ilvl="0" w:tplc="44E2EB42">
      <w:start w:val="1"/>
      <w:numFmt w:val="bullet"/>
      <w:lvlText w:val="•"/>
      <w:lvlJc w:val="left"/>
      <w:pPr>
        <w:tabs>
          <w:tab w:val="num" w:pos="720"/>
        </w:tabs>
        <w:ind w:left="720" w:hanging="360"/>
      </w:pPr>
      <w:rPr>
        <w:rFonts w:ascii="Arial" w:hAnsi="Arial" w:hint="default"/>
      </w:rPr>
    </w:lvl>
    <w:lvl w:ilvl="1" w:tplc="F7E6F61C">
      <w:numFmt w:val="bullet"/>
      <w:lvlText w:val="•"/>
      <w:lvlJc w:val="left"/>
      <w:pPr>
        <w:tabs>
          <w:tab w:val="num" w:pos="1440"/>
        </w:tabs>
        <w:ind w:left="1440" w:hanging="360"/>
      </w:pPr>
      <w:rPr>
        <w:rFonts w:ascii="Arial" w:hAnsi="Arial" w:hint="default"/>
      </w:rPr>
    </w:lvl>
    <w:lvl w:ilvl="2" w:tplc="1A96769E">
      <w:numFmt w:val="bullet"/>
      <w:lvlText w:val="•"/>
      <w:lvlJc w:val="left"/>
      <w:pPr>
        <w:tabs>
          <w:tab w:val="num" w:pos="2160"/>
        </w:tabs>
        <w:ind w:left="2160" w:hanging="360"/>
      </w:pPr>
      <w:rPr>
        <w:rFonts w:ascii="Arial" w:hAnsi="Arial" w:hint="default"/>
      </w:rPr>
    </w:lvl>
    <w:lvl w:ilvl="3" w:tplc="EA44F7F6" w:tentative="1">
      <w:start w:val="1"/>
      <w:numFmt w:val="bullet"/>
      <w:lvlText w:val="•"/>
      <w:lvlJc w:val="left"/>
      <w:pPr>
        <w:tabs>
          <w:tab w:val="num" w:pos="2880"/>
        </w:tabs>
        <w:ind w:left="2880" w:hanging="360"/>
      </w:pPr>
      <w:rPr>
        <w:rFonts w:ascii="Arial" w:hAnsi="Arial" w:hint="default"/>
      </w:rPr>
    </w:lvl>
    <w:lvl w:ilvl="4" w:tplc="1D048EDE" w:tentative="1">
      <w:start w:val="1"/>
      <w:numFmt w:val="bullet"/>
      <w:lvlText w:val="•"/>
      <w:lvlJc w:val="left"/>
      <w:pPr>
        <w:tabs>
          <w:tab w:val="num" w:pos="3600"/>
        </w:tabs>
        <w:ind w:left="3600" w:hanging="360"/>
      </w:pPr>
      <w:rPr>
        <w:rFonts w:ascii="Arial" w:hAnsi="Arial" w:hint="default"/>
      </w:rPr>
    </w:lvl>
    <w:lvl w:ilvl="5" w:tplc="49166526" w:tentative="1">
      <w:start w:val="1"/>
      <w:numFmt w:val="bullet"/>
      <w:lvlText w:val="•"/>
      <w:lvlJc w:val="left"/>
      <w:pPr>
        <w:tabs>
          <w:tab w:val="num" w:pos="4320"/>
        </w:tabs>
        <w:ind w:left="4320" w:hanging="360"/>
      </w:pPr>
      <w:rPr>
        <w:rFonts w:ascii="Arial" w:hAnsi="Arial" w:hint="default"/>
      </w:rPr>
    </w:lvl>
    <w:lvl w:ilvl="6" w:tplc="E34C7E8C" w:tentative="1">
      <w:start w:val="1"/>
      <w:numFmt w:val="bullet"/>
      <w:lvlText w:val="•"/>
      <w:lvlJc w:val="left"/>
      <w:pPr>
        <w:tabs>
          <w:tab w:val="num" w:pos="5040"/>
        </w:tabs>
        <w:ind w:left="5040" w:hanging="360"/>
      </w:pPr>
      <w:rPr>
        <w:rFonts w:ascii="Arial" w:hAnsi="Arial" w:hint="default"/>
      </w:rPr>
    </w:lvl>
    <w:lvl w:ilvl="7" w:tplc="2432E160" w:tentative="1">
      <w:start w:val="1"/>
      <w:numFmt w:val="bullet"/>
      <w:lvlText w:val="•"/>
      <w:lvlJc w:val="left"/>
      <w:pPr>
        <w:tabs>
          <w:tab w:val="num" w:pos="5760"/>
        </w:tabs>
        <w:ind w:left="5760" w:hanging="360"/>
      </w:pPr>
      <w:rPr>
        <w:rFonts w:ascii="Arial" w:hAnsi="Arial" w:hint="default"/>
      </w:rPr>
    </w:lvl>
    <w:lvl w:ilvl="8" w:tplc="CBBC80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D1833"/>
    <w:multiLevelType w:val="hybridMultilevel"/>
    <w:tmpl w:val="14C8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42611"/>
    <w:multiLevelType w:val="hybridMultilevel"/>
    <w:tmpl w:val="8CCCD7A8"/>
    <w:lvl w:ilvl="0" w:tplc="A6E2B1F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0E0BF5"/>
    <w:multiLevelType w:val="hybridMultilevel"/>
    <w:tmpl w:val="EDB2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5520593"/>
    <w:multiLevelType w:val="hybridMultilevel"/>
    <w:tmpl w:val="1A84A89C"/>
    <w:lvl w:ilvl="0" w:tplc="F82EA59C">
      <w:start w:val="1"/>
      <w:numFmt w:val="bullet"/>
      <w:lvlText w:val="•"/>
      <w:lvlJc w:val="left"/>
      <w:pPr>
        <w:tabs>
          <w:tab w:val="num" w:pos="720"/>
        </w:tabs>
        <w:ind w:left="720" w:hanging="360"/>
      </w:pPr>
      <w:rPr>
        <w:rFonts w:ascii="Arial" w:hAnsi="Arial" w:hint="default"/>
      </w:rPr>
    </w:lvl>
    <w:lvl w:ilvl="1" w:tplc="E6E47AD0">
      <w:start w:val="1"/>
      <w:numFmt w:val="bullet"/>
      <w:lvlText w:val="•"/>
      <w:lvlJc w:val="left"/>
      <w:pPr>
        <w:tabs>
          <w:tab w:val="num" w:pos="1440"/>
        </w:tabs>
        <w:ind w:left="1440" w:hanging="360"/>
      </w:pPr>
      <w:rPr>
        <w:rFonts w:ascii="Arial" w:hAnsi="Arial" w:hint="default"/>
      </w:rPr>
    </w:lvl>
    <w:lvl w:ilvl="2" w:tplc="24AC4A22">
      <w:numFmt w:val="bullet"/>
      <w:lvlText w:val="•"/>
      <w:lvlJc w:val="left"/>
      <w:pPr>
        <w:tabs>
          <w:tab w:val="num" w:pos="2160"/>
        </w:tabs>
        <w:ind w:left="2160" w:hanging="360"/>
      </w:pPr>
      <w:rPr>
        <w:rFonts w:ascii="Arial" w:hAnsi="Arial" w:hint="default"/>
      </w:rPr>
    </w:lvl>
    <w:lvl w:ilvl="3" w:tplc="472A7632" w:tentative="1">
      <w:start w:val="1"/>
      <w:numFmt w:val="bullet"/>
      <w:lvlText w:val="•"/>
      <w:lvlJc w:val="left"/>
      <w:pPr>
        <w:tabs>
          <w:tab w:val="num" w:pos="2880"/>
        </w:tabs>
        <w:ind w:left="2880" w:hanging="360"/>
      </w:pPr>
      <w:rPr>
        <w:rFonts w:ascii="Arial" w:hAnsi="Arial" w:hint="default"/>
      </w:rPr>
    </w:lvl>
    <w:lvl w:ilvl="4" w:tplc="01C2BAA8" w:tentative="1">
      <w:start w:val="1"/>
      <w:numFmt w:val="bullet"/>
      <w:lvlText w:val="•"/>
      <w:lvlJc w:val="left"/>
      <w:pPr>
        <w:tabs>
          <w:tab w:val="num" w:pos="3600"/>
        </w:tabs>
        <w:ind w:left="3600" w:hanging="360"/>
      </w:pPr>
      <w:rPr>
        <w:rFonts w:ascii="Arial" w:hAnsi="Arial" w:hint="default"/>
      </w:rPr>
    </w:lvl>
    <w:lvl w:ilvl="5" w:tplc="6518CB4A" w:tentative="1">
      <w:start w:val="1"/>
      <w:numFmt w:val="bullet"/>
      <w:lvlText w:val="•"/>
      <w:lvlJc w:val="left"/>
      <w:pPr>
        <w:tabs>
          <w:tab w:val="num" w:pos="4320"/>
        </w:tabs>
        <w:ind w:left="4320" w:hanging="360"/>
      </w:pPr>
      <w:rPr>
        <w:rFonts w:ascii="Arial" w:hAnsi="Arial" w:hint="default"/>
      </w:rPr>
    </w:lvl>
    <w:lvl w:ilvl="6" w:tplc="7CD463E8" w:tentative="1">
      <w:start w:val="1"/>
      <w:numFmt w:val="bullet"/>
      <w:lvlText w:val="•"/>
      <w:lvlJc w:val="left"/>
      <w:pPr>
        <w:tabs>
          <w:tab w:val="num" w:pos="5040"/>
        </w:tabs>
        <w:ind w:left="5040" w:hanging="360"/>
      </w:pPr>
      <w:rPr>
        <w:rFonts w:ascii="Arial" w:hAnsi="Arial" w:hint="default"/>
      </w:rPr>
    </w:lvl>
    <w:lvl w:ilvl="7" w:tplc="479EFD3E" w:tentative="1">
      <w:start w:val="1"/>
      <w:numFmt w:val="bullet"/>
      <w:lvlText w:val="•"/>
      <w:lvlJc w:val="left"/>
      <w:pPr>
        <w:tabs>
          <w:tab w:val="num" w:pos="5760"/>
        </w:tabs>
        <w:ind w:left="5760" w:hanging="360"/>
      </w:pPr>
      <w:rPr>
        <w:rFonts w:ascii="Arial" w:hAnsi="Arial" w:hint="default"/>
      </w:rPr>
    </w:lvl>
    <w:lvl w:ilvl="8" w:tplc="FDB0036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066B84"/>
    <w:multiLevelType w:val="hybridMultilevel"/>
    <w:tmpl w:val="D4A6A5A0"/>
    <w:lvl w:ilvl="0" w:tplc="8B0E1F6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33354D"/>
    <w:multiLevelType w:val="hybridMultilevel"/>
    <w:tmpl w:val="1298C6CE"/>
    <w:lvl w:ilvl="0" w:tplc="851E5C08">
      <w:start w:val="1"/>
      <w:numFmt w:val="bullet"/>
      <w:lvlText w:val="•"/>
      <w:lvlJc w:val="left"/>
      <w:pPr>
        <w:tabs>
          <w:tab w:val="num" w:pos="720"/>
        </w:tabs>
        <w:ind w:left="720" w:hanging="360"/>
      </w:pPr>
      <w:rPr>
        <w:rFonts w:ascii="Arial" w:hAnsi="Arial" w:hint="default"/>
      </w:rPr>
    </w:lvl>
    <w:lvl w:ilvl="1" w:tplc="F508F876">
      <w:numFmt w:val="bullet"/>
      <w:lvlText w:val="•"/>
      <w:lvlJc w:val="left"/>
      <w:pPr>
        <w:tabs>
          <w:tab w:val="num" w:pos="1440"/>
        </w:tabs>
        <w:ind w:left="1440" w:hanging="360"/>
      </w:pPr>
      <w:rPr>
        <w:rFonts w:ascii="Arial" w:hAnsi="Arial" w:hint="default"/>
      </w:rPr>
    </w:lvl>
    <w:lvl w:ilvl="2" w:tplc="60F63B92">
      <w:numFmt w:val="bullet"/>
      <w:lvlText w:val="•"/>
      <w:lvlJc w:val="left"/>
      <w:pPr>
        <w:tabs>
          <w:tab w:val="num" w:pos="2160"/>
        </w:tabs>
        <w:ind w:left="2160" w:hanging="360"/>
      </w:pPr>
      <w:rPr>
        <w:rFonts w:ascii="Arial" w:hAnsi="Arial" w:hint="default"/>
      </w:rPr>
    </w:lvl>
    <w:lvl w:ilvl="3" w:tplc="AABC9D84" w:tentative="1">
      <w:start w:val="1"/>
      <w:numFmt w:val="bullet"/>
      <w:lvlText w:val="•"/>
      <w:lvlJc w:val="left"/>
      <w:pPr>
        <w:tabs>
          <w:tab w:val="num" w:pos="2880"/>
        </w:tabs>
        <w:ind w:left="2880" w:hanging="360"/>
      </w:pPr>
      <w:rPr>
        <w:rFonts w:ascii="Arial" w:hAnsi="Arial" w:hint="default"/>
      </w:rPr>
    </w:lvl>
    <w:lvl w:ilvl="4" w:tplc="50065B88" w:tentative="1">
      <w:start w:val="1"/>
      <w:numFmt w:val="bullet"/>
      <w:lvlText w:val="•"/>
      <w:lvlJc w:val="left"/>
      <w:pPr>
        <w:tabs>
          <w:tab w:val="num" w:pos="3600"/>
        </w:tabs>
        <w:ind w:left="3600" w:hanging="360"/>
      </w:pPr>
      <w:rPr>
        <w:rFonts w:ascii="Arial" w:hAnsi="Arial" w:hint="default"/>
      </w:rPr>
    </w:lvl>
    <w:lvl w:ilvl="5" w:tplc="FD16D250" w:tentative="1">
      <w:start w:val="1"/>
      <w:numFmt w:val="bullet"/>
      <w:lvlText w:val="•"/>
      <w:lvlJc w:val="left"/>
      <w:pPr>
        <w:tabs>
          <w:tab w:val="num" w:pos="4320"/>
        </w:tabs>
        <w:ind w:left="4320" w:hanging="360"/>
      </w:pPr>
      <w:rPr>
        <w:rFonts w:ascii="Arial" w:hAnsi="Arial" w:hint="default"/>
      </w:rPr>
    </w:lvl>
    <w:lvl w:ilvl="6" w:tplc="C4F21948" w:tentative="1">
      <w:start w:val="1"/>
      <w:numFmt w:val="bullet"/>
      <w:lvlText w:val="•"/>
      <w:lvlJc w:val="left"/>
      <w:pPr>
        <w:tabs>
          <w:tab w:val="num" w:pos="5040"/>
        </w:tabs>
        <w:ind w:left="5040" w:hanging="360"/>
      </w:pPr>
      <w:rPr>
        <w:rFonts w:ascii="Arial" w:hAnsi="Arial" w:hint="default"/>
      </w:rPr>
    </w:lvl>
    <w:lvl w:ilvl="7" w:tplc="3BFCC4C6" w:tentative="1">
      <w:start w:val="1"/>
      <w:numFmt w:val="bullet"/>
      <w:lvlText w:val="•"/>
      <w:lvlJc w:val="left"/>
      <w:pPr>
        <w:tabs>
          <w:tab w:val="num" w:pos="5760"/>
        </w:tabs>
        <w:ind w:left="5760" w:hanging="360"/>
      </w:pPr>
      <w:rPr>
        <w:rFonts w:ascii="Arial" w:hAnsi="Arial" w:hint="default"/>
      </w:rPr>
    </w:lvl>
    <w:lvl w:ilvl="8" w:tplc="785A78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5C2679A1"/>
    <w:multiLevelType w:val="hybridMultilevel"/>
    <w:tmpl w:val="384AD462"/>
    <w:lvl w:ilvl="0" w:tplc="8B0E1F6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303C1"/>
    <w:multiLevelType w:val="hybridMultilevel"/>
    <w:tmpl w:val="EF80C0A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734A2C9F"/>
    <w:multiLevelType w:val="hybridMultilevel"/>
    <w:tmpl w:val="F7CA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535F42"/>
    <w:multiLevelType w:val="hybridMultilevel"/>
    <w:tmpl w:val="65E2FD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22"/>
  </w:num>
  <w:num w:numId="4">
    <w:abstractNumId w:val="37"/>
  </w:num>
  <w:num w:numId="5">
    <w:abstractNumId w:val="41"/>
  </w:num>
  <w:num w:numId="6">
    <w:abstractNumId w:val="33"/>
  </w:num>
  <w:num w:numId="7">
    <w:abstractNumId w:val="8"/>
  </w:num>
  <w:num w:numId="8">
    <w:abstractNumId w:val="19"/>
  </w:num>
  <w:num w:numId="9">
    <w:abstractNumId w:val="27"/>
  </w:num>
  <w:num w:numId="10">
    <w:abstractNumId w:val="27"/>
    <w:lvlOverride w:ilvl="0">
      <w:startOverride w:val="1"/>
    </w:lvlOverride>
  </w:num>
  <w:num w:numId="11">
    <w:abstractNumId w:val="36"/>
  </w:num>
  <w:num w:numId="12">
    <w:abstractNumId w:val="26"/>
  </w:num>
  <w:num w:numId="13">
    <w:abstractNumId w:val="20"/>
  </w:num>
  <w:num w:numId="14">
    <w:abstractNumId w:val="32"/>
  </w:num>
  <w:num w:numId="15">
    <w:abstractNumId w:val="21"/>
  </w:num>
  <w:num w:numId="16">
    <w:abstractNumId w:val="0"/>
  </w:num>
  <w:num w:numId="17">
    <w:abstractNumId w:val="38"/>
  </w:num>
  <w:num w:numId="18">
    <w:abstractNumId w:val="11"/>
  </w:num>
  <w:num w:numId="19">
    <w:abstractNumId w:val="42"/>
  </w:num>
  <w:num w:numId="20">
    <w:abstractNumId w:val="16"/>
  </w:num>
  <w:num w:numId="21">
    <w:abstractNumId w:val="17"/>
  </w:num>
  <w:num w:numId="22">
    <w:abstractNumId w:val="18"/>
  </w:num>
  <w:num w:numId="23">
    <w:abstractNumId w:val="4"/>
  </w:num>
  <w:num w:numId="24">
    <w:abstractNumId w:val="35"/>
  </w:num>
  <w:num w:numId="25">
    <w:abstractNumId w:val="3"/>
  </w:num>
  <w:num w:numId="26">
    <w:abstractNumId w:val="29"/>
  </w:num>
  <w:num w:numId="27">
    <w:abstractNumId w:val="1"/>
  </w:num>
  <w:num w:numId="28">
    <w:abstractNumId w:val="6"/>
  </w:num>
  <w:num w:numId="29">
    <w:abstractNumId w:val="5"/>
  </w:num>
  <w:num w:numId="30">
    <w:abstractNumId w:val="40"/>
  </w:num>
  <w:num w:numId="31">
    <w:abstractNumId w:val="7"/>
  </w:num>
  <w:num w:numId="32">
    <w:abstractNumId w:val="39"/>
  </w:num>
  <w:num w:numId="33">
    <w:abstractNumId w:val="9"/>
  </w:num>
  <w:num w:numId="34">
    <w:abstractNumId w:val="28"/>
  </w:num>
  <w:num w:numId="35">
    <w:abstractNumId w:val="23"/>
  </w:num>
  <w:num w:numId="36">
    <w:abstractNumId w:val="14"/>
  </w:num>
  <w:num w:numId="37">
    <w:abstractNumId w:val="30"/>
  </w:num>
  <w:num w:numId="38">
    <w:abstractNumId w:val="25"/>
  </w:num>
  <w:num w:numId="39">
    <w:abstractNumId w:val="15"/>
  </w:num>
  <w:num w:numId="40">
    <w:abstractNumId w:val="15"/>
  </w:num>
  <w:num w:numId="41">
    <w:abstractNumId w:val="13"/>
  </w:num>
  <w:num w:numId="42">
    <w:abstractNumId w:val="12"/>
  </w:num>
  <w:num w:numId="43">
    <w:abstractNumId w:val="24"/>
  </w:num>
  <w:num w:numId="44">
    <w:abstractNumId w:val="34"/>
  </w:num>
  <w:num w:numId="45">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CE"/>
    <w:rsid w:val="00000ED8"/>
    <w:rsid w:val="0000141D"/>
    <w:rsid w:val="000023A6"/>
    <w:rsid w:val="00002DEC"/>
    <w:rsid w:val="000032D6"/>
    <w:rsid w:val="000033ED"/>
    <w:rsid w:val="00003811"/>
    <w:rsid w:val="00003F15"/>
    <w:rsid w:val="00006BB1"/>
    <w:rsid w:val="00006DE9"/>
    <w:rsid w:val="000074C4"/>
    <w:rsid w:val="0000763B"/>
    <w:rsid w:val="000109A5"/>
    <w:rsid w:val="00011360"/>
    <w:rsid w:val="0001170C"/>
    <w:rsid w:val="00011766"/>
    <w:rsid w:val="00011C5F"/>
    <w:rsid w:val="0001245C"/>
    <w:rsid w:val="00013369"/>
    <w:rsid w:val="000144F8"/>
    <w:rsid w:val="00014945"/>
    <w:rsid w:val="00014A49"/>
    <w:rsid w:val="0001541B"/>
    <w:rsid w:val="00015E90"/>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FC2"/>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723"/>
    <w:rsid w:val="00047AD5"/>
    <w:rsid w:val="00047E2C"/>
    <w:rsid w:val="0005018D"/>
    <w:rsid w:val="000502B8"/>
    <w:rsid w:val="00050AD5"/>
    <w:rsid w:val="00050C10"/>
    <w:rsid w:val="000511F9"/>
    <w:rsid w:val="000517D8"/>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59C"/>
    <w:rsid w:val="00071C52"/>
    <w:rsid w:val="00072FD4"/>
    <w:rsid w:val="00072FFC"/>
    <w:rsid w:val="000731DE"/>
    <w:rsid w:val="00074659"/>
    <w:rsid w:val="00074AE4"/>
    <w:rsid w:val="0007526D"/>
    <w:rsid w:val="000755B4"/>
    <w:rsid w:val="00075E55"/>
    <w:rsid w:val="0007612E"/>
    <w:rsid w:val="00076A89"/>
    <w:rsid w:val="00076DB1"/>
    <w:rsid w:val="0007722F"/>
    <w:rsid w:val="00077379"/>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351"/>
    <w:rsid w:val="00095DEB"/>
    <w:rsid w:val="000962CD"/>
    <w:rsid w:val="00097058"/>
    <w:rsid w:val="00097924"/>
    <w:rsid w:val="00097F98"/>
    <w:rsid w:val="000A1E36"/>
    <w:rsid w:val="000A20BA"/>
    <w:rsid w:val="000A2249"/>
    <w:rsid w:val="000A2D56"/>
    <w:rsid w:val="000A356B"/>
    <w:rsid w:val="000A375D"/>
    <w:rsid w:val="000A3D29"/>
    <w:rsid w:val="000A44F8"/>
    <w:rsid w:val="000A46A6"/>
    <w:rsid w:val="000A47E2"/>
    <w:rsid w:val="000A4945"/>
    <w:rsid w:val="000A4B03"/>
    <w:rsid w:val="000A4D7C"/>
    <w:rsid w:val="000A5721"/>
    <w:rsid w:val="000A59F8"/>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518"/>
    <w:rsid w:val="000E0D66"/>
    <w:rsid w:val="000E0ECC"/>
    <w:rsid w:val="000E13E9"/>
    <w:rsid w:val="000E16F8"/>
    <w:rsid w:val="000E3440"/>
    <w:rsid w:val="000E3442"/>
    <w:rsid w:val="000E3DEF"/>
    <w:rsid w:val="000E41A9"/>
    <w:rsid w:val="000E5108"/>
    <w:rsid w:val="000E53D3"/>
    <w:rsid w:val="000E60C1"/>
    <w:rsid w:val="000E6331"/>
    <w:rsid w:val="000E6470"/>
    <w:rsid w:val="000E6473"/>
    <w:rsid w:val="000E72FB"/>
    <w:rsid w:val="000E7633"/>
    <w:rsid w:val="000E7D56"/>
    <w:rsid w:val="000F0B4B"/>
    <w:rsid w:val="000F0E8D"/>
    <w:rsid w:val="000F1095"/>
    <w:rsid w:val="000F140E"/>
    <w:rsid w:val="000F1730"/>
    <w:rsid w:val="000F19D4"/>
    <w:rsid w:val="000F2553"/>
    <w:rsid w:val="000F2D63"/>
    <w:rsid w:val="000F3098"/>
    <w:rsid w:val="000F328B"/>
    <w:rsid w:val="000F3876"/>
    <w:rsid w:val="000F391E"/>
    <w:rsid w:val="000F41B3"/>
    <w:rsid w:val="000F5B89"/>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47F8E"/>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721"/>
    <w:rsid w:val="00157B40"/>
    <w:rsid w:val="001601AE"/>
    <w:rsid w:val="00160674"/>
    <w:rsid w:val="001612C1"/>
    <w:rsid w:val="001616EE"/>
    <w:rsid w:val="00161D23"/>
    <w:rsid w:val="0016398E"/>
    <w:rsid w:val="00163BD0"/>
    <w:rsid w:val="00163FEB"/>
    <w:rsid w:val="001641F1"/>
    <w:rsid w:val="00165033"/>
    <w:rsid w:val="00165148"/>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0305"/>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6AE4"/>
    <w:rsid w:val="0019712E"/>
    <w:rsid w:val="00197BDF"/>
    <w:rsid w:val="001A0C55"/>
    <w:rsid w:val="001A103E"/>
    <w:rsid w:val="001A111A"/>
    <w:rsid w:val="001A11A8"/>
    <w:rsid w:val="001A1940"/>
    <w:rsid w:val="001A30F9"/>
    <w:rsid w:val="001A331B"/>
    <w:rsid w:val="001A4160"/>
    <w:rsid w:val="001A58D0"/>
    <w:rsid w:val="001A5D07"/>
    <w:rsid w:val="001A5D6B"/>
    <w:rsid w:val="001A668C"/>
    <w:rsid w:val="001A6A25"/>
    <w:rsid w:val="001A6C9A"/>
    <w:rsid w:val="001A6EB3"/>
    <w:rsid w:val="001A7BF3"/>
    <w:rsid w:val="001A7C85"/>
    <w:rsid w:val="001A7E74"/>
    <w:rsid w:val="001B070D"/>
    <w:rsid w:val="001B1A64"/>
    <w:rsid w:val="001B2F61"/>
    <w:rsid w:val="001B383B"/>
    <w:rsid w:val="001B3C00"/>
    <w:rsid w:val="001B3C14"/>
    <w:rsid w:val="001B4BB4"/>
    <w:rsid w:val="001B4DE0"/>
    <w:rsid w:val="001B5269"/>
    <w:rsid w:val="001B547E"/>
    <w:rsid w:val="001B6299"/>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927"/>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90C"/>
    <w:rsid w:val="00220D22"/>
    <w:rsid w:val="00221167"/>
    <w:rsid w:val="00221506"/>
    <w:rsid w:val="0022197E"/>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22B"/>
    <w:rsid w:val="0023440D"/>
    <w:rsid w:val="00234B37"/>
    <w:rsid w:val="0023504B"/>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53E7"/>
    <w:rsid w:val="002458BB"/>
    <w:rsid w:val="00245C9B"/>
    <w:rsid w:val="00245CF8"/>
    <w:rsid w:val="00246081"/>
    <w:rsid w:val="00246543"/>
    <w:rsid w:val="00246913"/>
    <w:rsid w:val="00246AA2"/>
    <w:rsid w:val="00246AB8"/>
    <w:rsid w:val="00247832"/>
    <w:rsid w:val="00247DEE"/>
    <w:rsid w:val="00250E1A"/>
    <w:rsid w:val="00251721"/>
    <w:rsid w:val="00252C17"/>
    <w:rsid w:val="0025303A"/>
    <w:rsid w:val="0025356C"/>
    <w:rsid w:val="00253F80"/>
    <w:rsid w:val="00254706"/>
    <w:rsid w:val="0025476E"/>
    <w:rsid w:val="00254B48"/>
    <w:rsid w:val="00255534"/>
    <w:rsid w:val="00256C14"/>
    <w:rsid w:val="0025735C"/>
    <w:rsid w:val="0025742D"/>
    <w:rsid w:val="002600E1"/>
    <w:rsid w:val="00260C1E"/>
    <w:rsid w:val="002612FE"/>
    <w:rsid w:val="00261AED"/>
    <w:rsid w:val="0026222F"/>
    <w:rsid w:val="00262AB8"/>
    <w:rsid w:val="002634B5"/>
    <w:rsid w:val="002635BC"/>
    <w:rsid w:val="00263EE5"/>
    <w:rsid w:val="00266F6D"/>
    <w:rsid w:val="00267118"/>
    <w:rsid w:val="002678A0"/>
    <w:rsid w:val="00270901"/>
    <w:rsid w:val="00270CD2"/>
    <w:rsid w:val="0027114C"/>
    <w:rsid w:val="0027223E"/>
    <w:rsid w:val="00272248"/>
    <w:rsid w:val="00272452"/>
    <w:rsid w:val="00272458"/>
    <w:rsid w:val="0027279F"/>
    <w:rsid w:val="0027377F"/>
    <w:rsid w:val="00273C3A"/>
    <w:rsid w:val="00274C1D"/>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1A19"/>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1E5"/>
    <w:rsid w:val="002B4D11"/>
    <w:rsid w:val="002B50EA"/>
    <w:rsid w:val="002B60E3"/>
    <w:rsid w:val="002B6C25"/>
    <w:rsid w:val="002B7215"/>
    <w:rsid w:val="002B74ED"/>
    <w:rsid w:val="002B7773"/>
    <w:rsid w:val="002C06B7"/>
    <w:rsid w:val="002C139E"/>
    <w:rsid w:val="002C180A"/>
    <w:rsid w:val="002C39FE"/>
    <w:rsid w:val="002C47F0"/>
    <w:rsid w:val="002C4EA6"/>
    <w:rsid w:val="002C5280"/>
    <w:rsid w:val="002C55A6"/>
    <w:rsid w:val="002C5D11"/>
    <w:rsid w:val="002C6255"/>
    <w:rsid w:val="002C6E3E"/>
    <w:rsid w:val="002D098F"/>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15C"/>
    <w:rsid w:val="002E725C"/>
    <w:rsid w:val="002E7FEB"/>
    <w:rsid w:val="002F11B9"/>
    <w:rsid w:val="002F143E"/>
    <w:rsid w:val="002F144D"/>
    <w:rsid w:val="002F18A9"/>
    <w:rsid w:val="002F1E06"/>
    <w:rsid w:val="002F3CD5"/>
    <w:rsid w:val="002F3CE5"/>
    <w:rsid w:val="002F5B42"/>
    <w:rsid w:val="002F5C07"/>
    <w:rsid w:val="002F72DA"/>
    <w:rsid w:val="002F7A6C"/>
    <w:rsid w:val="0030017F"/>
    <w:rsid w:val="00300E13"/>
    <w:rsid w:val="00301EE5"/>
    <w:rsid w:val="0030220B"/>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09C"/>
    <w:rsid w:val="0031128C"/>
    <w:rsid w:val="00311594"/>
    <w:rsid w:val="00312957"/>
    <w:rsid w:val="00312CEC"/>
    <w:rsid w:val="00313A5B"/>
    <w:rsid w:val="00313CB0"/>
    <w:rsid w:val="00313F96"/>
    <w:rsid w:val="00313FD2"/>
    <w:rsid w:val="003151C8"/>
    <w:rsid w:val="003163BD"/>
    <w:rsid w:val="00316947"/>
    <w:rsid w:val="0031771F"/>
    <w:rsid w:val="003179C3"/>
    <w:rsid w:val="00320DCD"/>
    <w:rsid w:val="003213B9"/>
    <w:rsid w:val="003216B6"/>
    <w:rsid w:val="00321944"/>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809"/>
    <w:rsid w:val="00362DE1"/>
    <w:rsid w:val="00363D73"/>
    <w:rsid w:val="003642A6"/>
    <w:rsid w:val="00364BBC"/>
    <w:rsid w:val="00364BDE"/>
    <w:rsid w:val="00364D63"/>
    <w:rsid w:val="00365BE6"/>
    <w:rsid w:val="0036620B"/>
    <w:rsid w:val="003666FD"/>
    <w:rsid w:val="0036678C"/>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843"/>
    <w:rsid w:val="0039496A"/>
    <w:rsid w:val="00395FD5"/>
    <w:rsid w:val="0039629A"/>
    <w:rsid w:val="00396ADB"/>
    <w:rsid w:val="003A00F4"/>
    <w:rsid w:val="003A43B2"/>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EA6"/>
    <w:rsid w:val="003C4F83"/>
    <w:rsid w:val="003C52B5"/>
    <w:rsid w:val="003C63F4"/>
    <w:rsid w:val="003C7570"/>
    <w:rsid w:val="003C7A07"/>
    <w:rsid w:val="003C7A5D"/>
    <w:rsid w:val="003C7E86"/>
    <w:rsid w:val="003D005E"/>
    <w:rsid w:val="003D00A3"/>
    <w:rsid w:val="003D04E2"/>
    <w:rsid w:val="003D08C7"/>
    <w:rsid w:val="003D0BE3"/>
    <w:rsid w:val="003D0CCD"/>
    <w:rsid w:val="003D1076"/>
    <w:rsid w:val="003D198A"/>
    <w:rsid w:val="003D1D26"/>
    <w:rsid w:val="003D28B1"/>
    <w:rsid w:val="003D2EB2"/>
    <w:rsid w:val="003D3052"/>
    <w:rsid w:val="003D38C8"/>
    <w:rsid w:val="003D402B"/>
    <w:rsid w:val="003D5146"/>
    <w:rsid w:val="003D767C"/>
    <w:rsid w:val="003E093C"/>
    <w:rsid w:val="003E1325"/>
    <w:rsid w:val="003E275E"/>
    <w:rsid w:val="003E33FC"/>
    <w:rsid w:val="003E3F38"/>
    <w:rsid w:val="003E52DA"/>
    <w:rsid w:val="003E5B29"/>
    <w:rsid w:val="003E5E46"/>
    <w:rsid w:val="003E61C3"/>
    <w:rsid w:val="003E6D55"/>
    <w:rsid w:val="003E6F97"/>
    <w:rsid w:val="003F04D3"/>
    <w:rsid w:val="003F0788"/>
    <w:rsid w:val="003F1329"/>
    <w:rsid w:val="003F1A7F"/>
    <w:rsid w:val="003F20B4"/>
    <w:rsid w:val="003F3084"/>
    <w:rsid w:val="003F3B26"/>
    <w:rsid w:val="003F5D59"/>
    <w:rsid w:val="003F6120"/>
    <w:rsid w:val="003F660A"/>
    <w:rsid w:val="003F702F"/>
    <w:rsid w:val="0040053A"/>
    <w:rsid w:val="004006BC"/>
    <w:rsid w:val="00400C1D"/>
    <w:rsid w:val="00400D0A"/>
    <w:rsid w:val="00401B6D"/>
    <w:rsid w:val="00401E2C"/>
    <w:rsid w:val="00402838"/>
    <w:rsid w:val="00403284"/>
    <w:rsid w:val="00403375"/>
    <w:rsid w:val="00403435"/>
    <w:rsid w:val="0040343F"/>
    <w:rsid w:val="00403EB1"/>
    <w:rsid w:val="004042DC"/>
    <w:rsid w:val="00405A85"/>
    <w:rsid w:val="00406595"/>
    <w:rsid w:val="0040697D"/>
    <w:rsid w:val="00406ED2"/>
    <w:rsid w:val="00410094"/>
    <w:rsid w:val="00411D2A"/>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17D5D"/>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4EA8"/>
    <w:rsid w:val="0044514A"/>
    <w:rsid w:val="00445FF7"/>
    <w:rsid w:val="00447263"/>
    <w:rsid w:val="004478B9"/>
    <w:rsid w:val="00450C71"/>
    <w:rsid w:val="00451323"/>
    <w:rsid w:val="0045159A"/>
    <w:rsid w:val="004521DE"/>
    <w:rsid w:val="00453341"/>
    <w:rsid w:val="00454106"/>
    <w:rsid w:val="0045489A"/>
    <w:rsid w:val="004567B7"/>
    <w:rsid w:val="00456D13"/>
    <w:rsid w:val="00457671"/>
    <w:rsid w:val="00457A67"/>
    <w:rsid w:val="0046048D"/>
    <w:rsid w:val="004608E9"/>
    <w:rsid w:val="00460FCA"/>
    <w:rsid w:val="00461210"/>
    <w:rsid w:val="00461E37"/>
    <w:rsid w:val="0046236A"/>
    <w:rsid w:val="00462F68"/>
    <w:rsid w:val="004632B6"/>
    <w:rsid w:val="004639D9"/>
    <w:rsid w:val="00463B13"/>
    <w:rsid w:val="00464589"/>
    <w:rsid w:val="00466292"/>
    <w:rsid w:val="004662D7"/>
    <w:rsid w:val="00466649"/>
    <w:rsid w:val="004669E7"/>
    <w:rsid w:val="00467228"/>
    <w:rsid w:val="00467311"/>
    <w:rsid w:val="00467E1A"/>
    <w:rsid w:val="00467FA5"/>
    <w:rsid w:val="004701AA"/>
    <w:rsid w:val="004705EF"/>
    <w:rsid w:val="00470D44"/>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0F6A"/>
    <w:rsid w:val="004A1DA1"/>
    <w:rsid w:val="004A25B6"/>
    <w:rsid w:val="004A2685"/>
    <w:rsid w:val="004A26EF"/>
    <w:rsid w:val="004A284B"/>
    <w:rsid w:val="004A32EB"/>
    <w:rsid w:val="004A3D90"/>
    <w:rsid w:val="004A4185"/>
    <w:rsid w:val="004A4BC3"/>
    <w:rsid w:val="004A4D1B"/>
    <w:rsid w:val="004A52A5"/>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1F4C"/>
    <w:rsid w:val="004D22E2"/>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43B"/>
    <w:rsid w:val="004E6B06"/>
    <w:rsid w:val="004E6C80"/>
    <w:rsid w:val="004E7014"/>
    <w:rsid w:val="004E7ECD"/>
    <w:rsid w:val="004F015E"/>
    <w:rsid w:val="004F08C5"/>
    <w:rsid w:val="004F0DB4"/>
    <w:rsid w:val="004F107A"/>
    <w:rsid w:val="004F1F16"/>
    <w:rsid w:val="004F2840"/>
    <w:rsid w:val="004F2C55"/>
    <w:rsid w:val="004F2F9C"/>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7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307"/>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0D1"/>
    <w:rsid w:val="00524572"/>
    <w:rsid w:val="00524BEA"/>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57D"/>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2336"/>
    <w:rsid w:val="00572393"/>
    <w:rsid w:val="00572F2E"/>
    <w:rsid w:val="005730A7"/>
    <w:rsid w:val="005730C7"/>
    <w:rsid w:val="00573430"/>
    <w:rsid w:val="00573A93"/>
    <w:rsid w:val="00573A9E"/>
    <w:rsid w:val="00574300"/>
    <w:rsid w:val="0057448F"/>
    <w:rsid w:val="00574944"/>
    <w:rsid w:val="00575891"/>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6759"/>
    <w:rsid w:val="00597229"/>
    <w:rsid w:val="005975F5"/>
    <w:rsid w:val="00597EBB"/>
    <w:rsid w:val="005A0173"/>
    <w:rsid w:val="005A1C50"/>
    <w:rsid w:val="005A2A83"/>
    <w:rsid w:val="005A36A5"/>
    <w:rsid w:val="005A510C"/>
    <w:rsid w:val="005A58FF"/>
    <w:rsid w:val="005A5FE6"/>
    <w:rsid w:val="005A6290"/>
    <w:rsid w:val="005A70F8"/>
    <w:rsid w:val="005A7281"/>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407"/>
    <w:rsid w:val="005D3565"/>
    <w:rsid w:val="005D3842"/>
    <w:rsid w:val="005D3BCF"/>
    <w:rsid w:val="005D49DA"/>
    <w:rsid w:val="005D4A2E"/>
    <w:rsid w:val="005D55D7"/>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1DF1"/>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32E"/>
    <w:rsid w:val="0062202B"/>
    <w:rsid w:val="006224A4"/>
    <w:rsid w:val="00622917"/>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429"/>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2F"/>
    <w:rsid w:val="006907DB"/>
    <w:rsid w:val="00690C7E"/>
    <w:rsid w:val="00690E94"/>
    <w:rsid w:val="00691E2A"/>
    <w:rsid w:val="00692561"/>
    <w:rsid w:val="00693F7D"/>
    <w:rsid w:val="00694270"/>
    <w:rsid w:val="006944F3"/>
    <w:rsid w:val="00694C3E"/>
    <w:rsid w:val="006950E8"/>
    <w:rsid w:val="00695F8B"/>
    <w:rsid w:val="00696093"/>
    <w:rsid w:val="006970D3"/>
    <w:rsid w:val="006973F6"/>
    <w:rsid w:val="00697568"/>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20"/>
    <w:rsid w:val="006A7FFB"/>
    <w:rsid w:val="006B05A2"/>
    <w:rsid w:val="006B122D"/>
    <w:rsid w:val="006B2238"/>
    <w:rsid w:val="006B28E9"/>
    <w:rsid w:val="006B2CD5"/>
    <w:rsid w:val="006B3459"/>
    <w:rsid w:val="006B35D1"/>
    <w:rsid w:val="006B39A2"/>
    <w:rsid w:val="006B4BAD"/>
    <w:rsid w:val="006B5095"/>
    <w:rsid w:val="006B5773"/>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78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5F65"/>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5FF2"/>
    <w:rsid w:val="00707A3A"/>
    <w:rsid w:val="007100F9"/>
    <w:rsid w:val="00710282"/>
    <w:rsid w:val="007106D4"/>
    <w:rsid w:val="00710BCC"/>
    <w:rsid w:val="00711275"/>
    <w:rsid w:val="00711888"/>
    <w:rsid w:val="00711A49"/>
    <w:rsid w:val="00711E13"/>
    <w:rsid w:val="00712A7A"/>
    <w:rsid w:val="00712EDA"/>
    <w:rsid w:val="00713648"/>
    <w:rsid w:val="007143F8"/>
    <w:rsid w:val="00715AFF"/>
    <w:rsid w:val="00715FD6"/>
    <w:rsid w:val="007162D8"/>
    <w:rsid w:val="0071705B"/>
    <w:rsid w:val="00717B10"/>
    <w:rsid w:val="00720213"/>
    <w:rsid w:val="007202DF"/>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24A9"/>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28F"/>
    <w:rsid w:val="0075175D"/>
    <w:rsid w:val="00752717"/>
    <w:rsid w:val="00752A90"/>
    <w:rsid w:val="00752F4E"/>
    <w:rsid w:val="0075321B"/>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0A9"/>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3F5"/>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31"/>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8CB"/>
    <w:rsid w:val="007B4124"/>
    <w:rsid w:val="007B4A5E"/>
    <w:rsid w:val="007B53A6"/>
    <w:rsid w:val="007B6C76"/>
    <w:rsid w:val="007B6DB6"/>
    <w:rsid w:val="007B742E"/>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063"/>
    <w:rsid w:val="007E3704"/>
    <w:rsid w:val="007E4062"/>
    <w:rsid w:val="007E4656"/>
    <w:rsid w:val="007E465F"/>
    <w:rsid w:val="007E54CB"/>
    <w:rsid w:val="007E5863"/>
    <w:rsid w:val="007E5BB1"/>
    <w:rsid w:val="007E6156"/>
    <w:rsid w:val="007E61D7"/>
    <w:rsid w:val="007E670B"/>
    <w:rsid w:val="007E755D"/>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5C80"/>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076"/>
    <w:rsid w:val="008452FD"/>
    <w:rsid w:val="00846AE6"/>
    <w:rsid w:val="00846B68"/>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165D"/>
    <w:rsid w:val="008620E7"/>
    <w:rsid w:val="008627F9"/>
    <w:rsid w:val="00862C9D"/>
    <w:rsid w:val="008632B9"/>
    <w:rsid w:val="0086362F"/>
    <w:rsid w:val="00864D11"/>
    <w:rsid w:val="0086651B"/>
    <w:rsid w:val="008669CE"/>
    <w:rsid w:val="00866F53"/>
    <w:rsid w:val="008670B4"/>
    <w:rsid w:val="0086724A"/>
    <w:rsid w:val="0086731A"/>
    <w:rsid w:val="00867BDE"/>
    <w:rsid w:val="00870172"/>
    <w:rsid w:val="008702AB"/>
    <w:rsid w:val="00870460"/>
    <w:rsid w:val="008706DF"/>
    <w:rsid w:val="00870932"/>
    <w:rsid w:val="00870E7D"/>
    <w:rsid w:val="008714D5"/>
    <w:rsid w:val="00871A5F"/>
    <w:rsid w:val="00872B2D"/>
    <w:rsid w:val="00872B91"/>
    <w:rsid w:val="00873020"/>
    <w:rsid w:val="0087394B"/>
    <w:rsid w:val="00873B37"/>
    <w:rsid w:val="008741C0"/>
    <w:rsid w:val="008743F3"/>
    <w:rsid w:val="0087444A"/>
    <w:rsid w:val="00874907"/>
    <w:rsid w:val="00874A4F"/>
    <w:rsid w:val="00874C43"/>
    <w:rsid w:val="00875139"/>
    <w:rsid w:val="008752B9"/>
    <w:rsid w:val="00875410"/>
    <w:rsid w:val="008756A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5C4D"/>
    <w:rsid w:val="008868B1"/>
    <w:rsid w:val="008872E0"/>
    <w:rsid w:val="00887AFB"/>
    <w:rsid w:val="00887C46"/>
    <w:rsid w:val="008908D5"/>
    <w:rsid w:val="00890CEA"/>
    <w:rsid w:val="008914ED"/>
    <w:rsid w:val="008919D6"/>
    <w:rsid w:val="008926FE"/>
    <w:rsid w:val="0089365F"/>
    <w:rsid w:val="00894FF0"/>
    <w:rsid w:val="0089558A"/>
    <w:rsid w:val="00896884"/>
    <w:rsid w:val="00896937"/>
    <w:rsid w:val="00896CB5"/>
    <w:rsid w:val="008976FE"/>
    <w:rsid w:val="00897C5A"/>
    <w:rsid w:val="008A1DD7"/>
    <w:rsid w:val="008A338F"/>
    <w:rsid w:val="008A36E4"/>
    <w:rsid w:val="008A4146"/>
    <w:rsid w:val="008A416F"/>
    <w:rsid w:val="008A4614"/>
    <w:rsid w:val="008A5008"/>
    <w:rsid w:val="008A5258"/>
    <w:rsid w:val="008A593F"/>
    <w:rsid w:val="008A66DC"/>
    <w:rsid w:val="008A7340"/>
    <w:rsid w:val="008B016F"/>
    <w:rsid w:val="008B0564"/>
    <w:rsid w:val="008B0916"/>
    <w:rsid w:val="008B171F"/>
    <w:rsid w:val="008B275C"/>
    <w:rsid w:val="008B2E79"/>
    <w:rsid w:val="008B388F"/>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C9E"/>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397"/>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702"/>
    <w:rsid w:val="00915849"/>
    <w:rsid w:val="009159A4"/>
    <w:rsid w:val="00915B81"/>
    <w:rsid w:val="00916DD1"/>
    <w:rsid w:val="009175DF"/>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5B35"/>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2ADD"/>
    <w:rsid w:val="00983AFA"/>
    <w:rsid w:val="009841A0"/>
    <w:rsid w:val="00984E48"/>
    <w:rsid w:val="00985CEC"/>
    <w:rsid w:val="00985EF7"/>
    <w:rsid w:val="009864B1"/>
    <w:rsid w:val="00986573"/>
    <w:rsid w:val="00986BBB"/>
    <w:rsid w:val="009873C5"/>
    <w:rsid w:val="009874E8"/>
    <w:rsid w:val="0098792D"/>
    <w:rsid w:val="00987F01"/>
    <w:rsid w:val="009901D2"/>
    <w:rsid w:val="00990D45"/>
    <w:rsid w:val="00991C38"/>
    <w:rsid w:val="0099279D"/>
    <w:rsid w:val="00992A71"/>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A0"/>
    <w:rsid w:val="009A3CE1"/>
    <w:rsid w:val="009A4ACA"/>
    <w:rsid w:val="009A5C3B"/>
    <w:rsid w:val="009A64AA"/>
    <w:rsid w:val="009A6574"/>
    <w:rsid w:val="009B0640"/>
    <w:rsid w:val="009B08B6"/>
    <w:rsid w:val="009B17E6"/>
    <w:rsid w:val="009B2051"/>
    <w:rsid w:val="009B2AE9"/>
    <w:rsid w:val="009B3BB5"/>
    <w:rsid w:val="009B3EFF"/>
    <w:rsid w:val="009B5F01"/>
    <w:rsid w:val="009B6538"/>
    <w:rsid w:val="009B7ABB"/>
    <w:rsid w:val="009C1F5D"/>
    <w:rsid w:val="009C2C91"/>
    <w:rsid w:val="009C2DD2"/>
    <w:rsid w:val="009C3DB4"/>
    <w:rsid w:val="009C3FCB"/>
    <w:rsid w:val="009C486A"/>
    <w:rsid w:val="009C4B78"/>
    <w:rsid w:val="009C4CF1"/>
    <w:rsid w:val="009C51D5"/>
    <w:rsid w:val="009C5A46"/>
    <w:rsid w:val="009C60ED"/>
    <w:rsid w:val="009C6335"/>
    <w:rsid w:val="009C73D2"/>
    <w:rsid w:val="009D0220"/>
    <w:rsid w:val="009D122C"/>
    <w:rsid w:val="009D14D0"/>
    <w:rsid w:val="009D240A"/>
    <w:rsid w:val="009D444F"/>
    <w:rsid w:val="009D4A84"/>
    <w:rsid w:val="009D5192"/>
    <w:rsid w:val="009D698E"/>
    <w:rsid w:val="009E1C0E"/>
    <w:rsid w:val="009E1EB6"/>
    <w:rsid w:val="009E2028"/>
    <w:rsid w:val="009E229D"/>
    <w:rsid w:val="009E23C5"/>
    <w:rsid w:val="009E2C4E"/>
    <w:rsid w:val="009E2DAA"/>
    <w:rsid w:val="009E3ED2"/>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A6C"/>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0EA"/>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28FB"/>
    <w:rsid w:val="00A531E0"/>
    <w:rsid w:val="00A5359F"/>
    <w:rsid w:val="00A53947"/>
    <w:rsid w:val="00A539D1"/>
    <w:rsid w:val="00A53A07"/>
    <w:rsid w:val="00A53CB5"/>
    <w:rsid w:val="00A54415"/>
    <w:rsid w:val="00A54471"/>
    <w:rsid w:val="00A54F4E"/>
    <w:rsid w:val="00A55873"/>
    <w:rsid w:val="00A5592F"/>
    <w:rsid w:val="00A55D1A"/>
    <w:rsid w:val="00A55D30"/>
    <w:rsid w:val="00A57834"/>
    <w:rsid w:val="00A578CE"/>
    <w:rsid w:val="00A60A02"/>
    <w:rsid w:val="00A60EDB"/>
    <w:rsid w:val="00A612D1"/>
    <w:rsid w:val="00A6147B"/>
    <w:rsid w:val="00A630DE"/>
    <w:rsid w:val="00A6316D"/>
    <w:rsid w:val="00A63519"/>
    <w:rsid w:val="00A63841"/>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557A"/>
    <w:rsid w:val="00A768B5"/>
    <w:rsid w:val="00A769DE"/>
    <w:rsid w:val="00A76A0B"/>
    <w:rsid w:val="00A77B1B"/>
    <w:rsid w:val="00A8025E"/>
    <w:rsid w:val="00A81F18"/>
    <w:rsid w:val="00A821E2"/>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40C"/>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2263"/>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6ADD"/>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18AA"/>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641"/>
    <w:rsid w:val="00B204FF"/>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4D7"/>
    <w:rsid w:val="00B42793"/>
    <w:rsid w:val="00B42877"/>
    <w:rsid w:val="00B444B0"/>
    <w:rsid w:val="00B44A37"/>
    <w:rsid w:val="00B45355"/>
    <w:rsid w:val="00B46640"/>
    <w:rsid w:val="00B46916"/>
    <w:rsid w:val="00B473E3"/>
    <w:rsid w:val="00B50D62"/>
    <w:rsid w:val="00B51741"/>
    <w:rsid w:val="00B5213A"/>
    <w:rsid w:val="00B5342F"/>
    <w:rsid w:val="00B53D99"/>
    <w:rsid w:val="00B54668"/>
    <w:rsid w:val="00B54D86"/>
    <w:rsid w:val="00B54FEC"/>
    <w:rsid w:val="00B55201"/>
    <w:rsid w:val="00B55771"/>
    <w:rsid w:val="00B559CA"/>
    <w:rsid w:val="00B55CF0"/>
    <w:rsid w:val="00B55F41"/>
    <w:rsid w:val="00B56309"/>
    <w:rsid w:val="00B56A74"/>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359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B3"/>
    <w:rsid w:val="00BA4DC5"/>
    <w:rsid w:val="00BA4F15"/>
    <w:rsid w:val="00BA589D"/>
    <w:rsid w:val="00BA711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B7F2C"/>
    <w:rsid w:val="00BC0A46"/>
    <w:rsid w:val="00BC0DF0"/>
    <w:rsid w:val="00BC1BBE"/>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2E9"/>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1BB"/>
    <w:rsid w:val="00C123C3"/>
    <w:rsid w:val="00C1241F"/>
    <w:rsid w:val="00C12741"/>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244"/>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37E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92"/>
    <w:rsid w:val="00C452CD"/>
    <w:rsid w:val="00C456D7"/>
    <w:rsid w:val="00C46A35"/>
    <w:rsid w:val="00C46D6A"/>
    <w:rsid w:val="00C47466"/>
    <w:rsid w:val="00C47944"/>
    <w:rsid w:val="00C47E13"/>
    <w:rsid w:val="00C5011A"/>
    <w:rsid w:val="00C507C9"/>
    <w:rsid w:val="00C50DF6"/>
    <w:rsid w:val="00C5117A"/>
    <w:rsid w:val="00C51760"/>
    <w:rsid w:val="00C51916"/>
    <w:rsid w:val="00C51AFB"/>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074"/>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6EC"/>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7DF"/>
    <w:rsid w:val="00C95A1F"/>
    <w:rsid w:val="00C962CB"/>
    <w:rsid w:val="00C96ED5"/>
    <w:rsid w:val="00C96EE9"/>
    <w:rsid w:val="00C96F79"/>
    <w:rsid w:val="00C97A0B"/>
    <w:rsid w:val="00CA02E6"/>
    <w:rsid w:val="00CA0712"/>
    <w:rsid w:val="00CA0CE3"/>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151"/>
    <w:rsid w:val="00CC32BE"/>
    <w:rsid w:val="00CC3315"/>
    <w:rsid w:val="00CC3D74"/>
    <w:rsid w:val="00CC3E3B"/>
    <w:rsid w:val="00CC3F68"/>
    <w:rsid w:val="00CC4912"/>
    <w:rsid w:val="00CC4B64"/>
    <w:rsid w:val="00CC4D38"/>
    <w:rsid w:val="00CC51E4"/>
    <w:rsid w:val="00CC5993"/>
    <w:rsid w:val="00CC6167"/>
    <w:rsid w:val="00CC624A"/>
    <w:rsid w:val="00CC6E7A"/>
    <w:rsid w:val="00CD003E"/>
    <w:rsid w:val="00CD005E"/>
    <w:rsid w:val="00CD177D"/>
    <w:rsid w:val="00CD259E"/>
    <w:rsid w:val="00CD2AD8"/>
    <w:rsid w:val="00CD35E6"/>
    <w:rsid w:val="00CD376A"/>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33E3"/>
    <w:rsid w:val="00CF430B"/>
    <w:rsid w:val="00CF474F"/>
    <w:rsid w:val="00CF4BA8"/>
    <w:rsid w:val="00CF5440"/>
    <w:rsid w:val="00CF5D28"/>
    <w:rsid w:val="00CF5D72"/>
    <w:rsid w:val="00CF613D"/>
    <w:rsid w:val="00CF6AEE"/>
    <w:rsid w:val="00CF6C02"/>
    <w:rsid w:val="00CF75E7"/>
    <w:rsid w:val="00D00042"/>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1DD"/>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48F"/>
    <w:rsid w:val="00D57122"/>
    <w:rsid w:val="00D574BF"/>
    <w:rsid w:val="00D5790C"/>
    <w:rsid w:val="00D60BA3"/>
    <w:rsid w:val="00D6196C"/>
    <w:rsid w:val="00D61E61"/>
    <w:rsid w:val="00D62439"/>
    <w:rsid w:val="00D62D0A"/>
    <w:rsid w:val="00D63597"/>
    <w:rsid w:val="00D6443E"/>
    <w:rsid w:val="00D64472"/>
    <w:rsid w:val="00D65252"/>
    <w:rsid w:val="00D653DA"/>
    <w:rsid w:val="00D655F5"/>
    <w:rsid w:val="00D66089"/>
    <w:rsid w:val="00D70107"/>
    <w:rsid w:val="00D701D6"/>
    <w:rsid w:val="00D70B9C"/>
    <w:rsid w:val="00D7181F"/>
    <w:rsid w:val="00D71FCC"/>
    <w:rsid w:val="00D72111"/>
    <w:rsid w:val="00D72D63"/>
    <w:rsid w:val="00D7334A"/>
    <w:rsid w:val="00D74499"/>
    <w:rsid w:val="00D745B1"/>
    <w:rsid w:val="00D74C1B"/>
    <w:rsid w:val="00D75B47"/>
    <w:rsid w:val="00D76220"/>
    <w:rsid w:val="00D764D3"/>
    <w:rsid w:val="00D774F7"/>
    <w:rsid w:val="00D77B7B"/>
    <w:rsid w:val="00D77F62"/>
    <w:rsid w:val="00D80274"/>
    <w:rsid w:val="00D8028B"/>
    <w:rsid w:val="00D81603"/>
    <w:rsid w:val="00D819D5"/>
    <w:rsid w:val="00D819F7"/>
    <w:rsid w:val="00D81A8C"/>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0EFB"/>
    <w:rsid w:val="00DA1378"/>
    <w:rsid w:val="00DA1F25"/>
    <w:rsid w:val="00DA2642"/>
    <w:rsid w:val="00DA3695"/>
    <w:rsid w:val="00DA44F0"/>
    <w:rsid w:val="00DA4D0A"/>
    <w:rsid w:val="00DA5323"/>
    <w:rsid w:val="00DA6405"/>
    <w:rsid w:val="00DA6FA3"/>
    <w:rsid w:val="00DA75E5"/>
    <w:rsid w:val="00DB0363"/>
    <w:rsid w:val="00DB08C6"/>
    <w:rsid w:val="00DB1749"/>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0733"/>
    <w:rsid w:val="00DF11BA"/>
    <w:rsid w:val="00DF1469"/>
    <w:rsid w:val="00DF192B"/>
    <w:rsid w:val="00DF247E"/>
    <w:rsid w:val="00DF2800"/>
    <w:rsid w:val="00DF3183"/>
    <w:rsid w:val="00DF34FE"/>
    <w:rsid w:val="00DF4D29"/>
    <w:rsid w:val="00DF4EB5"/>
    <w:rsid w:val="00DF5E4B"/>
    <w:rsid w:val="00DF5F30"/>
    <w:rsid w:val="00DF6BE6"/>
    <w:rsid w:val="00DF6CD2"/>
    <w:rsid w:val="00DF70CE"/>
    <w:rsid w:val="00DF747F"/>
    <w:rsid w:val="00DF777C"/>
    <w:rsid w:val="00DF7ED2"/>
    <w:rsid w:val="00E00AC0"/>
    <w:rsid w:val="00E02B8A"/>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12E9"/>
    <w:rsid w:val="00E21526"/>
    <w:rsid w:val="00E21B33"/>
    <w:rsid w:val="00E23E17"/>
    <w:rsid w:val="00E24656"/>
    <w:rsid w:val="00E251EC"/>
    <w:rsid w:val="00E257A7"/>
    <w:rsid w:val="00E26244"/>
    <w:rsid w:val="00E26DB9"/>
    <w:rsid w:val="00E27222"/>
    <w:rsid w:val="00E27587"/>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98C"/>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2C7C"/>
    <w:rsid w:val="00E7338E"/>
    <w:rsid w:val="00E73EAD"/>
    <w:rsid w:val="00E74212"/>
    <w:rsid w:val="00E744E6"/>
    <w:rsid w:val="00E748A8"/>
    <w:rsid w:val="00E74DCB"/>
    <w:rsid w:val="00E7679C"/>
    <w:rsid w:val="00E769F7"/>
    <w:rsid w:val="00E76A94"/>
    <w:rsid w:val="00E76DAC"/>
    <w:rsid w:val="00E7723E"/>
    <w:rsid w:val="00E779A7"/>
    <w:rsid w:val="00E77EDE"/>
    <w:rsid w:val="00E805E0"/>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2D4"/>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891"/>
    <w:rsid w:val="00EB1743"/>
    <w:rsid w:val="00EB19F9"/>
    <w:rsid w:val="00EB241D"/>
    <w:rsid w:val="00EB2D87"/>
    <w:rsid w:val="00EB2E14"/>
    <w:rsid w:val="00EB3773"/>
    <w:rsid w:val="00EB3D4B"/>
    <w:rsid w:val="00EB3F39"/>
    <w:rsid w:val="00EB584A"/>
    <w:rsid w:val="00EB5AE2"/>
    <w:rsid w:val="00EB6259"/>
    <w:rsid w:val="00EB6399"/>
    <w:rsid w:val="00EB6AC8"/>
    <w:rsid w:val="00EB728A"/>
    <w:rsid w:val="00EB763C"/>
    <w:rsid w:val="00EC02DC"/>
    <w:rsid w:val="00EC1585"/>
    <w:rsid w:val="00EC1BA5"/>
    <w:rsid w:val="00EC1E9A"/>
    <w:rsid w:val="00EC2192"/>
    <w:rsid w:val="00EC350C"/>
    <w:rsid w:val="00EC3724"/>
    <w:rsid w:val="00EC43ED"/>
    <w:rsid w:val="00EC5328"/>
    <w:rsid w:val="00EC55BB"/>
    <w:rsid w:val="00EC59B6"/>
    <w:rsid w:val="00EC5AB8"/>
    <w:rsid w:val="00EC5CDC"/>
    <w:rsid w:val="00EC5E19"/>
    <w:rsid w:val="00EC67C5"/>
    <w:rsid w:val="00EC71DA"/>
    <w:rsid w:val="00EC75AE"/>
    <w:rsid w:val="00EC7B14"/>
    <w:rsid w:val="00EC7D39"/>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D7CC2"/>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4A36"/>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29"/>
    <w:rsid w:val="00F23E98"/>
    <w:rsid w:val="00F24293"/>
    <w:rsid w:val="00F24E08"/>
    <w:rsid w:val="00F271E2"/>
    <w:rsid w:val="00F274EE"/>
    <w:rsid w:val="00F27706"/>
    <w:rsid w:val="00F27857"/>
    <w:rsid w:val="00F27AF8"/>
    <w:rsid w:val="00F27B45"/>
    <w:rsid w:val="00F27DFB"/>
    <w:rsid w:val="00F306D6"/>
    <w:rsid w:val="00F3182D"/>
    <w:rsid w:val="00F320B0"/>
    <w:rsid w:val="00F326B2"/>
    <w:rsid w:val="00F32B07"/>
    <w:rsid w:val="00F357EE"/>
    <w:rsid w:val="00F360DA"/>
    <w:rsid w:val="00F360E9"/>
    <w:rsid w:val="00F36C19"/>
    <w:rsid w:val="00F41DEF"/>
    <w:rsid w:val="00F429B6"/>
    <w:rsid w:val="00F42DFF"/>
    <w:rsid w:val="00F436DB"/>
    <w:rsid w:val="00F44F4F"/>
    <w:rsid w:val="00F45040"/>
    <w:rsid w:val="00F45117"/>
    <w:rsid w:val="00F45732"/>
    <w:rsid w:val="00F45B7D"/>
    <w:rsid w:val="00F4721B"/>
    <w:rsid w:val="00F4767F"/>
    <w:rsid w:val="00F47F85"/>
    <w:rsid w:val="00F505D7"/>
    <w:rsid w:val="00F50A14"/>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8E6"/>
    <w:rsid w:val="00F62C49"/>
    <w:rsid w:val="00F62FA4"/>
    <w:rsid w:val="00F63549"/>
    <w:rsid w:val="00F6366F"/>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E8B"/>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F9"/>
    <w:rsid w:val="00FB5081"/>
    <w:rsid w:val="00FB6001"/>
    <w:rsid w:val="00FB6659"/>
    <w:rsid w:val="00FC0687"/>
    <w:rsid w:val="00FC09AF"/>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C6D93"/>
    <w:rsid w:val="00FD0411"/>
    <w:rsid w:val="00FD06C1"/>
    <w:rsid w:val="00FD0A05"/>
    <w:rsid w:val="00FD175D"/>
    <w:rsid w:val="00FD23DF"/>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024"/>
    <w:rsid w:val="00FE6B28"/>
    <w:rsid w:val="00FE78AD"/>
    <w:rsid w:val="00FE7B8E"/>
    <w:rsid w:val="00FE7BED"/>
    <w:rsid w:val="00FE7C7C"/>
    <w:rsid w:val="00FF076B"/>
    <w:rsid w:val="00FF16F2"/>
    <w:rsid w:val="00FF201A"/>
    <w:rsid w:val="00FF2CDC"/>
    <w:rsid w:val="00FF450D"/>
    <w:rsid w:val="00FF453D"/>
    <w:rsid w:val="00FF50A6"/>
    <w:rsid w:val="00FF5B20"/>
    <w:rsid w:val="00FF5DF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8B28AE"/>
  <w15:chartTrackingRefBased/>
  <w15:docId w15:val="{28B685B0-9C2E-4BEB-9F68-6F084E577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291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229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91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D471DD"/>
    <w:rPr>
      <w:rFonts w:ascii="Calibri" w:eastAsia="Calibri" w:hAnsi="Calibri"/>
      <w:sz w:val="22"/>
      <w:szCs w:val="22"/>
      <w:lang w:val="en-GB" w:eastAsia="en-US"/>
    </w:rPr>
  </w:style>
  <w:style w:type="paragraph" w:styleId="BodyText">
    <w:name w:val="Body Text"/>
    <w:basedOn w:val="Normal"/>
    <w:link w:val="BodyTextChar"/>
    <w:rsid w:val="00896884"/>
    <w:pPr>
      <w:spacing w:after="120"/>
    </w:pPr>
  </w:style>
  <w:style w:type="character" w:customStyle="1" w:styleId="BodyTextChar">
    <w:name w:val="Body Text Char"/>
    <w:link w:val="BodyText"/>
    <w:rsid w:val="00896884"/>
    <w:rPr>
      <w:rFonts w:ascii="Calibri" w:eastAsia="Calibri" w:hAnsi="Calibri"/>
      <w:sz w:val="22"/>
      <w:szCs w:val="22"/>
      <w:lang w:val="en-GB" w:eastAsia="en-US"/>
    </w:rPr>
  </w:style>
  <w:style w:type="paragraph" w:styleId="NormalWeb">
    <w:name w:val="Normal (Web)"/>
    <w:basedOn w:val="Normal"/>
    <w:rsid w:val="00F628E6"/>
    <w:rPr>
      <w:rFonts w:ascii="Times New Roman" w:hAnsi="Times New Roman" w:cs="Times New Roman"/>
      <w:sz w:val="24"/>
      <w:szCs w:val="24"/>
    </w:rPr>
  </w:style>
  <w:style w:type="paragraph" w:customStyle="1" w:styleId="bullet">
    <w:name w:val="bullet"/>
    <w:basedOn w:val="ListParagraph"/>
    <w:link w:val="bulletChar"/>
    <w:qFormat/>
    <w:rsid w:val="006970D3"/>
    <w:pPr>
      <w:numPr>
        <w:numId w:val="3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rsid w:val="006970D3"/>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5614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0782621">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2392002">
      <w:bodyDiv w:val="1"/>
      <w:marLeft w:val="0"/>
      <w:marRight w:val="0"/>
      <w:marTop w:val="0"/>
      <w:marBottom w:val="0"/>
      <w:divBdr>
        <w:top w:val="none" w:sz="0" w:space="0" w:color="auto"/>
        <w:left w:val="none" w:sz="0" w:space="0" w:color="auto"/>
        <w:bottom w:val="none" w:sz="0" w:space="0" w:color="auto"/>
        <w:right w:val="none" w:sz="0" w:space="0" w:color="auto"/>
      </w:divBdr>
      <w:divsChild>
        <w:div w:id="104080950">
          <w:marLeft w:val="1800"/>
          <w:marRight w:val="0"/>
          <w:marTop w:val="0"/>
          <w:marBottom w:val="0"/>
          <w:divBdr>
            <w:top w:val="none" w:sz="0" w:space="0" w:color="auto"/>
            <w:left w:val="none" w:sz="0" w:space="0" w:color="auto"/>
            <w:bottom w:val="none" w:sz="0" w:space="0" w:color="auto"/>
            <w:right w:val="none" w:sz="0" w:space="0" w:color="auto"/>
          </w:divBdr>
        </w:div>
        <w:div w:id="193080077">
          <w:marLeft w:val="1800"/>
          <w:marRight w:val="0"/>
          <w:marTop w:val="0"/>
          <w:marBottom w:val="0"/>
          <w:divBdr>
            <w:top w:val="none" w:sz="0" w:space="0" w:color="auto"/>
            <w:left w:val="none" w:sz="0" w:space="0" w:color="auto"/>
            <w:bottom w:val="none" w:sz="0" w:space="0" w:color="auto"/>
            <w:right w:val="none" w:sz="0" w:space="0" w:color="auto"/>
          </w:divBdr>
        </w:div>
        <w:div w:id="280766158">
          <w:marLeft w:val="1166"/>
          <w:marRight w:val="0"/>
          <w:marTop w:val="0"/>
          <w:marBottom w:val="0"/>
          <w:divBdr>
            <w:top w:val="none" w:sz="0" w:space="0" w:color="auto"/>
            <w:left w:val="none" w:sz="0" w:space="0" w:color="auto"/>
            <w:bottom w:val="none" w:sz="0" w:space="0" w:color="auto"/>
            <w:right w:val="none" w:sz="0" w:space="0" w:color="auto"/>
          </w:divBdr>
        </w:div>
        <w:div w:id="392436665">
          <w:marLeft w:val="1800"/>
          <w:marRight w:val="0"/>
          <w:marTop w:val="0"/>
          <w:marBottom w:val="0"/>
          <w:divBdr>
            <w:top w:val="none" w:sz="0" w:space="0" w:color="auto"/>
            <w:left w:val="none" w:sz="0" w:space="0" w:color="auto"/>
            <w:bottom w:val="none" w:sz="0" w:space="0" w:color="auto"/>
            <w:right w:val="none" w:sz="0" w:space="0" w:color="auto"/>
          </w:divBdr>
        </w:div>
        <w:div w:id="418140950">
          <w:marLeft w:val="1166"/>
          <w:marRight w:val="0"/>
          <w:marTop w:val="0"/>
          <w:marBottom w:val="0"/>
          <w:divBdr>
            <w:top w:val="none" w:sz="0" w:space="0" w:color="auto"/>
            <w:left w:val="none" w:sz="0" w:space="0" w:color="auto"/>
            <w:bottom w:val="none" w:sz="0" w:space="0" w:color="auto"/>
            <w:right w:val="none" w:sz="0" w:space="0" w:color="auto"/>
          </w:divBdr>
        </w:div>
        <w:div w:id="532350896">
          <w:marLeft w:val="1166"/>
          <w:marRight w:val="0"/>
          <w:marTop w:val="0"/>
          <w:marBottom w:val="0"/>
          <w:divBdr>
            <w:top w:val="none" w:sz="0" w:space="0" w:color="auto"/>
            <w:left w:val="none" w:sz="0" w:space="0" w:color="auto"/>
            <w:bottom w:val="none" w:sz="0" w:space="0" w:color="auto"/>
            <w:right w:val="none" w:sz="0" w:space="0" w:color="auto"/>
          </w:divBdr>
        </w:div>
        <w:div w:id="1517619245">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3526755">
      <w:bodyDiv w:val="1"/>
      <w:marLeft w:val="0"/>
      <w:marRight w:val="0"/>
      <w:marTop w:val="0"/>
      <w:marBottom w:val="0"/>
      <w:divBdr>
        <w:top w:val="none" w:sz="0" w:space="0" w:color="auto"/>
        <w:left w:val="none" w:sz="0" w:space="0" w:color="auto"/>
        <w:bottom w:val="none" w:sz="0" w:space="0" w:color="auto"/>
        <w:right w:val="none" w:sz="0" w:space="0" w:color="auto"/>
      </w:divBdr>
      <w:divsChild>
        <w:div w:id="498886486">
          <w:marLeft w:val="1800"/>
          <w:marRight w:val="0"/>
          <w:marTop w:val="0"/>
          <w:marBottom w:val="0"/>
          <w:divBdr>
            <w:top w:val="none" w:sz="0" w:space="0" w:color="auto"/>
            <w:left w:val="none" w:sz="0" w:space="0" w:color="auto"/>
            <w:bottom w:val="none" w:sz="0" w:space="0" w:color="auto"/>
            <w:right w:val="none" w:sz="0" w:space="0" w:color="auto"/>
          </w:divBdr>
        </w:div>
        <w:div w:id="573508846">
          <w:marLeft w:val="1166"/>
          <w:marRight w:val="0"/>
          <w:marTop w:val="0"/>
          <w:marBottom w:val="0"/>
          <w:divBdr>
            <w:top w:val="none" w:sz="0" w:space="0" w:color="auto"/>
            <w:left w:val="none" w:sz="0" w:space="0" w:color="auto"/>
            <w:bottom w:val="none" w:sz="0" w:space="0" w:color="auto"/>
            <w:right w:val="none" w:sz="0" w:space="0" w:color="auto"/>
          </w:divBdr>
        </w:div>
        <w:div w:id="1060979910">
          <w:marLeft w:val="1800"/>
          <w:marRight w:val="0"/>
          <w:marTop w:val="0"/>
          <w:marBottom w:val="0"/>
          <w:divBdr>
            <w:top w:val="none" w:sz="0" w:space="0" w:color="auto"/>
            <w:left w:val="none" w:sz="0" w:space="0" w:color="auto"/>
            <w:bottom w:val="none" w:sz="0" w:space="0" w:color="auto"/>
            <w:right w:val="none" w:sz="0" w:space="0" w:color="auto"/>
          </w:divBdr>
        </w:div>
        <w:div w:id="1184826403">
          <w:marLeft w:val="1800"/>
          <w:marRight w:val="0"/>
          <w:marTop w:val="0"/>
          <w:marBottom w:val="0"/>
          <w:divBdr>
            <w:top w:val="none" w:sz="0" w:space="0" w:color="auto"/>
            <w:left w:val="none" w:sz="0" w:space="0" w:color="auto"/>
            <w:bottom w:val="none" w:sz="0" w:space="0" w:color="auto"/>
            <w:right w:val="none" w:sz="0" w:space="0" w:color="auto"/>
          </w:divBdr>
        </w:div>
        <w:div w:id="1230654086">
          <w:marLeft w:val="1166"/>
          <w:marRight w:val="0"/>
          <w:marTop w:val="0"/>
          <w:marBottom w:val="0"/>
          <w:divBdr>
            <w:top w:val="none" w:sz="0" w:space="0" w:color="auto"/>
            <w:left w:val="none" w:sz="0" w:space="0" w:color="auto"/>
            <w:bottom w:val="none" w:sz="0" w:space="0" w:color="auto"/>
            <w:right w:val="none" w:sz="0" w:space="0" w:color="auto"/>
          </w:divBdr>
        </w:div>
        <w:div w:id="1437410982">
          <w:marLeft w:val="1166"/>
          <w:marRight w:val="0"/>
          <w:marTop w:val="0"/>
          <w:marBottom w:val="0"/>
          <w:divBdr>
            <w:top w:val="none" w:sz="0" w:space="0" w:color="auto"/>
            <w:left w:val="none" w:sz="0" w:space="0" w:color="auto"/>
            <w:bottom w:val="none" w:sz="0" w:space="0" w:color="auto"/>
            <w:right w:val="none" w:sz="0" w:space="0" w:color="auto"/>
          </w:divBdr>
        </w:div>
        <w:div w:id="1581140468">
          <w:marLeft w:val="1166"/>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94729">
      <w:bodyDiv w:val="1"/>
      <w:marLeft w:val="0"/>
      <w:marRight w:val="0"/>
      <w:marTop w:val="0"/>
      <w:marBottom w:val="0"/>
      <w:divBdr>
        <w:top w:val="none" w:sz="0" w:space="0" w:color="auto"/>
        <w:left w:val="none" w:sz="0" w:space="0" w:color="auto"/>
        <w:bottom w:val="none" w:sz="0" w:space="0" w:color="auto"/>
        <w:right w:val="none" w:sz="0" w:space="0" w:color="auto"/>
      </w:divBdr>
      <w:divsChild>
        <w:div w:id="309484722">
          <w:marLeft w:val="547"/>
          <w:marRight w:val="0"/>
          <w:marTop w:val="0"/>
          <w:marBottom w:val="0"/>
          <w:divBdr>
            <w:top w:val="none" w:sz="0" w:space="0" w:color="auto"/>
            <w:left w:val="none" w:sz="0" w:space="0" w:color="auto"/>
            <w:bottom w:val="none" w:sz="0" w:space="0" w:color="auto"/>
            <w:right w:val="none" w:sz="0" w:space="0" w:color="auto"/>
          </w:divBdr>
        </w:div>
        <w:div w:id="1905869076">
          <w:marLeft w:val="1166"/>
          <w:marRight w:val="0"/>
          <w:marTop w:val="0"/>
          <w:marBottom w:val="0"/>
          <w:divBdr>
            <w:top w:val="none" w:sz="0" w:space="0" w:color="auto"/>
            <w:left w:val="none" w:sz="0" w:space="0" w:color="auto"/>
            <w:bottom w:val="none" w:sz="0" w:space="0" w:color="auto"/>
            <w:right w:val="none" w:sz="0" w:space="0" w:color="auto"/>
          </w:divBdr>
        </w:div>
        <w:div w:id="1275555784">
          <w:marLeft w:val="1800"/>
          <w:marRight w:val="0"/>
          <w:marTop w:val="0"/>
          <w:marBottom w:val="0"/>
          <w:divBdr>
            <w:top w:val="none" w:sz="0" w:space="0" w:color="auto"/>
            <w:left w:val="none" w:sz="0" w:space="0" w:color="auto"/>
            <w:bottom w:val="none" w:sz="0" w:space="0" w:color="auto"/>
            <w:right w:val="none" w:sz="0" w:space="0" w:color="auto"/>
          </w:divBdr>
        </w:div>
        <w:div w:id="1286741508">
          <w:marLeft w:val="1800"/>
          <w:marRight w:val="0"/>
          <w:marTop w:val="0"/>
          <w:marBottom w:val="0"/>
          <w:divBdr>
            <w:top w:val="none" w:sz="0" w:space="0" w:color="auto"/>
            <w:left w:val="none" w:sz="0" w:space="0" w:color="auto"/>
            <w:bottom w:val="none" w:sz="0" w:space="0" w:color="auto"/>
            <w:right w:val="none" w:sz="0" w:space="0" w:color="auto"/>
          </w:divBdr>
        </w:div>
        <w:div w:id="1225868498">
          <w:marLeft w:val="1166"/>
          <w:marRight w:val="0"/>
          <w:marTop w:val="0"/>
          <w:marBottom w:val="0"/>
          <w:divBdr>
            <w:top w:val="none" w:sz="0" w:space="0" w:color="auto"/>
            <w:left w:val="none" w:sz="0" w:space="0" w:color="auto"/>
            <w:bottom w:val="none" w:sz="0" w:space="0" w:color="auto"/>
            <w:right w:val="none" w:sz="0" w:space="0" w:color="auto"/>
          </w:divBdr>
        </w:div>
        <w:div w:id="1907180366">
          <w:marLeft w:val="547"/>
          <w:marRight w:val="0"/>
          <w:marTop w:val="0"/>
          <w:marBottom w:val="0"/>
          <w:divBdr>
            <w:top w:val="none" w:sz="0" w:space="0" w:color="auto"/>
            <w:left w:val="none" w:sz="0" w:space="0" w:color="auto"/>
            <w:bottom w:val="none" w:sz="0" w:space="0" w:color="auto"/>
            <w:right w:val="none" w:sz="0" w:space="0" w:color="auto"/>
          </w:divBdr>
        </w:div>
        <w:div w:id="209151556">
          <w:marLeft w:val="1166"/>
          <w:marRight w:val="0"/>
          <w:marTop w:val="0"/>
          <w:marBottom w:val="0"/>
          <w:divBdr>
            <w:top w:val="none" w:sz="0" w:space="0" w:color="auto"/>
            <w:left w:val="none" w:sz="0" w:space="0" w:color="auto"/>
            <w:bottom w:val="none" w:sz="0" w:space="0" w:color="auto"/>
            <w:right w:val="none" w:sz="0" w:space="0" w:color="auto"/>
          </w:divBdr>
        </w:div>
        <w:div w:id="1702393418">
          <w:marLeft w:val="1800"/>
          <w:marRight w:val="0"/>
          <w:marTop w:val="0"/>
          <w:marBottom w:val="0"/>
          <w:divBdr>
            <w:top w:val="none" w:sz="0" w:space="0" w:color="auto"/>
            <w:left w:val="none" w:sz="0" w:space="0" w:color="auto"/>
            <w:bottom w:val="none" w:sz="0" w:space="0" w:color="auto"/>
            <w:right w:val="none" w:sz="0" w:space="0" w:color="auto"/>
          </w:divBdr>
        </w:div>
      </w:divsChild>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362474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9138584">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5AIRPNAIUNRU-1830940522-2289</_dlc_DocId>
    <_dlc_DocIdUrl xmlns="71c5aaf6-e6ce-465b-b873-5148d2a4c105">
      <Url>https://nokia.sharepoint.com/sites/c5g/5gradio/_layouts/15/DocIdRedir.aspx?ID=5AIRPNAIUNRU-1830940522-2289</Url>
      <Description>5AIRPNAIUNRU-1830940522-2289</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1772E72-E2BD-4DB0-831C-AE4637E2CD5A}">
  <ds:schemaRefs>
    <ds:schemaRef ds:uri="http://schemas.microsoft.com/sharepoint/v3/contenttype/forms"/>
  </ds:schemaRefs>
</ds:datastoreItem>
</file>

<file path=customXml/itemProps2.xml><?xml version="1.0" encoding="utf-8"?>
<ds:datastoreItem xmlns:ds="http://schemas.openxmlformats.org/officeDocument/2006/customXml" ds:itemID="{CA74266C-9688-4326-91C9-941497473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3D91A-346A-476C-9F6B-E0823F64526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4892D93-1362-487B-A34D-DD901CCD5CC6}">
  <ds:schemaRefs>
    <ds:schemaRef ds:uri="http://schemas.microsoft.com/office/2006/metadata/longProperties"/>
  </ds:schemaRefs>
</ds:datastoreItem>
</file>

<file path=customXml/itemProps5.xml><?xml version="1.0" encoding="utf-8"?>
<ds:datastoreItem xmlns:ds="http://schemas.openxmlformats.org/officeDocument/2006/customXml" ds:itemID="{4DA10648-3A8E-41DD-94A7-2160DCA8C7D9}">
  <ds:schemaRefs>
    <ds:schemaRef ds:uri="http://schemas.microsoft.com/sharepoint/events"/>
  </ds:schemaRefs>
</ds:datastoreItem>
</file>

<file path=customXml/itemProps6.xml><?xml version="1.0" encoding="utf-8"?>
<ds:datastoreItem xmlns:ds="http://schemas.openxmlformats.org/officeDocument/2006/customXml" ds:itemID="{6D889EED-EF1D-475A-BC9B-B66415847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Schober, Karol (Nokia - FI/Espoo)</cp:lastModifiedBy>
  <cp:revision>3</cp:revision>
  <dcterms:created xsi:type="dcterms:W3CDTF">2017-11-17T18:38:00Z</dcterms:created>
  <dcterms:modified xsi:type="dcterms:W3CDTF">2017-11-17T18:39:00Z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5AIRPNAIUNRU-1830940522-1830</vt:lpwstr>
  </property>
  <property fmtid="{D5CDD505-2E9C-101B-9397-08002B2CF9AE}" pid="7" name="_dlc_DocIdItemGuid">
    <vt:lpwstr>26519959-8694-40a6-8c83-bf428ddd321e</vt:lpwstr>
  </property>
  <property fmtid="{D5CDD505-2E9C-101B-9397-08002B2CF9AE}" pid="8" name="_dlc_DocIdUrl">
    <vt:lpwstr>https://nokia.sharepoint.com/sites/c5g/5gradio/_layouts/15/DocIdRedir.aspx?ID=5AIRPNAIUNRU-1830940522-1830, 5AIRPNAIUNRU-1830940522-1830</vt:lpwstr>
  </property>
  <property fmtid="{D5CDD505-2E9C-101B-9397-08002B2CF9AE}" pid="9" name="ContentTypeId">
    <vt:lpwstr>0x010100F72F5225BF40E546BD513D0BB4BDDD33</vt:lpwstr>
  </property>
</Properties>
</file>