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41D37B3E" w:rsidR="00EA6C38" w:rsidRPr="00B52F26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B52F26">
        <w:rPr>
          <w:b/>
          <w:sz w:val="24"/>
          <w:szCs w:val="24"/>
        </w:rPr>
        <w:t xml:space="preserve">3GPP TSG </w:t>
      </w:r>
      <w:r w:rsidR="004B6B76" w:rsidRPr="00B52F26">
        <w:rPr>
          <w:rFonts w:hint="eastAsia"/>
          <w:b/>
          <w:sz w:val="24"/>
          <w:szCs w:val="24"/>
          <w:lang w:eastAsia="ko-KR"/>
        </w:rPr>
        <w:t>RAN WG1#</w:t>
      </w:r>
      <w:r w:rsidR="002547E4" w:rsidRPr="00B52F26">
        <w:rPr>
          <w:b/>
          <w:sz w:val="24"/>
          <w:szCs w:val="24"/>
          <w:lang w:eastAsia="ko-KR"/>
        </w:rPr>
        <w:t>90</w:t>
      </w:r>
      <w:r w:rsidR="00755E44" w:rsidRPr="00B52F26">
        <w:rPr>
          <w:b/>
          <w:sz w:val="24"/>
          <w:szCs w:val="24"/>
          <w:lang w:eastAsia="ko-KR"/>
        </w:rPr>
        <w:t>bis</w:t>
      </w:r>
      <w:r w:rsidRPr="00B52F26">
        <w:rPr>
          <w:rFonts w:hint="eastAsia"/>
          <w:b/>
          <w:sz w:val="24"/>
          <w:szCs w:val="24"/>
          <w:lang w:eastAsia="ko-KR"/>
        </w:rPr>
        <w:tab/>
      </w:r>
      <w:r w:rsidRPr="00B52F26">
        <w:rPr>
          <w:rFonts w:hint="eastAsia"/>
          <w:b/>
          <w:i/>
          <w:sz w:val="24"/>
          <w:szCs w:val="24"/>
          <w:lang w:eastAsia="ko-KR"/>
        </w:rPr>
        <w:t>R1-</w:t>
      </w:r>
      <w:r w:rsidR="008E25C1" w:rsidRPr="00B52F26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25C1" w:rsidRPr="00B52F26">
        <w:rPr>
          <w:b/>
          <w:i/>
          <w:noProof/>
          <w:sz w:val="24"/>
          <w:szCs w:val="24"/>
          <w:lang w:eastAsia="ko-KR"/>
        </w:rPr>
        <w:t>7</w:t>
      </w:r>
      <w:r w:rsidR="00684F10">
        <w:rPr>
          <w:b/>
          <w:i/>
          <w:noProof/>
          <w:sz w:val="24"/>
          <w:szCs w:val="24"/>
          <w:lang w:eastAsia="ko-KR"/>
        </w:rPr>
        <w:t>20254</w:t>
      </w:r>
    </w:p>
    <w:bookmarkEnd w:id="0"/>
    <w:bookmarkEnd w:id="1"/>
    <w:p w14:paraId="7E9A5EFF" w14:textId="145B0E05" w:rsidR="003D6F63" w:rsidRPr="00B52F26" w:rsidRDefault="00B52F26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B52F26">
        <w:rPr>
          <w:rFonts w:ascii="Arial" w:hAnsi="Arial" w:cs="Arial"/>
          <w:b/>
          <w:bCs/>
          <w:sz w:val="24"/>
          <w:szCs w:val="24"/>
        </w:rPr>
        <w:t>Reno</w:t>
      </w:r>
      <w:r w:rsidR="003D6F63" w:rsidRPr="00B52F26">
        <w:rPr>
          <w:rFonts w:ascii="Arial" w:hAnsi="Arial" w:cs="Arial"/>
          <w:b/>
          <w:bCs/>
          <w:sz w:val="24"/>
          <w:szCs w:val="24"/>
        </w:rPr>
        <w:t xml:space="preserve">, </w:t>
      </w:r>
      <w:r w:rsidRPr="00B52F26">
        <w:rPr>
          <w:rFonts w:ascii="Arial" w:hAnsi="Arial" w:cs="Arial"/>
          <w:b/>
          <w:bCs/>
          <w:sz w:val="24"/>
          <w:szCs w:val="24"/>
        </w:rPr>
        <w:t>USA</w:t>
      </w:r>
      <w:r w:rsidR="004B6B76" w:rsidRPr="00B52F26">
        <w:rPr>
          <w:rFonts w:ascii="Arial" w:hAnsi="Arial" w:cs="Arial"/>
          <w:b/>
          <w:bCs/>
          <w:sz w:val="24"/>
          <w:szCs w:val="24"/>
        </w:rPr>
        <w:t>,</w:t>
      </w:r>
      <w:r w:rsidR="00614ED4" w:rsidRPr="00B52F26">
        <w:rPr>
          <w:rFonts w:ascii="Arial" w:hAnsi="Arial" w:cs="Arial"/>
          <w:b/>
          <w:bCs/>
          <w:sz w:val="24"/>
          <w:szCs w:val="24"/>
        </w:rPr>
        <w:t xml:space="preserve"> </w:t>
      </w:r>
      <w:r w:rsidRPr="00B52F26">
        <w:rPr>
          <w:rFonts w:ascii="Arial" w:hAnsi="Arial" w:cs="Arial"/>
          <w:b/>
          <w:bCs/>
          <w:sz w:val="24"/>
          <w:szCs w:val="24"/>
        </w:rPr>
        <w:t>November 27</w:t>
      </w:r>
      <w:r w:rsidR="00755E44" w:rsidRPr="00B52F2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32B30" w:rsidRPr="00B52F26">
        <w:rPr>
          <w:rFonts w:ascii="Arial" w:hAnsi="Arial" w:cs="Arial"/>
          <w:b/>
          <w:bCs/>
          <w:sz w:val="24"/>
          <w:szCs w:val="24"/>
        </w:rPr>
        <w:t xml:space="preserve"> </w:t>
      </w:r>
      <w:r w:rsidR="002547E4" w:rsidRPr="00B52F26">
        <w:rPr>
          <w:rFonts w:ascii="Arial" w:hAnsi="Arial" w:cs="Arial"/>
          <w:b/>
          <w:bCs/>
          <w:sz w:val="24"/>
          <w:szCs w:val="24"/>
        </w:rPr>
        <w:t>–</w:t>
      </w:r>
      <w:r w:rsidR="003D6F63" w:rsidRPr="00B52F26">
        <w:rPr>
          <w:rFonts w:ascii="Arial" w:hAnsi="Arial" w:cs="Arial"/>
          <w:b/>
          <w:bCs/>
          <w:sz w:val="24"/>
          <w:szCs w:val="24"/>
        </w:rPr>
        <w:t xml:space="preserve"> </w:t>
      </w:r>
      <w:r w:rsidRPr="00B52F26">
        <w:rPr>
          <w:rFonts w:ascii="Arial" w:hAnsi="Arial" w:cs="Arial"/>
          <w:b/>
          <w:bCs/>
          <w:sz w:val="24"/>
          <w:szCs w:val="24"/>
        </w:rPr>
        <w:t>December 1</w:t>
      </w:r>
      <w:r w:rsidRPr="00B52F26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B52F26">
        <w:rPr>
          <w:rFonts w:ascii="Arial" w:hAnsi="Arial" w:cs="Arial"/>
          <w:b/>
          <w:bCs/>
          <w:sz w:val="24"/>
          <w:szCs w:val="24"/>
        </w:rPr>
        <w:t xml:space="preserve"> </w:t>
      </w:r>
      <w:r w:rsidR="007040FE" w:rsidRPr="00B52F26">
        <w:rPr>
          <w:rFonts w:ascii="Arial" w:hAnsi="Arial" w:cs="Arial"/>
          <w:b/>
          <w:bCs/>
          <w:sz w:val="24"/>
          <w:szCs w:val="24"/>
        </w:rPr>
        <w:t>2017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230BD69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755E44">
        <w:rPr>
          <w:rFonts w:ascii="Arial" w:hAnsi="Arial"/>
          <w:sz w:val="24"/>
          <w:lang w:eastAsia="ko-KR"/>
        </w:rPr>
        <w:t>6</w:t>
      </w:r>
      <w:r w:rsidR="006F4D44">
        <w:rPr>
          <w:rFonts w:ascii="Arial" w:hAnsi="Arial"/>
          <w:sz w:val="24"/>
          <w:lang w:eastAsia="ko-KR"/>
        </w:rPr>
        <w:t>.</w:t>
      </w:r>
      <w:r w:rsidR="00EE7EBA">
        <w:rPr>
          <w:rFonts w:ascii="Arial" w:hAnsi="Arial"/>
          <w:sz w:val="24"/>
          <w:lang w:eastAsia="ko-KR"/>
        </w:rPr>
        <w:t>2</w:t>
      </w:r>
      <w:r w:rsidR="006F4D44">
        <w:rPr>
          <w:rFonts w:ascii="Arial" w:hAnsi="Arial"/>
          <w:sz w:val="24"/>
          <w:lang w:eastAsia="ko-KR"/>
        </w:rPr>
        <w:t>.</w:t>
      </w:r>
      <w:r w:rsidR="00075E3F">
        <w:rPr>
          <w:rFonts w:ascii="Arial" w:hAnsi="Arial"/>
          <w:sz w:val="24"/>
          <w:lang w:eastAsia="ko-KR"/>
        </w:rPr>
        <w:t>3.3</w:t>
      </w:r>
      <w:r w:rsidR="003A0EFA">
        <w:rPr>
          <w:rFonts w:ascii="Arial" w:hAnsi="Arial"/>
          <w:sz w:val="24"/>
          <w:lang w:eastAsia="ko-KR"/>
        </w:rPr>
        <w:t>.</w:t>
      </w:r>
      <w:r w:rsidR="000D3843">
        <w:rPr>
          <w:rFonts w:ascii="Arial" w:hAnsi="Arial"/>
          <w:sz w:val="24"/>
          <w:lang w:eastAsia="ko-KR"/>
        </w:rPr>
        <w:t>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41A5BC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D3843">
        <w:rPr>
          <w:rFonts w:ascii="Arial" w:hAnsi="Arial"/>
          <w:sz w:val="24"/>
        </w:rPr>
        <w:t>Evaluation results</w:t>
      </w:r>
      <w:r w:rsidR="003A0EFA" w:rsidRPr="003A0EFA">
        <w:rPr>
          <w:rFonts w:ascii="Arial" w:hAnsi="Arial"/>
          <w:sz w:val="24"/>
        </w:rPr>
        <w:t xml:space="preserve"> </w:t>
      </w:r>
      <w:r w:rsidR="000D3843">
        <w:rPr>
          <w:rFonts w:ascii="Arial" w:hAnsi="Arial"/>
          <w:sz w:val="24"/>
        </w:rPr>
        <w:t>for</w:t>
      </w:r>
      <w:r w:rsidR="003A0EFA" w:rsidRPr="003A0EFA">
        <w:rPr>
          <w:rFonts w:ascii="Arial" w:hAnsi="Arial"/>
          <w:sz w:val="24"/>
        </w:rPr>
        <w:t xml:space="preserve"> </w:t>
      </w:r>
      <w:proofErr w:type="spellStart"/>
      <w:proofErr w:type="gramStart"/>
      <w:r w:rsidR="000D3843">
        <w:rPr>
          <w:rFonts w:ascii="Arial" w:hAnsi="Arial"/>
          <w:sz w:val="24"/>
        </w:rPr>
        <w:t>Tx</w:t>
      </w:r>
      <w:proofErr w:type="spellEnd"/>
      <w:proofErr w:type="gramEnd"/>
      <w:r w:rsidR="003A0EFA" w:rsidRPr="003A0EFA">
        <w:rPr>
          <w:rFonts w:ascii="Arial" w:hAnsi="Arial"/>
          <w:sz w:val="24"/>
        </w:rPr>
        <w:t xml:space="preserve"> diversity </w:t>
      </w:r>
      <w:r w:rsidR="000D3843">
        <w:rPr>
          <w:rFonts w:ascii="Arial" w:hAnsi="Arial"/>
          <w:sz w:val="24"/>
        </w:rPr>
        <w:t>f</w:t>
      </w:r>
      <w:r w:rsidR="003A0EFA" w:rsidRPr="003A0EFA">
        <w:rPr>
          <w:rFonts w:ascii="Arial" w:hAnsi="Arial"/>
          <w:sz w:val="24"/>
        </w:rPr>
        <w:t>or PSSCH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74A12F40" w14:textId="77777777" w:rsidR="00970230" w:rsidRDefault="00970230" w:rsidP="00970230">
      <w:pPr>
        <w:pStyle w:val="Style1"/>
      </w:pPr>
      <w:r>
        <w:rPr>
          <w:rFonts w:hint="eastAsia"/>
        </w:rPr>
        <w:t xml:space="preserve">In </w:t>
      </w:r>
      <w:r w:rsidRPr="00127B23">
        <w:t>3GPP TSG RAN Meeting #75,</w:t>
      </w:r>
      <w:r>
        <w:rPr>
          <w:rFonts w:hint="eastAsia"/>
        </w:rPr>
        <w:t xml:space="preserve"> the WI on 3GPP V2X phase 2 was endorsed with one of </w:t>
      </w:r>
      <w:r>
        <w:t>objective</w:t>
      </w:r>
      <w:r>
        <w:rPr>
          <w:rFonts w:hint="eastAsia"/>
        </w:rPr>
        <w:t xml:space="preserve">s related to RAN1as </w:t>
      </w:r>
      <w:r>
        <w:t>below [</w:t>
      </w:r>
      <w:r>
        <w:rPr>
          <w:rFonts w:hint="eastAsia"/>
        </w:rPr>
        <w:t>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0230" w:rsidRPr="002952DA" w14:paraId="0704CDB5" w14:textId="77777777" w:rsidTr="00970230">
        <w:tc>
          <w:tcPr>
            <w:tcW w:w="9629" w:type="dxa"/>
          </w:tcPr>
          <w:p w14:paraId="21AD0E28" w14:textId="29A48231" w:rsidR="00970230" w:rsidRPr="002952DA" w:rsidRDefault="00970230" w:rsidP="00970230">
            <w:pPr>
              <w:pStyle w:val="Style1"/>
              <w:ind w:firstLine="0"/>
              <w:rPr>
                <w:sz w:val="20"/>
              </w:rPr>
            </w:pPr>
            <w:r w:rsidRPr="002952DA">
              <w:rPr>
                <w:rFonts w:hint="eastAsia"/>
                <w:i/>
                <w:sz w:val="20"/>
              </w:rPr>
              <w:t>Study the</w:t>
            </w:r>
            <w:r w:rsidRPr="002952DA">
              <w:rPr>
                <w:i/>
                <w:sz w:val="20"/>
              </w:rPr>
              <w:t xml:space="preserve"> feasibility and gain of </w:t>
            </w:r>
            <w:r w:rsidRPr="002952DA">
              <w:rPr>
                <w:rFonts w:hint="eastAsia"/>
                <w:i/>
                <w:sz w:val="20"/>
              </w:rPr>
              <w:t>PC5 operation with Transmit</w:t>
            </w:r>
            <w:r w:rsidRPr="002952DA">
              <w:rPr>
                <w:i/>
                <w:sz w:val="20"/>
              </w:rPr>
              <w:t xml:space="preserve"> </w:t>
            </w:r>
            <w:r w:rsidRPr="002952DA">
              <w:rPr>
                <w:rFonts w:hint="eastAsia"/>
                <w:i/>
                <w:sz w:val="20"/>
              </w:rPr>
              <w:t>D</w:t>
            </w:r>
            <w:r w:rsidRPr="002952DA">
              <w:rPr>
                <w:i/>
                <w:sz w:val="20"/>
              </w:rPr>
              <w:t>iversity</w:t>
            </w:r>
            <w:r w:rsidRPr="002952DA">
              <w:rPr>
                <w:rFonts w:hint="eastAsia"/>
                <w:i/>
                <w:sz w:val="20"/>
              </w:rPr>
              <w:t>,</w:t>
            </w:r>
            <w:r w:rsidRPr="002952DA">
              <w:rPr>
                <w:i/>
                <w:sz w:val="20"/>
              </w:rPr>
              <w:t xml:space="preserve"> assuming </w:t>
            </w:r>
            <w:r w:rsidRPr="002952DA">
              <w:rPr>
                <w:rFonts w:hint="eastAsia"/>
                <w:i/>
                <w:sz w:val="20"/>
              </w:rPr>
              <w:t xml:space="preserve">this </w:t>
            </w:r>
            <w:r w:rsidRPr="002952DA">
              <w:rPr>
                <w:i/>
                <w:sz w:val="20"/>
              </w:rPr>
              <w:t>PC5 functionalit</w:t>
            </w:r>
            <w:r w:rsidRPr="002952DA">
              <w:rPr>
                <w:rFonts w:hint="eastAsia"/>
                <w:i/>
                <w:sz w:val="20"/>
              </w:rPr>
              <w:t>y</w:t>
            </w:r>
            <w:r w:rsidRPr="002952DA">
              <w:rPr>
                <w:i/>
                <w:sz w:val="20"/>
              </w:rPr>
              <w:t xml:space="preserve"> would co-exist in the same resource pools as Rel-14 functionality</w:t>
            </w:r>
            <w:r w:rsidRPr="002952DA">
              <w:rPr>
                <w:rFonts w:hint="eastAsia"/>
                <w:i/>
                <w:sz w:val="20"/>
              </w:rPr>
              <w:t xml:space="preserve"> and </w:t>
            </w:r>
            <w:r w:rsidRPr="002952DA">
              <w:rPr>
                <w:i/>
                <w:sz w:val="20"/>
              </w:rPr>
              <w:t>us</w:t>
            </w:r>
            <w:r w:rsidRPr="002952DA">
              <w:rPr>
                <w:rFonts w:hint="eastAsia"/>
                <w:i/>
                <w:sz w:val="20"/>
              </w:rPr>
              <w:t>e</w:t>
            </w:r>
            <w:r w:rsidRPr="002952DA">
              <w:rPr>
                <w:i/>
                <w:sz w:val="20"/>
              </w:rPr>
              <w:t xml:space="preserve"> the same scheduling assignment format</w:t>
            </w:r>
            <w:r w:rsidRPr="002952DA">
              <w:rPr>
                <w:rFonts w:hint="eastAsia"/>
                <w:i/>
                <w:sz w:val="20"/>
              </w:rPr>
              <w:t xml:space="preserve"> (</w:t>
            </w:r>
            <w:r w:rsidRPr="002952DA">
              <w:rPr>
                <w:i/>
                <w:sz w:val="20"/>
              </w:rPr>
              <w:t>which can be decoded by Rel-14 UEs</w:t>
            </w:r>
            <w:r w:rsidRPr="002952DA">
              <w:rPr>
                <w:rFonts w:hint="eastAsia"/>
                <w:i/>
                <w:sz w:val="20"/>
              </w:rPr>
              <w:t xml:space="preserve">), </w:t>
            </w:r>
            <w:r w:rsidRPr="002952DA">
              <w:rPr>
                <w:i/>
                <w:sz w:val="20"/>
              </w:rPr>
              <w:t>without causing significant degradation to Rel-14 PC5 operation</w:t>
            </w:r>
            <w:r w:rsidRPr="002952DA">
              <w:rPr>
                <w:rFonts w:hint="eastAsia"/>
                <w:i/>
                <w:sz w:val="20"/>
              </w:rPr>
              <w:t xml:space="preserve"> compared to that of Rel-14 UEs, and specify this </w:t>
            </w:r>
            <w:r w:rsidRPr="002952DA">
              <w:rPr>
                <w:i/>
                <w:sz w:val="20"/>
              </w:rPr>
              <w:t>PC5 functionalit</w:t>
            </w:r>
            <w:r w:rsidRPr="002952DA">
              <w:rPr>
                <w:rFonts w:hint="eastAsia"/>
                <w:i/>
                <w:sz w:val="20"/>
              </w:rPr>
              <w:t>y if justified. [</w:t>
            </w:r>
            <w:r w:rsidRPr="002952DA">
              <w:rPr>
                <w:i/>
                <w:sz w:val="20"/>
              </w:rPr>
              <w:t>RAN</w:t>
            </w:r>
            <w:r w:rsidRPr="002952DA">
              <w:rPr>
                <w:rFonts w:hint="eastAsia"/>
                <w:i/>
                <w:sz w:val="20"/>
              </w:rPr>
              <w:t>1</w:t>
            </w:r>
            <w:r w:rsidRPr="002952DA">
              <w:rPr>
                <w:i/>
                <w:sz w:val="20"/>
              </w:rPr>
              <w:t>, RAN</w:t>
            </w:r>
            <w:r w:rsidRPr="002952DA">
              <w:rPr>
                <w:rFonts w:hint="eastAsia"/>
                <w:i/>
                <w:sz w:val="20"/>
              </w:rPr>
              <w:t>2</w:t>
            </w:r>
            <w:r w:rsidRPr="002952DA">
              <w:rPr>
                <w:i/>
                <w:sz w:val="20"/>
              </w:rPr>
              <w:t xml:space="preserve">, </w:t>
            </w:r>
            <w:r w:rsidRPr="002952DA">
              <w:rPr>
                <w:rFonts w:hint="eastAsia"/>
                <w:i/>
                <w:sz w:val="20"/>
              </w:rPr>
              <w:t>RAN4]</w:t>
            </w:r>
          </w:p>
        </w:tc>
      </w:tr>
    </w:tbl>
    <w:p w14:paraId="27236BDE" w14:textId="77777777" w:rsidR="00970230" w:rsidRDefault="00970230" w:rsidP="00E50AEC">
      <w:pPr>
        <w:overflowPunct w:val="0"/>
        <w:autoSpaceDE w:val="0"/>
        <w:autoSpaceDN w:val="0"/>
        <w:adjustRightInd w:val="0"/>
        <w:textAlignment w:val="baseline"/>
        <w:rPr>
          <w:bCs/>
        </w:rPr>
      </w:pPr>
    </w:p>
    <w:p w14:paraId="46234168" w14:textId="180BA1AC" w:rsidR="00E50AEC" w:rsidRPr="00357C16" w:rsidRDefault="000D3843" w:rsidP="00357C16">
      <w:pPr>
        <w:pStyle w:val="Style1"/>
      </w:pPr>
      <w:r w:rsidRPr="00357C16">
        <w:t xml:space="preserve">In </w:t>
      </w:r>
      <w:r w:rsidR="00B0447D" w:rsidRPr="00357C16">
        <w:t xml:space="preserve">3GPP TSG RAN1 meeting #88bis [2], it was agreed to </w:t>
      </w:r>
      <w:r w:rsidR="00E33B51">
        <w:t>evaluate</w:t>
      </w:r>
      <w:r w:rsidR="00B0447D" w:rsidRPr="00357C16">
        <w:t xml:space="preserve"> the transmit diversity gain for performance of V2X in both PSCCH and PSSCH.</w:t>
      </w:r>
      <w:r w:rsidR="00357C16" w:rsidRPr="00357C16">
        <w:t xml:space="preserve"> </w:t>
      </w:r>
      <w:r w:rsidR="00E50AEC" w:rsidRPr="00357C16">
        <w:t xml:space="preserve">In this contribution, we present our </w:t>
      </w:r>
      <w:r w:rsidR="00357C16">
        <w:t xml:space="preserve">evaluation results on the performance of transmit diversity </w:t>
      </w:r>
      <w:r w:rsidR="003D30AE">
        <w:t>of</w:t>
      </w:r>
      <w:r w:rsidR="00357C16">
        <w:t xml:space="preserve"> PSSCH channel of V2X.</w:t>
      </w:r>
      <w:r w:rsidR="007917C7">
        <w:t xml:space="preserve"> This contribution is </w:t>
      </w:r>
      <w:r w:rsidR="005D3F6F">
        <w:t>a resubmission</w:t>
      </w:r>
      <w:r w:rsidR="007917C7">
        <w:t xml:space="preserve"> </w:t>
      </w:r>
      <w:r w:rsidR="005D3F6F">
        <w:t>of</w:t>
      </w:r>
      <w:r w:rsidR="007917C7">
        <w:t xml:space="preserve"> </w:t>
      </w:r>
      <w:r w:rsidR="007917C7" w:rsidRPr="007917C7">
        <w:t>R1-171</w:t>
      </w:r>
      <w:r w:rsidR="005D3F6F">
        <w:t>7558</w:t>
      </w:r>
      <w:r w:rsidR="007917C7">
        <w:t>.</w:t>
      </w:r>
    </w:p>
    <w:p w14:paraId="607DA7AE" w14:textId="4C391FBD" w:rsidR="00832B30" w:rsidRPr="00526A65" w:rsidRDefault="00B20458" w:rsidP="00526A65">
      <w:pPr>
        <w:pStyle w:val="Heading1"/>
        <w:tabs>
          <w:tab w:val="num" w:pos="0"/>
        </w:tabs>
        <w:ind w:left="799" w:hanging="799"/>
      </w:pPr>
      <w:r>
        <w:t>Transmit diversity schemes for PSSCH</w:t>
      </w:r>
    </w:p>
    <w:p w14:paraId="00C30E60" w14:textId="13D115E6" w:rsidR="00AC64FD" w:rsidRDefault="006B1DD6" w:rsidP="006B1DD6">
      <w:pPr>
        <w:pStyle w:val="Style1"/>
      </w:pPr>
      <w:r>
        <w:t>Two transmit diversity schemes for PSSCH were evaluated. The first scheme is time domain pre-coder vector switching with one DMRS antenna port [3]. As shown in Figure 1, d</w:t>
      </w:r>
      <w:r w:rsidRPr="001E5384">
        <w:t xml:space="preserve">ifferent pre-coder can be applied to two different slots in one </w:t>
      </w:r>
      <w:proofErr w:type="spellStart"/>
      <w:r w:rsidRPr="001E5384">
        <w:t>subframe</w:t>
      </w:r>
      <w:proofErr w:type="spellEnd"/>
      <w:r>
        <w:t xml:space="preserve">. In the simulation, the pre-coder vectors used for two </w:t>
      </w:r>
      <w:proofErr w:type="spellStart"/>
      <w:proofErr w:type="gramStart"/>
      <w:r>
        <w:t>Tx</w:t>
      </w:r>
      <w:proofErr w:type="spellEnd"/>
      <w:proofErr w:type="gramEnd"/>
      <w:r>
        <w:t xml:space="preserve"> antenna case are 2-time oversampled DFT vectors</w:t>
      </w:r>
      <w:r w:rsidR="00AC64FD">
        <w:t>, given as follows:</w:t>
      </w:r>
    </w:p>
    <w:p w14:paraId="02DFCAD5" w14:textId="6EEDF0D4" w:rsidR="00AC64FD" w:rsidRDefault="006B1DD6" w:rsidP="00AC64FD">
      <w:pPr>
        <w:pStyle w:val="Style1"/>
        <w:jc w:val="center"/>
      </w:pP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proofErr w:type="gramStart"/>
      <w:r w:rsidRPr="003B6506">
        <w:t xml:space="preserve">, </w:t>
      </w:r>
      <w:proofErr w:type="gramEnd"/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j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 w:rsidRPr="003B6506">
        <w:t xml:space="preserve">,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j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 w:rsidRPr="003B6506">
        <w:t xml:space="preserve"> and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>
        <w:t>.</w:t>
      </w:r>
    </w:p>
    <w:p w14:paraId="609C581A" w14:textId="7C4D8F07" w:rsidR="006B1DD6" w:rsidRDefault="006B1DD6" w:rsidP="006B1DD6">
      <w:pPr>
        <w:pStyle w:val="Style1"/>
      </w:pPr>
      <w:r>
        <w:t xml:space="preserve">The pre-coder vectors used for four </w:t>
      </w:r>
      <w:proofErr w:type="spellStart"/>
      <w:proofErr w:type="gramStart"/>
      <w:r>
        <w:t>Tx</w:t>
      </w:r>
      <w:proofErr w:type="spellEnd"/>
      <w:proofErr w:type="gramEnd"/>
      <w:r>
        <w:t xml:space="preserve"> antenna case are 2-time oversampled DFT vector</w:t>
      </w:r>
      <w:r w:rsidR="00AC64FD">
        <w:t>s, given as follows:</w:t>
      </w:r>
    </w:p>
    <w:p w14:paraId="12D4A7ED" w14:textId="73E4FC45" w:rsidR="002952DA" w:rsidRDefault="00EC427A" w:rsidP="006B1DD6">
      <w:pPr>
        <w:pStyle w:val="Style1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2952DA">
        <w:t xml:space="preserve">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  <w:r w:rsidR="002952DA">
        <w:t>,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</m:e>
        </m:d>
      </m:oMath>
      <w:r w:rsidR="002952DA">
        <w:t>,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jπ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</w:p>
    <w:p w14:paraId="26557CF0" w14:textId="00FC70A9" w:rsidR="006040D6" w:rsidRPr="00D4531F" w:rsidRDefault="002952DA" w:rsidP="002952DA">
      <w:pPr>
        <w:pStyle w:val="Style1"/>
        <w:ind w:firstLine="0"/>
      </w:pPr>
      <w: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j2π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j3π</m:t>
                </m:r>
              </m:sup>
            </m:sSup>
          </m:e>
        </m:d>
      </m:oMath>
      <w:r w:rsidR="00AC64FD">
        <w:t xml:space="preserve">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  <w:r w:rsidR="00AC64FD">
        <w:t>,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j3π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</m:e>
        </m:d>
      </m:oMath>
      <w:r w:rsidR="00AC64FD">
        <w:t>,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21π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</w:p>
    <w:p w14:paraId="5B2D72E7" w14:textId="4435D795" w:rsidR="001E5384" w:rsidRPr="001E5384" w:rsidRDefault="0078780B" w:rsidP="006749E7">
      <w:pPr>
        <w:pStyle w:val="Style1"/>
      </w:pPr>
      <w:r>
        <w:t xml:space="preserve">The pre-coder vectors are switched across slots and </w:t>
      </w:r>
      <w:proofErr w:type="spellStart"/>
      <w:r>
        <w:t>subframes</w:t>
      </w:r>
      <w:proofErr w:type="spellEnd"/>
      <w:r>
        <w:t>.</w:t>
      </w:r>
      <w:r w:rsidR="00223CF7">
        <w:t xml:space="preserve"> The DMRS transmission is same to the DRMS defined in Rel-14. </w:t>
      </w:r>
      <w:r w:rsidR="00056CD1">
        <w:t>The UE is configured to use the DMRS on symbols 2 and 5 to estimate the channel for slot 0 and the DMRS on symbol 8 and 11 to estimate the channel for slot 1.</w:t>
      </w:r>
    </w:p>
    <w:p w14:paraId="28368897" w14:textId="42C5A856" w:rsidR="000E3A52" w:rsidRDefault="005301A2" w:rsidP="001E5384">
      <w:pPr>
        <w:pStyle w:val="Style1"/>
        <w:jc w:val="center"/>
      </w:pPr>
      <w:r w:rsidRPr="005301A2">
        <w:rPr>
          <w:noProof/>
          <w:lang w:val="en-US" w:eastAsia="zh-CN"/>
        </w:rPr>
        <w:lastRenderedPageBreak/>
        <w:drawing>
          <wp:inline distT="0" distB="0" distL="0" distR="0" wp14:anchorId="33D7BD5D" wp14:editId="5224F43C">
            <wp:extent cx="3657600" cy="1768220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6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D3CA5" w14:textId="1CDC6866" w:rsidR="001E5384" w:rsidRPr="001E5384" w:rsidRDefault="001E5384" w:rsidP="001E5384">
      <w:pPr>
        <w:pStyle w:val="Style1"/>
        <w:jc w:val="center"/>
        <w:rPr>
          <w:b/>
        </w:rPr>
      </w:pPr>
      <w:r w:rsidRPr="001E5384">
        <w:rPr>
          <w:b/>
        </w:rPr>
        <w:t>Figure 1</w:t>
      </w:r>
    </w:p>
    <w:p w14:paraId="0BDEF1BB" w14:textId="2D1B6103" w:rsidR="00CC56F7" w:rsidRPr="00A3786A" w:rsidRDefault="0014111B" w:rsidP="00A3786A">
      <w:pPr>
        <w:pStyle w:val="Style1"/>
      </w:pPr>
      <w:r>
        <w:t xml:space="preserve">Another scheme is SFBC with two DMRS antenna ports. The 2-port DMRS design used in the simulation is Comb structure, as shown in Figure 2. </w:t>
      </w:r>
      <w:r w:rsidR="009538F2">
        <w:t xml:space="preserve">On each DMRS symbols {2, 5, 8, 11}, the DMRS sequence defined in Rel-14 is mapped. To support two antenna ports, all the even-numbered REs </w:t>
      </w:r>
      <w:r w:rsidR="008E24ED">
        <w:t xml:space="preserve">in one PSSCH allocation </w:t>
      </w:r>
      <w:r w:rsidR="009538F2">
        <w:t xml:space="preserve">are mapped to antenna port 0 and all the odd-numbered REs </w:t>
      </w:r>
      <w:r w:rsidR="008E24ED">
        <w:t xml:space="preserve">in one PSSCH allocation </w:t>
      </w:r>
      <w:r w:rsidR="009538F2">
        <w:t>are mapped to antenna port 1.</w:t>
      </w:r>
    </w:p>
    <w:p w14:paraId="68E654F7" w14:textId="77DF53B0" w:rsidR="00572EBD" w:rsidRDefault="00572EBD" w:rsidP="00572EBD">
      <w:pPr>
        <w:pStyle w:val="Style1"/>
        <w:jc w:val="center"/>
        <w:rPr>
          <w:b/>
          <w:lang w:eastAsia="ko-KR"/>
        </w:rPr>
      </w:pPr>
      <w:r w:rsidRPr="00572EBD">
        <w:rPr>
          <w:b/>
          <w:noProof/>
          <w:lang w:val="en-US" w:eastAsia="zh-CN"/>
        </w:rPr>
        <w:drawing>
          <wp:inline distT="0" distB="0" distL="0" distR="0" wp14:anchorId="4D9A8544" wp14:editId="2F7134B6">
            <wp:extent cx="3657600" cy="1406541"/>
            <wp:effectExtent l="0" t="0" r="0" b="0"/>
            <wp:docPr id="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406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43D97" w14:textId="09450B57" w:rsidR="00572EBD" w:rsidRDefault="00572EBD" w:rsidP="00572EBD">
      <w:pPr>
        <w:pStyle w:val="Style1"/>
        <w:jc w:val="center"/>
        <w:rPr>
          <w:b/>
          <w:lang w:eastAsia="ko-KR"/>
        </w:rPr>
      </w:pPr>
      <w:r>
        <w:rPr>
          <w:b/>
          <w:lang w:eastAsia="ko-KR"/>
        </w:rPr>
        <w:t xml:space="preserve">Figure </w:t>
      </w:r>
      <w:r w:rsidR="0014111B">
        <w:rPr>
          <w:b/>
          <w:lang w:eastAsia="ko-KR"/>
        </w:rPr>
        <w:t>2</w:t>
      </w:r>
    </w:p>
    <w:p w14:paraId="243220EC" w14:textId="6F5EE47F" w:rsidR="008E24ED" w:rsidRDefault="008E24ED" w:rsidP="008E24ED">
      <w:pPr>
        <w:pStyle w:val="Heading1"/>
        <w:tabs>
          <w:tab w:val="num" w:pos="0"/>
        </w:tabs>
        <w:ind w:left="799" w:hanging="799"/>
      </w:pPr>
      <w:r>
        <w:t>Evaluation results</w:t>
      </w:r>
    </w:p>
    <w:p w14:paraId="5A84ACF7" w14:textId="7F9C0C6D" w:rsidR="005429A0" w:rsidRDefault="00001042" w:rsidP="00093A71">
      <w:pPr>
        <w:pStyle w:val="Style1"/>
      </w:pPr>
      <w:r>
        <w:t xml:space="preserve">In this section, </w:t>
      </w:r>
      <w:r w:rsidR="006749E7">
        <w:t>the evaluation results for the following transmissi</w:t>
      </w:r>
      <w:r w:rsidR="003B7ED9">
        <w:t>on schemes are illustrated. The baseline scheme is s</w:t>
      </w:r>
      <w:r w:rsidR="006749E7">
        <w:t>ingle-port transmi</w:t>
      </w:r>
      <w:r w:rsidR="003B7ED9">
        <w:t xml:space="preserve">ssion, as defined in LTE rel-14. Then other three </w:t>
      </w:r>
      <w:proofErr w:type="spellStart"/>
      <w:r w:rsidR="003B7ED9">
        <w:t>schems</w:t>
      </w:r>
      <w:proofErr w:type="spellEnd"/>
      <w:r w:rsidR="003B7ED9">
        <w:t xml:space="preserve"> are compared in the simulation, which are SFBC using two antenna ports, single port slot level PVS and transmission scheme of 2-port SFBC +</w:t>
      </w:r>
      <w:r w:rsidR="002F39B6">
        <w:t xml:space="preserve"> </w:t>
      </w:r>
      <w:r w:rsidR="005429A0">
        <w:t>slot-level PVS.</w:t>
      </w:r>
      <w:r w:rsidR="00B4315C">
        <w:t xml:space="preserve"> For more detailed discussion on those transmission scheme, please see our companion contribution [3].</w:t>
      </w:r>
      <w:r w:rsidR="00346285">
        <w:t xml:space="preserve"> </w:t>
      </w:r>
      <w:r w:rsidR="00D14738">
        <w:t xml:space="preserve">Both 2 and 4 physical </w:t>
      </w:r>
      <w:proofErr w:type="spellStart"/>
      <w:proofErr w:type="gramStart"/>
      <w:r w:rsidR="00D14738">
        <w:t>Tx</w:t>
      </w:r>
      <w:proofErr w:type="spellEnd"/>
      <w:proofErr w:type="gramEnd"/>
      <w:r w:rsidR="00D14738">
        <w:t xml:space="preserve"> antennas are simulated. In the case of 4 physical </w:t>
      </w:r>
      <w:proofErr w:type="spellStart"/>
      <w:proofErr w:type="gramStart"/>
      <w:r w:rsidR="00D14738">
        <w:t>Tx</w:t>
      </w:r>
      <w:proofErr w:type="spellEnd"/>
      <w:proofErr w:type="gramEnd"/>
      <w:r w:rsidR="00D14738">
        <w:t xml:space="preserve"> antennas, two fixed 4-by-1 beamforming vector are used at the transmitter to map two antenna ports onto those 4 physical </w:t>
      </w:r>
      <w:proofErr w:type="spellStart"/>
      <w:r w:rsidR="00D14738">
        <w:t>Tx</w:t>
      </w:r>
      <w:proofErr w:type="spellEnd"/>
      <w:r w:rsidR="00D14738">
        <w:t xml:space="preserve"> antennas.</w:t>
      </w:r>
    </w:p>
    <w:p w14:paraId="0F26D533" w14:textId="00BEC5BE" w:rsidR="009B6B2B" w:rsidRDefault="007E4685" w:rsidP="00093A71">
      <w:pPr>
        <w:pStyle w:val="Style1"/>
      </w:pPr>
      <w:r>
        <w:t xml:space="preserve">First simulation compares the </w:t>
      </w:r>
      <w:r w:rsidR="009B6B2B">
        <w:t xml:space="preserve">BLER performance </w:t>
      </w:r>
      <w:r>
        <w:t>in</w:t>
      </w:r>
      <w:r w:rsidR="009B6B2B">
        <w:t xml:space="preserve"> the scenario of </w:t>
      </w:r>
      <w:r w:rsidR="009B6B2B" w:rsidRPr="009B6B2B">
        <w:rPr>
          <w:b/>
        </w:rPr>
        <w:t>two physical transmit antennas</w:t>
      </w:r>
      <w:r>
        <w:rPr>
          <w:b/>
        </w:rPr>
        <w:t>,</w:t>
      </w:r>
      <w:r>
        <w:t xml:space="preserve"> as </w:t>
      </w:r>
      <w:r w:rsidR="009B6B2B">
        <w:t xml:space="preserve">illustrated in Figure 3. The </w:t>
      </w:r>
      <w:r>
        <w:t>performance</w:t>
      </w:r>
      <w:r w:rsidR="009B6B2B">
        <w:t xml:space="preserve"> of single-port transmission, two-port SFBC and slot level PVS are compared. Relative speed is 140*2km/h. BLER performance gain from </w:t>
      </w:r>
      <w:r w:rsidR="00C12C0C">
        <w:t xml:space="preserve">two-port </w:t>
      </w:r>
      <w:r w:rsidR="009B6B2B">
        <w:t>SFBC and slot level PVS over single-port transmission can be observed for both QPSK and 16QAM.</w:t>
      </w:r>
    </w:p>
    <w:p w14:paraId="00AA6C57" w14:textId="2A1B3468" w:rsidR="00001042" w:rsidRDefault="0018440F" w:rsidP="0018440F">
      <w:pPr>
        <w:pStyle w:val="Style1"/>
        <w:jc w:val="center"/>
      </w:pPr>
      <w:r w:rsidRPr="0018440F">
        <w:rPr>
          <w:noProof/>
          <w:lang w:val="en-US" w:eastAsia="zh-CN"/>
        </w:rPr>
        <w:lastRenderedPageBreak/>
        <w:drawing>
          <wp:inline distT="0" distB="0" distL="0" distR="0" wp14:anchorId="09FE8BDF" wp14:editId="15CFB98D">
            <wp:extent cx="2787605" cy="20116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8760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478A" w:rsidRPr="0018440F">
        <w:rPr>
          <w:b/>
          <w:noProof/>
          <w:lang w:val="en-US" w:eastAsia="zh-CN"/>
        </w:rPr>
        <w:drawing>
          <wp:inline distT="0" distB="0" distL="0" distR="0" wp14:anchorId="70B648AE" wp14:editId="11FFA56D">
            <wp:extent cx="2787610" cy="20116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761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7753E" w14:textId="29D69246" w:rsidR="0018440F" w:rsidRDefault="0018440F" w:rsidP="0018440F">
      <w:pPr>
        <w:pStyle w:val="Style1"/>
        <w:jc w:val="center"/>
        <w:rPr>
          <w:b/>
        </w:rPr>
      </w:pPr>
      <w:r w:rsidRPr="0018440F">
        <w:rPr>
          <w:b/>
        </w:rPr>
        <w:t>Figure 3</w:t>
      </w:r>
    </w:p>
    <w:p w14:paraId="7D471B41" w14:textId="77777777" w:rsidR="00EE79F1" w:rsidRDefault="00EE79F1" w:rsidP="00EE79F1">
      <w:pPr>
        <w:pStyle w:val="Style1"/>
        <w:jc w:val="left"/>
        <w:rPr>
          <w:i/>
        </w:rPr>
      </w:pPr>
      <w:r w:rsidRPr="00BE2FF4">
        <w:rPr>
          <w:b/>
          <w:i/>
        </w:rPr>
        <w:t xml:space="preserve">Observation 1: </w:t>
      </w:r>
      <w:r w:rsidRPr="00BE2FF4">
        <w:rPr>
          <w:i/>
        </w:rPr>
        <w:t xml:space="preserve">Both SFBC and </w:t>
      </w:r>
      <w:r>
        <w:rPr>
          <w:i/>
        </w:rPr>
        <w:t>slot level PVS</w:t>
      </w:r>
      <w:r w:rsidRPr="00BE2FF4">
        <w:rPr>
          <w:i/>
        </w:rPr>
        <w:t xml:space="preserve"> show performance gain over single-port transmission.</w:t>
      </w:r>
    </w:p>
    <w:p w14:paraId="2003556F" w14:textId="5D7E0451" w:rsidR="009B6B2B" w:rsidRDefault="00154283" w:rsidP="00243407">
      <w:pPr>
        <w:pStyle w:val="Style1"/>
      </w:pPr>
      <w:r>
        <w:t>Th</w:t>
      </w:r>
      <w:r w:rsidR="00243407">
        <w:t xml:space="preserve">e performance of two-port SFBC and the combination of two-port SFBC/slot level PVS are compared in the scenario of </w:t>
      </w:r>
      <w:r w:rsidR="009B6B2B">
        <w:rPr>
          <w:b/>
        </w:rPr>
        <w:t>four</w:t>
      </w:r>
      <w:r w:rsidR="009B6B2B" w:rsidRPr="009B6B2B">
        <w:rPr>
          <w:b/>
        </w:rPr>
        <w:t xml:space="preserve"> physical transmit antennas</w:t>
      </w:r>
      <w:r w:rsidR="00243407">
        <w:rPr>
          <w:b/>
        </w:rPr>
        <w:t>,</w:t>
      </w:r>
      <w:r w:rsidR="009B6B2B">
        <w:t xml:space="preserve"> </w:t>
      </w:r>
      <w:r w:rsidR="00243407">
        <w:t>as</w:t>
      </w:r>
      <w:r w:rsidR="009B6B2B">
        <w:t xml:space="preserve"> illustrate</w:t>
      </w:r>
      <w:r w:rsidR="008540CB">
        <w:t>d in Figure 4</w:t>
      </w:r>
      <w:r w:rsidR="009B6B2B">
        <w:t xml:space="preserve">. </w:t>
      </w:r>
      <w:r w:rsidR="00243407">
        <w:t>In the simulation, r</w:t>
      </w:r>
      <w:r w:rsidR="009B6B2B">
        <w:t xml:space="preserve">elative speed is 140*2km/h. BLER performance gain from </w:t>
      </w:r>
      <w:r w:rsidR="00546884">
        <w:t xml:space="preserve">the combination of </w:t>
      </w:r>
      <w:r w:rsidR="007E393B">
        <w:t>two-port SFBC/</w:t>
      </w:r>
      <w:r w:rsidR="009B6B2B">
        <w:t xml:space="preserve">slot level PVS over </w:t>
      </w:r>
      <w:r w:rsidR="007E393B">
        <w:t xml:space="preserve">two-port </w:t>
      </w:r>
      <w:r w:rsidR="00546884">
        <w:t>SFBC</w:t>
      </w:r>
      <w:r w:rsidR="009B6B2B">
        <w:t xml:space="preserve"> can be observed for both QPSK and 16QAM.</w:t>
      </w:r>
      <w:r w:rsidR="00332012">
        <w:t xml:space="preserve"> The reason is </w:t>
      </w:r>
      <w:r w:rsidR="007E393B">
        <w:t xml:space="preserve">that </w:t>
      </w:r>
      <w:r w:rsidR="00332012">
        <w:t xml:space="preserve">two-port SFBC does not fully utilize the diversity of 4 physical transmit antennas and adding additional slot level PVS can explore more </w:t>
      </w:r>
      <w:r w:rsidR="002E0051">
        <w:t xml:space="preserve">transmit </w:t>
      </w:r>
      <w:r w:rsidR="00332012">
        <w:t>diversity gain</w:t>
      </w:r>
      <w:r w:rsidR="002E0051">
        <w:t xml:space="preserve"> from larger than two transmit antennas</w:t>
      </w:r>
      <w:r w:rsidR="00332012">
        <w:t>.</w:t>
      </w:r>
    </w:p>
    <w:p w14:paraId="27B64ACB" w14:textId="63688291" w:rsidR="0018440F" w:rsidRDefault="003675C1" w:rsidP="00F44133">
      <w:pPr>
        <w:pStyle w:val="Style1"/>
        <w:rPr>
          <w:b/>
        </w:rPr>
      </w:pPr>
      <w:r w:rsidRPr="005E3DE5">
        <w:rPr>
          <w:noProof/>
          <w:lang w:val="en-US" w:eastAsia="zh-CN"/>
        </w:rPr>
        <w:drawing>
          <wp:inline distT="0" distB="0" distL="0" distR="0" wp14:anchorId="3CCE0B0C" wp14:editId="478A95C3">
            <wp:extent cx="2787465" cy="20116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8746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3DE5">
        <w:rPr>
          <w:noProof/>
          <w:lang w:val="en-US" w:eastAsia="zh-CN"/>
        </w:rPr>
        <w:drawing>
          <wp:inline distT="0" distB="0" distL="0" distR="0" wp14:anchorId="3B65DA47" wp14:editId="4D73BB52">
            <wp:extent cx="2787465" cy="20116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8746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9AC25" w14:textId="6AA926BE" w:rsidR="0018440F" w:rsidRDefault="0018440F" w:rsidP="0018440F">
      <w:pPr>
        <w:pStyle w:val="Style1"/>
        <w:jc w:val="center"/>
        <w:rPr>
          <w:b/>
        </w:rPr>
      </w:pPr>
      <w:r>
        <w:rPr>
          <w:b/>
        </w:rPr>
        <w:t>Figure 4</w:t>
      </w:r>
    </w:p>
    <w:p w14:paraId="230F9F12" w14:textId="77777777" w:rsidR="0019626D" w:rsidRDefault="0019626D" w:rsidP="0019626D">
      <w:pPr>
        <w:pStyle w:val="Style1"/>
        <w:jc w:val="left"/>
        <w:rPr>
          <w:i/>
        </w:rPr>
      </w:pPr>
      <w:r>
        <w:rPr>
          <w:b/>
          <w:i/>
        </w:rPr>
        <w:t>Observation 2</w:t>
      </w:r>
      <w:r w:rsidRPr="00BE2FF4">
        <w:rPr>
          <w:b/>
          <w:i/>
        </w:rPr>
        <w:t xml:space="preserve">: </w:t>
      </w:r>
      <w:r w:rsidRPr="002F39B6">
        <w:rPr>
          <w:i/>
        </w:rPr>
        <w:t xml:space="preserve">The transmit scheme of SFBC + slot level PVS shows performance gain over SFBC when </w:t>
      </w:r>
      <w:r>
        <w:rPr>
          <w:i/>
        </w:rPr>
        <w:t xml:space="preserve">transmitter UE has </w:t>
      </w:r>
      <w:r w:rsidRPr="002F39B6">
        <w:rPr>
          <w:i/>
        </w:rPr>
        <w:t>more than 2 transmit antennas</w:t>
      </w:r>
    </w:p>
    <w:p w14:paraId="29562C3D" w14:textId="77777777" w:rsidR="0019626D" w:rsidRDefault="0019626D" w:rsidP="0019626D">
      <w:pPr>
        <w:pStyle w:val="Style1"/>
        <w:numPr>
          <w:ilvl w:val="0"/>
          <w:numId w:val="37"/>
        </w:numPr>
        <w:jc w:val="left"/>
        <w:rPr>
          <w:i/>
        </w:rPr>
      </w:pPr>
      <w:r>
        <w:rPr>
          <w:i/>
        </w:rPr>
        <w:t>2-port SFBC can only explore degree 2 diversity gain</w:t>
      </w:r>
      <w:r w:rsidRPr="002F39B6">
        <w:rPr>
          <w:i/>
        </w:rPr>
        <w:t>.</w:t>
      </w:r>
    </w:p>
    <w:p w14:paraId="69EBEA90" w14:textId="77777777" w:rsidR="0019626D" w:rsidRPr="002F39B6" w:rsidRDefault="0019626D" w:rsidP="0019626D">
      <w:pPr>
        <w:pStyle w:val="Style1"/>
        <w:numPr>
          <w:ilvl w:val="0"/>
          <w:numId w:val="37"/>
        </w:numPr>
        <w:jc w:val="left"/>
        <w:rPr>
          <w:i/>
        </w:rPr>
      </w:pPr>
      <w:r>
        <w:rPr>
          <w:i/>
        </w:rPr>
        <w:t>Adding slot level PVS provides more diversity gain</w:t>
      </w:r>
    </w:p>
    <w:p w14:paraId="25B88AF4" w14:textId="77777777" w:rsidR="00A54FCB" w:rsidRDefault="00A54FCB" w:rsidP="00A54FCB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56EF469E" w14:textId="23BE0B61" w:rsidR="00C91FBC" w:rsidRDefault="00C91FBC" w:rsidP="00C91FBC">
      <w:pPr>
        <w:pStyle w:val="Style1"/>
      </w:pPr>
      <w:r w:rsidRPr="00C91FBC">
        <w:t xml:space="preserve">In this contribution, we presented our </w:t>
      </w:r>
      <w:r w:rsidR="003D30AE">
        <w:t>evaluation results on the performance of transmit diversity scheme for PSSCH channel in V2X and t</w:t>
      </w:r>
      <w:r w:rsidR="005D0C3F">
        <w:t xml:space="preserve">he following </w:t>
      </w:r>
      <w:r w:rsidR="003D30AE">
        <w:t>observations</w:t>
      </w:r>
      <w:r w:rsidR="005D0C3F">
        <w:t xml:space="preserve"> are made</w:t>
      </w:r>
      <w:r w:rsidRPr="00C91FBC">
        <w:t>:</w:t>
      </w:r>
    </w:p>
    <w:p w14:paraId="28081C00" w14:textId="37DBF7A2" w:rsidR="00BE2FF4" w:rsidRDefault="00BE2FF4" w:rsidP="00BE2FF4">
      <w:pPr>
        <w:pStyle w:val="Style1"/>
        <w:jc w:val="left"/>
        <w:rPr>
          <w:i/>
        </w:rPr>
      </w:pPr>
      <w:r w:rsidRPr="00BE2FF4">
        <w:rPr>
          <w:b/>
          <w:i/>
        </w:rPr>
        <w:t xml:space="preserve">Observation 1: </w:t>
      </w:r>
      <w:r w:rsidRPr="00BE2FF4">
        <w:rPr>
          <w:i/>
        </w:rPr>
        <w:t xml:space="preserve">Both SFBC and </w:t>
      </w:r>
      <w:r w:rsidR="00A863CA">
        <w:rPr>
          <w:i/>
        </w:rPr>
        <w:t>slot level PVS</w:t>
      </w:r>
      <w:r w:rsidRPr="00BE2FF4">
        <w:rPr>
          <w:i/>
        </w:rPr>
        <w:t xml:space="preserve"> show performance gain over single-port transmission.</w:t>
      </w:r>
    </w:p>
    <w:p w14:paraId="389BA8FA" w14:textId="77777777" w:rsidR="000717D2" w:rsidRDefault="002E0051" w:rsidP="002E0051">
      <w:pPr>
        <w:pStyle w:val="Style1"/>
        <w:jc w:val="left"/>
        <w:rPr>
          <w:i/>
        </w:rPr>
      </w:pPr>
      <w:r>
        <w:rPr>
          <w:b/>
          <w:i/>
        </w:rPr>
        <w:lastRenderedPageBreak/>
        <w:t>Observation 2</w:t>
      </w:r>
      <w:r w:rsidRPr="00BE2FF4">
        <w:rPr>
          <w:b/>
          <w:i/>
        </w:rPr>
        <w:t xml:space="preserve">: </w:t>
      </w:r>
      <w:r w:rsidR="002F39B6" w:rsidRPr="002F39B6">
        <w:rPr>
          <w:i/>
        </w:rPr>
        <w:t xml:space="preserve">The transmit scheme of </w:t>
      </w:r>
      <w:r w:rsidRPr="002F39B6">
        <w:rPr>
          <w:i/>
        </w:rPr>
        <w:t xml:space="preserve">SFBC </w:t>
      </w:r>
      <w:r w:rsidR="002F39B6" w:rsidRPr="002F39B6">
        <w:rPr>
          <w:i/>
        </w:rPr>
        <w:t>+</w:t>
      </w:r>
      <w:r w:rsidRPr="002F39B6">
        <w:rPr>
          <w:i/>
        </w:rPr>
        <w:t xml:space="preserve"> slot level PVS shows performance gain over SFBC when </w:t>
      </w:r>
      <w:r w:rsidR="000717D2">
        <w:rPr>
          <w:i/>
        </w:rPr>
        <w:t xml:space="preserve">transmitter UE has </w:t>
      </w:r>
      <w:r w:rsidRPr="002F39B6">
        <w:rPr>
          <w:i/>
        </w:rPr>
        <w:t>more than 2 transmit antennas</w:t>
      </w:r>
    </w:p>
    <w:p w14:paraId="1CEE8BDF" w14:textId="357FDA0A" w:rsidR="002E0051" w:rsidRDefault="0019626D" w:rsidP="0019626D">
      <w:pPr>
        <w:pStyle w:val="Style1"/>
        <w:numPr>
          <w:ilvl w:val="0"/>
          <w:numId w:val="37"/>
        </w:numPr>
        <w:jc w:val="left"/>
        <w:rPr>
          <w:i/>
        </w:rPr>
      </w:pPr>
      <w:r>
        <w:rPr>
          <w:i/>
        </w:rPr>
        <w:t>2-port SFBC can only explore degree 2 diversity gain</w:t>
      </w:r>
      <w:r w:rsidR="002E0051" w:rsidRPr="002F39B6">
        <w:rPr>
          <w:i/>
        </w:rPr>
        <w:t>.</w:t>
      </w:r>
    </w:p>
    <w:p w14:paraId="04DC76F2" w14:textId="18CBD611" w:rsidR="0019626D" w:rsidRPr="002F39B6" w:rsidRDefault="0019626D" w:rsidP="0019626D">
      <w:pPr>
        <w:pStyle w:val="Style1"/>
        <w:numPr>
          <w:ilvl w:val="0"/>
          <w:numId w:val="37"/>
        </w:numPr>
        <w:jc w:val="left"/>
        <w:rPr>
          <w:i/>
        </w:rPr>
      </w:pPr>
      <w:r>
        <w:rPr>
          <w:i/>
        </w:rPr>
        <w:t>Adding slot level PVS provides more diversity gain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AE4772F" w14:textId="64A6E666" w:rsidR="00A54FCB" w:rsidRDefault="00A54FCB" w:rsidP="00A54FCB">
      <w:pPr>
        <w:pStyle w:val="LGTdoc"/>
        <w:numPr>
          <w:ilvl w:val="0"/>
          <w:numId w:val="32"/>
        </w:numPr>
        <w:spacing w:before="120" w:afterLines="0" w:after="0" w:line="360" w:lineRule="auto"/>
        <w:rPr>
          <w:rFonts w:eastAsia="SimSun"/>
          <w:color w:val="000000"/>
          <w:kern w:val="24"/>
          <w:sz w:val="20"/>
          <w:szCs w:val="20"/>
          <w:lang w:val="en-US" w:eastAsia="zh-CN"/>
        </w:rPr>
      </w:pP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 xml:space="preserve">RP-170798, </w:t>
      </w:r>
      <w:r>
        <w:rPr>
          <w:rFonts w:eastAsia="SimSun"/>
          <w:color w:val="000000"/>
          <w:kern w:val="24"/>
          <w:sz w:val="20"/>
          <w:szCs w:val="20"/>
          <w:lang w:val="en-US" w:eastAsia="zh-CN"/>
        </w:rPr>
        <w:t>“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>New WID on 3GPP V2X Phase 2</w:t>
      </w:r>
      <w:r>
        <w:rPr>
          <w:rFonts w:eastAsia="SimSun"/>
          <w:color w:val="000000"/>
          <w:kern w:val="24"/>
          <w:sz w:val="20"/>
          <w:szCs w:val="20"/>
          <w:lang w:val="en-US" w:eastAsia="zh-CN"/>
        </w:rPr>
        <w:t>”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 xml:space="preserve">, 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>Huawei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,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 xml:space="preserve"> CATT, 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LG Electronics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 xml:space="preserve">, HiSilicon, 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China Unicom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>;</w:t>
      </w:r>
    </w:p>
    <w:p w14:paraId="4B9B1AAC" w14:textId="26EB9EE8" w:rsidR="00B0447D" w:rsidRPr="00B20458" w:rsidRDefault="00B0447D" w:rsidP="0059578E">
      <w:pPr>
        <w:pStyle w:val="2222"/>
        <w:numPr>
          <w:ilvl w:val="0"/>
          <w:numId w:val="32"/>
        </w:numPr>
        <w:spacing w:before="120" w:after="0" w:line="360" w:lineRule="auto"/>
        <w:ind w:firstLineChars="0"/>
        <w:rPr>
          <w:rFonts w:eastAsia="SimSun"/>
          <w:color w:val="000000"/>
          <w:kern w:val="24"/>
          <w:lang w:val="en-US" w:eastAsia="zh-CN"/>
        </w:rPr>
      </w:pPr>
      <w:r>
        <w:rPr>
          <w:rFonts w:cs="Times New Roman"/>
          <w:lang w:eastAsia="ko-KR"/>
        </w:rPr>
        <w:t>3GPP, RAN1#88bis, Chairman’s Notes</w:t>
      </w:r>
    </w:p>
    <w:p w14:paraId="30AAF845" w14:textId="2D626422" w:rsidR="00B20458" w:rsidRPr="00B0447D" w:rsidRDefault="000066A9" w:rsidP="0059578E">
      <w:pPr>
        <w:pStyle w:val="2222"/>
        <w:numPr>
          <w:ilvl w:val="0"/>
          <w:numId w:val="32"/>
        </w:numPr>
        <w:spacing w:before="120" w:after="0" w:line="360" w:lineRule="auto"/>
        <w:ind w:firstLineChars="0"/>
        <w:rPr>
          <w:rFonts w:eastAsia="SimSun"/>
          <w:color w:val="000000"/>
          <w:kern w:val="24"/>
          <w:lang w:val="en-US" w:eastAsia="zh-CN"/>
        </w:rPr>
      </w:pPr>
      <w:r>
        <w:rPr>
          <w:rFonts w:eastAsia="SimSun"/>
          <w:color w:val="000000"/>
          <w:kern w:val="24"/>
          <w:lang w:val="en-US" w:eastAsia="zh-CN"/>
        </w:rPr>
        <w:t>RP-17</w:t>
      </w:r>
      <w:r w:rsidR="007E32F2">
        <w:rPr>
          <w:rFonts w:eastAsia="SimSun"/>
          <w:color w:val="000000"/>
          <w:kern w:val="24"/>
          <w:lang w:val="en-US" w:eastAsia="zh-CN"/>
        </w:rPr>
        <w:t>17557</w:t>
      </w:r>
      <w:r>
        <w:rPr>
          <w:rFonts w:eastAsia="SimSun"/>
          <w:color w:val="000000"/>
          <w:kern w:val="24"/>
          <w:lang w:val="en-US" w:eastAsia="zh-CN"/>
        </w:rPr>
        <w:t>, “</w:t>
      </w:r>
      <w:r w:rsidR="00AC05C6">
        <w:rPr>
          <w:rFonts w:eastAsia="SimSun"/>
          <w:color w:val="000000"/>
          <w:kern w:val="24"/>
          <w:lang w:val="en-US" w:eastAsia="zh-CN"/>
        </w:rPr>
        <w:t>T</w:t>
      </w:r>
      <w:r>
        <w:rPr>
          <w:rFonts w:eastAsia="SimSun"/>
          <w:color w:val="000000"/>
          <w:kern w:val="24"/>
          <w:lang w:val="en-US" w:eastAsia="zh-CN"/>
        </w:rPr>
        <w:t>ransmit diversity scheme</w:t>
      </w:r>
      <w:r w:rsidR="00AC05C6">
        <w:rPr>
          <w:rFonts w:eastAsia="SimSun"/>
          <w:color w:val="000000"/>
          <w:kern w:val="24"/>
          <w:lang w:val="en-US" w:eastAsia="zh-CN"/>
        </w:rPr>
        <w:t>s</w:t>
      </w:r>
      <w:r>
        <w:rPr>
          <w:rFonts w:eastAsia="SimSun"/>
          <w:color w:val="000000"/>
          <w:kern w:val="24"/>
          <w:lang w:val="en-US" w:eastAsia="zh-CN"/>
        </w:rPr>
        <w:t xml:space="preserve"> for PS</w:t>
      </w:r>
      <w:r w:rsidR="0030665E">
        <w:rPr>
          <w:rFonts w:eastAsia="SimSun"/>
          <w:color w:val="000000"/>
          <w:kern w:val="24"/>
          <w:lang w:val="en-US" w:eastAsia="zh-CN"/>
        </w:rPr>
        <w:t>C</w:t>
      </w:r>
      <w:r>
        <w:rPr>
          <w:rFonts w:eastAsia="SimSun"/>
          <w:color w:val="000000"/>
          <w:kern w:val="24"/>
          <w:lang w:val="en-US" w:eastAsia="zh-CN"/>
        </w:rPr>
        <w:t xml:space="preserve">CH </w:t>
      </w:r>
      <w:r w:rsidR="00B4315C">
        <w:rPr>
          <w:rFonts w:eastAsia="SimSun"/>
          <w:color w:val="000000"/>
          <w:kern w:val="24"/>
          <w:lang w:val="en-US" w:eastAsia="zh-CN"/>
        </w:rPr>
        <w:t>and PS</w:t>
      </w:r>
      <w:r w:rsidR="0030665E">
        <w:rPr>
          <w:rFonts w:eastAsia="SimSun"/>
          <w:color w:val="000000"/>
          <w:kern w:val="24"/>
          <w:lang w:val="en-US" w:eastAsia="zh-CN"/>
        </w:rPr>
        <w:t>S</w:t>
      </w:r>
      <w:r w:rsidR="00B4315C">
        <w:rPr>
          <w:rFonts w:eastAsia="SimSun"/>
          <w:color w:val="000000"/>
          <w:kern w:val="24"/>
          <w:lang w:val="en-US" w:eastAsia="zh-CN"/>
        </w:rPr>
        <w:t>CH</w:t>
      </w:r>
      <w:r>
        <w:rPr>
          <w:rFonts w:eastAsia="SimSun"/>
          <w:color w:val="000000"/>
          <w:kern w:val="24"/>
          <w:lang w:val="en-US" w:eastAsia="zh-CN"/>
        </w:rPr>
        <w:t>”, Samsung</w:t>
      </w:r>
    </w:p>
    <w:p w14:paraId="04E478A7" w14:textId="77777777" w:rsidR="00093A71" w:rsidRDefault="00093A71" w:rsidP="00093A71">
      <w:pPr>
        <w:pStyle w:val="Heading1"/>
        <w:numPr>
          <w:ilvl w:val="0"/>
          <w:numId w:val="0"/>
        </w:numPr>
        <w:spacing w:before="0" w:after="120"/>
        <w:rPr>
          <w:lang w:val="pt-BR"/>
        </w:rPr>
      </w:pPr>
    </w:p>
    <w:p w14:paraId="1EC19E59" w14:textId="77777777" w:rsidR="00093A71" w:rsidRPr="00EA04EC" w:rsidRDefault="00093A71" w:rsidP="00093A71">
      <w:pPr>
        <w:pStyle w:val="Heading1"/>
        <w:numPr>
          <w:ilvl w:val="0"/>
          <w:numId w:val="0"/>
        </w:numPr>
        <w:spacing w:before="0" w:after="120"/>
        <w:rPr>
          <w:rFonts w:eastAsia="SimSun"/>
          <w:lang w:val="pt-BR" w:eastAsia="zh-CN"/>
        </w:rPr>
      </w:pPr>
      <w:r w:rsidRPr="005E3EE5">
        <w:rPr>
          <w:rFonts w:hint="eastAsia"/>
          <w:lang w:val="pt-BR"/>
        </w:rPr>
        <w:t>ANNEX</w:t>
      </w:r>
      <w:r w:rsidRPr="00EA04EC">
        <w:rPr>
          <w:rFonts w:eastAsia="SimSun" w:hint="eastAsia"/>
          <w:lang w:val="pt-BR" w:eastAsia="zh-CN"/>
        </w:rPr>
        <w:t xml:space="preserve"> A Simulation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186"/>
      </w:tblGrid>
      <w:tr w:rsidR="00093A71" w:rsidRPr="005E3EE5" w14:paraId="0EDCC0C0" w14:textId="77777777" w:rsidTr="007E78DD">
        <w:trPr>
          <w:jc w:val="center"/>
        </w:trPr>
        <w:tc>
          <w:tcPr>
            <w:tcW w:w="2943" w:type="dxa"/>
          </w:tcPr>
          <w:p w14:paraId="0764FEEF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  <w:iCs/>
              </w:rPr>
              <w:t>B</w:t>
            </w:r>
            <w:r w:rsidRPr="005E3EE5">
              <w:rPr>
                <w:rFonts w:hint="eastAsia"/>
                <w:bCs/>
                <w:iCs/>
              </w:rPr>
              <w:t xml:space="preserve">andwidth </w:t>
            </w:r>
          </w:p>
        </w:tc>
        <w:tc>
          <w:tcPr>
            <w:tcW w:w="4186" w:type="dxa"/>
          </w:tcPr>
          <w:p w14:paraId="4894C880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rFonts w:hint="eastAsia"/>
                <w:bCs/>
                <w:iCs/>
              </w:rPr>
              <w:t>10</w:t>
            </w:r>
            <w:r>
              <w:rPr>
                <w:rFonts w:hint="eastAsia"/>
                <w:bCs/>
                <w:iCs/>
              </w:rPr>
              <w:t xml:space="preserve"> </w:t>
            </w:r>
            <w:r w:rsidRPr="005E3EE5">
              <w:rPr>
                <w:rFonts w:hint="eastAsia"/>
                <w:bCs/>
                <w:iCs/>
              </w:rPr>
              <w:t>M</w:t>
            </w:r>
            <w:r>
              <w:rPr>
                <w:rFonts w:hint="eastAsia"/>
                <w:bCs/>
                <w:iCs/>
              </w:rPr>
              <w:t>Hz</w:t>
            </w:r>
            <w:r w:rsidRPr="005E3EE5">
              <w:rPr>
                <w:rFonts w:hint="eastAsia"/>
                <w:bCs/>
                <w:iCs/>
              </w:rPr>
              <w:t xml:space="preserve"> </w:t>
            </w:r>
          </w:p>
        </w:tc>
      </w:tr>
      <w:tr w:rsidR="00093A71" w:rsidRPr="005E3EE5" w14:paraId="483E41B4" w14:textId="77777777" w:rsidTr="007E78DD">
        <w:trPr>
          <w:jc w:val="center"/>
        </w:trPr>
        <w:tc>
          <w:tcPr>
            <w:tcW w:w="2943" w:type="dxa"/>
          </w:tcPr>
          <w:p w14:paraId="45DB4EF4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  <w:iCs/>
              </w:rPr>
              <w:t>C</w:t>
            </w:r>
            <w:r w:rsidRPr="005E3EE5">
              <w:rPr>
                <w:rFonts w:hint="eastAsia"/>
                <w:bCs/>
                <w:iCs/>
              </w:rPr>
              <w:t>arrier frequency</w:t>
            </w:r>
          </w:p>
        </w:tc>
        <w:tc>
          <w:tcPr>
            <w:tcW w:w="4186" w:type="dxa"/>
          </w:tcPr>
          <w:p w14:paraId="0970D23E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rFonts w:hint="eastAsia"/>
                <w:bCs/>
                <w:iCs/>
              </w:rPr>
              <w:t>6.0</w:t>
            </w:r>
            <w:r>
              <w:rPr>
                <w:rFonts w:hint="eastAsia"/>
                <w:bCs/>
                <w:iCs/>
              </w:rPr>
              <w:t xml:space="preserve"> </w:t>
            </w:r>
            <w:r w:rsidRPr="005E3EE5">
              <w:rPr>
                <w:rFonts w:hint="eastAsia"/>
                <w:bCs/>
                <w:iCs/>
              </w:rPr>
              <w:t>GHz</w:t>
            </w:r>
          </w:p>
        </w:tc>
      </w:tr>
      <w:tr w:rsidR="00093A71" w:rsidRPr="005E3EE5" w14:paraId="2A9A5292" w14:textId="77777777" w:rsidTr="007E78DD">
        <w:trPr>
          <w:jc w:val="center"/>
        </w:trPr>
        <w:tc>
          <w:tcPr>
            <w:tcW w:w="2943" w:type="dxa"/>
          </w:tcPr>
          <w:p w14:paraId="176B848A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</w:rPr>
              <w:t>Number of antenna</w:t>
            </w:r>
          </w:p>
        </w:tc>
        <w:tc>
          <w:tcPr>
            <w:tcW w:w="4186" w:type="dxa"/>
          </w:tcPr>
          <w:p w14:paraId="12C85610" w14:textId="2D940F1A" w:rsidR="00093A71" w:rsidRPr="005E3EE5" w:rsidRDefault="00093A71" w:rsidP="007E78DD">
            <w:pPr>
              <w:jc w:val="both"/>
              <w:rPr>
                <w:bCs/>
                <w:iCs/>
              </w:rPr>
            </w:pPr>
            <w:r>
              <w:rPr>
                <w:rFonts w:hint="eastAsia"/>
                <w:bCs/>
              </w:rPr>
              <w:t>2</w:t>
            </w:r>
            <w:r w:rsidR="00832D43">
              <w:rPr>
                <w:bCs/>
              </w:rPr>
              <w:t>/4</w:t>
            </w:r>
            <w:r w:rsidRPr="005E3EE5">
              <w:rPr>
                <w:rFonts w:hint="eastAsia"/>
                <w:bCs/>
              </w:rPr>
              <w:t xml:space="preserve"> TX and 2 RX</w:t>
            </w:r>
          </w:p>
        </w:tc>
      </w:tr>
      <w:tr w:rsidR="00093A71" w:rsidRPr="005E3EE5" w14:paraId="5999036B" w14:textId="77777777" w:rsidTr="007E78DD">
        <w:trPr>
          <w:jc w:val="center"/>
        </w:trPr>
        <w:tc>
          <w:tcPr>
            <w:tcW w:w="2943" w:type="dxa"/>
          </w:tcPr>
          <w:p w14:paraId="7D5E6BB3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channel</w:t>
            </w:r>
          </w:p>
        </w:tc>
        <w:tc>
          <w:tcPr>
            <w:tcW w:w="4186" w:type="dxa"/>
          </w:tcPr>
          <w:p w14:paraId="2A56A8DE" w14:textId="3F4F9379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bCs/>
              </w:rPr>
              <w:t>ETU channel model</w:t>
            </w:r>
          </w:p>
        </w:tc>
      </w:tr>
      <w:tr w:rsidR="00093A71" w:rsidRPr="005E3EE5" w14:paraId="49C10526" w14:textId="77777777" w:rsidTr="007E78DD">
        <w:trPr>
          <w:jc w:val="center"/>
        </w:trPr>
        <w:tc>
          <w:tcPr>
            <w:tcW w:w="2943" w:type="dxa"/>
          </w:tcPr>
          <w:p w14:paraId="5E25179B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M</w:t>
            </w:r>
            <w:r w:rsidRPr="005E3EE5">
              <w:rPr>
                <w:rFonts w:hint="eastAsia"/>
                <w:bCs/>
              </w:rPr>
              <w:t xml:space="preserve">odulation </w:t>
            </w:r>
          </w:p>
        </w:tc>
        <w:tc>
          <w:tcPr>
            <w:tcW w:w="4186" w:type="dxa"/>
          </w:tcPr>
          <w:p w14:paraId="50077930" w14:textId="6AD96484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QPSK</w:t>
            </w:r>
            <w:r>
              <w:rPr>
                <w:bCs/>
              </w:rPr>
              <w:t>, 16QAM</w:t>
            </w:r>
            <w:r w:rsidRPr="005E3EE5">
              <w:rPr>
                <w:rFonts w:hint="eastAsia"/>
                <w:bCs/>
              </w:rPr>
              <w:t xml:space="preserve"> </w:t>
            </w:r>
          </w:p>
        </w:tc>
      </w:tr>
      <w:tr w:rsidR="00093A71" w:rsidRPr="005E3EE5" w14:paraId="0138C8A7" w14:textId="77777777" w:rsidTr="00C7644D">
        <w:trPr>
          <w:jc w:val="center"/>
        </w:trPr>
        <w:tc>
          <w:tcPr>
            <w:tcW w:w="2943" w:type="dxa"/>
          </w:tcPr>
          <w:p w14:paraId="0CEF4D10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C</w:t>
            </w:r>
            <w:r w:rsidRPr="005E3EE5">
              <w:rPr>
                <w:rFonts w:hint="eastAsia"/>
                <w:bCs/>
              </w:rPr>
              <w:t xml:space="preserve">oding </w:t>
            </w:r>
          </w:p>
        </w:tc>
        <w:tc>
          <w:tcPr>
            <w:tcW w:w="4186" w:type="dxa"/>
          </w:tcPr>
          <w:p w14:paraId="740F122A" w14:textId="23414DD0" w:rsidR="00093A71" w:rsidRPr="005E3EE5" w:rsidRDefault="00093A71" w:rsidP="0075535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Turbo,</w:t>
            </w:r>
            <w:r>
              <w:rPr>
                <w:bCs/>
              </w:rPr>
              <w:t xml:space="preserve"> rate </w:t>
            </w:r>
            <w:r w:rsidRPr="005E3EE5">
              <w:rPr>
                <w:rFonts w:hint="eastAsia"/>
                <w:bCs/>
              </w:rPr>
              <w:t>1/2</w:t>
            </w:r>
          </w:p>
        </w:tc>
      </w:tr>
      <w:tr w:rsidR="00093A71" w:rsidRPr="005E3EE5" w14:paraId="0BA7DE06" w14:textId="77777777" w:rsidTr="00AE72A9">
        <w:trPr>
          <w:jc w:val="center"/>
        </w:trPr>
        <w:tc>
          <w:tcPr>
            <w:tcW w:w="2943" w:type="dxa"/>
          </w:tcPr>
          <w:p w14:paraId="7A7657A7" w14:textId="77777777" w:rsidR="00093A71" w:rsidRPr="005E3EE5" w:rsidRDefault="00093A71" w:rsidP="007E78DD">
            <w:pPr>
              <w:jc w:val="both"/>
              <w:rPr>
                <w:bCs/>
              </w:rPr>
            </w:pPr>
            <w:proofErr w:type="spellStart"/>
            <w:r w:rsidRPr="005E3EE5">
              <w:rPr>
                <w:rFonts w:hint="eastAsia"/>
                <w:bCs/>
              </w:rPr>
              <w:t>TBsize</w:t>
            </w:r>
            <w:proofErr w:type="spellEnd"/>
          </w:p>
        </w:tc>
        <w:tc>
          <w:tcPr>
            <w:tcW w:w="4186" w:type="dxa"/>
          </w:tcPr>
          <w:p w14:paraId="07560FC6" w14:textId="2EEA69C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190</w:t>
            </w:r>
            <w:r>
              <w:rPr>
                <w:bCs/>
              </w:rPr>
              <w:t xml:space="preserve"> </w:t>
            </w:r>
            <w:r w:rsidRPr="005E3EE5">
              <w:rPr>
                <w:rFonts w:hint="eastAsia"/>
                <w:bCs/>
              </w:rPr>
              <w:t>byte</w:t>
            </w:r>
            <w:r>
              <w:rPr>
                <w:bCs/>
              </w:rPr>
              <w:t>s</w:t>
            </w:r>
          </w:p>
        </w:tc>
      </w:tr>
      <w:tr w:rsidR="00093A71" w:rsidRPr="005E3EE5" w14:paraId="43AFEEAC" w14:textId="77777777" w:rsidTr="007E78DD">
        <w:trPr>
          <w:jc w:val="center"/>
        </w:trPr>
        <w:tc>
          <w:tcPr>
            <w:tcW w:w="2943" w:type="dxa"/>
          </w:tcPr>
          <w:p w14:paraId="26D8A1F0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t>subcarrier spacing</w:t>
            </w:r>
          </w:p>
        </w:tc>
        <w:tc>
          <w:tcPr>
            <w:tcW w:w="4186" w:type="dxa"/>
          </w:tcPr>
          <w:p w14:paraId="5FC92C28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15</w:t>
            </w:r>
            <w:r>
              <w:rPr>
                <w:rFonts w:hint="eastAsia"/>
                <w:bCs/>
              </w:rPr>
              <w:t xml:space="preserve"> KHz</w:t>
            </w:r>
          </w:p>
        </w:tc>
      </w:tr>
      <w:tr w:rsidR="00093A71" w:rsidRPr="005E3EE5" w14:paraId="0A7590A1" w14:textId="77777777" w:rsidTr="007E78DD">
        <w:trPr>
          <w:jc w:val="center"/>
        </w:trPr>
        <w:tc>
          <w:tcPr>
            <w:tcW w:w="2943" w:type="dxa"/>
          </w:tcPr>
          <w:p w14:paraId="4F6404CA" w14:textId="77777777" w:rsidR="00093A71" w:rsidRPr="005E3EE5" w:rsidRDefault="00093A71" w:rsidP="007E78DD">
            <w:pPr>
              <w:jc w:val="both"/>
            </w:pPr>
            <w:r w:rsidRPr="005E3EE5">
              <w:rPr>
                <w:rFonts w:hint="eastAsia"/>
              </w:rPr>
              <w:t>DMRS</w:t>
            </w:r>
          </w:p>
        </w:tc>
        <w:tc>
          <w:tcPr>
            <w:tcW w:w="4186" w:type="dxa"/>
          </w:tcPr>
          <w:p w14:paraId="45D11D31" w14:textId="77777777" w:rsidR="00093A71" w:rsidRDefault="00093A71" w:rsidP="00093A71">
            <w:pPr>
              <w:jc w:val="both"/>
            </w:pPr>
            <w:r w:rsidRPr="005E3EE5">
              <w:rPr>
                <w:rFonts w:hint="eastAsia"/>
              </w:rPr>
              <w:t>4 DMRS</w:t>
            </w:r>
            <w:r>
              <w:t xml:space="preserve"> symbols </w:t>
            </w:r>
            <w:r w:rsidRPr="005E3EE5">
              <w:rPr>
                <w:rFonts w:hint="eastAsia"/>
              </w:rPr>
              <w:t>/</w:t>
            </w:r>
            <w:proofErr w:type="spellStart"/>
            <w:r>
              <w:t>subframe</w:t>
            </w:r>
            <w:proofErr w:type="spellEnd"/>
            <w:r>
              <w:rPr>
                <w:rFonts w:hint="eastAsia"/>
              </w:rPr>
              <w:t xml:space="preserve"> in symbol 2, 5, 8, 11</w:t>
            </w:r>
          </w:p>
          <w:p w14:paraId="0259C0A3" w14:textId="77777777" w:rsidR="00406BB5" w:rsidRDefault="00406BB5" w:rsidP="00093A71">
            <w:pPr>
              <w:jc w:val="both"/>
            </w:pPr>
            <w:r>
              <w:t>For time-domain pre-coder vector switching: DMRS design in Figure 1 was used.</w:t>
            </w:r>
          </w:p>
          <w:p w14:paraId="4B189E16" w14:textId="577042E5" w:rsidR="00406BB5" w:rsidRPr="005E3EE5" w:rsidRDefault="00406BB5" w:rsidP="00093A71">
            <w:pPr>
              <w:jc w:val="both"/>
              <w:rPr>
                <w:bCs/>
              </w:rPr>
            </w:pPr>
            <w:r>
              <w:t>For SFBC: DMRS design in Figure 2 was used.</w:t>
            </w:r>
          </w:p>
        </w:tc>
      </w:tr>
      <w:tr w:rsidR="00093A71" w:rsidRPr="005E3EE5" w14:paraId="6F5A6BBC" w14:textId="77777777" w:rsidTr="007E78DD">
        <w:trPr>
          <w:jc w:val="center"/>
        </w:trPr>
        <w:tc>
          <w:tcPr>
            <w:tcW w:w="2943" w:type="dxa"/>
          </w:tcPr>
          <w:p w14:paraId="5B3A33C6" w14:textId="483FECE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R</w:t>
            </w:r>
            <w:r w:rsidRPr="005E3EE5">
              <w:rPr>
                <w:rFonts w:hint="eastAsia"/>
                <w:bCs/>
              </w:rPr>
              <w:t>elative speed</w:t>
            </w:r>
          </w:p>
        </w:tc>
        <w:tc>
          <w:tcPr>
            <w:tcW w:w="4186" w:type="dxa"/>
          </w:tcPr>
          <w:p w14:paraId="62E1111D" w14:textId="30F21ACF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2x14</w:t>
            </w:r>
            <w:r w:rsidRPr="005E3EE5">
              <w:rPr>
                <w:rFonts w:hint="eastAsia"/>
                <w:bCs/>
              </w:rPr>
              <w:t>0</w:t>
            </w:r>
            <w:r>
              <w:rPr>
                <w:bCs/>
              </w:rPr>
              <w:t xml:space="preserve"> </w:t>
            </w:r>
            <w:r w:rsidRPr="005E3EE5">
              <w:rPr>
                <w:rFonts w:hint="eastAsia"/>
                <w:bCs/>
              </w:rPr>
              <w:t>km/h</w:t>
            </w:r>
          </w:p>
        </w:tc>
      </w:tr>
      <w:tr w:rsidR="00093A71" w:rsidRPr="005E3EE5" w14:paraId="59C6A9E0" w14:textId="77777777" w:rsidTr="007E78DD">
        <w:trPr>
          <w:jc w:val="center"/>
        </w:trPr>
        <w:tc>
          <w:tcPr>
            <w:tcW w:w="2943" w:type="dxa"/>
          </w:tcPr>
          <w:p w14:paraId="7AE40234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C</w:t>
            </w:r>
            <w:r w:rsidRPr="005E3EE5">
              <w:rPr>
                <w:rFonts w:hint="eastAsia"/>
                <w:bCs/>
              </w:rPr>
              <w:t>hannel estimation criteria</w:t>
            </w:r>
          </w:p>
        </w:tc>
        <w:tc>
          <w:tcPr>
            <w:tcW w:w="4186" w:type="dxa"/>
          </w:tcPr>
          <w:p w14:paraId="18358F49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MMSE</w:t>
            </w:r>
          </w:p>
        </w:tc>
      </w:tr>
      <w:tr w:rsidR="00093A71" w:rsidRPr="005E3EE5" w14:paraId="645159AD" w14:textId="77777777" w:rsidTr="007E78DD">
        <w:trPr>
          <w:jc w:val="center"/>
        </w:trPr>
        <w:tc>
          <w:tcPr>
            <w:tcW w:w="2943" w:type="dxa"/>
          </w:tcPr>
          <w:p w14:paraId="356FE5B8" w14:textId="77777777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M</w:t>
            </w:r>
            <w:r w:rsidRPr="005E3EE5">
              <w:rPr>
                <w:rFonts w:hint="eastAsia"/>
                <w:bCs/>
              </w:rPr>
              <w:t>aximum transmission number</w:t>
            </w:r>
          </w:p>
        </w:tc>
        <w:tc>
          <w:tcPr>
            <w:tcW w:w="4186" w:type="dxa"/>
          </w:tcPr>
          <w:p w14:paraId="20CC9A8A" w14:textId="77777777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</w:tr>
      <w:tr w:rsidR="003B6506" w:rsidRPr="005E3EE5" w14:paraId="48269F3A" w14:textId="77777777" w:rsidTr="009A5B13">
        <w:trPr>
          <w:jc w:val="center"/>
        </w:trPr>
        <w:tc>
          <w:tcPr>
            <w:tcW w:w="2943" w:type="dxa"/>
          </w:tcPr>
          <w:p w14:paraId="66E7AA7B" w14:textId="77777777" w:rsidR="003B6506" w:rsidRPr="003B6506" w:rsidRDefault="003B6506" w:rsidP="009A5B13">
            <w:pPr>
              <w:jc w:val="both"/>
              <w:rPr>
                <w:rFonts w:eastAsia="SimSun"/>
                <w:bCs/>
                <w:lang w:eastAsia="zh-CN"/>
              </w:rPr>
            </w:pPr>
            <w:r w:rsidRPr="003B6506">
              <w:rPr>
                <w:rFonts w:eastAsia="SimSun"/>
                <w:bCs/>
                <w:iCs/>
                <w:lang w:eastAsia="zh-CN"/>
              </w:rPr>
              <w:t>Frequency offset</w:t>
            </w:r>
          </w:p>
        </w:tc>
        <w:tc>
          <w:tcPr>
            <w:tcW w:w="4186" w:type="dxa"/>
          </w:tcPr>
          <w:p w14:paraId="60842259" w14:textId="77777777" w:rsidR="003B6506" w:rsidRDefault="003B6506" w:rsidP="009A5B13">
            <w:pPr>
              <w:jc w:val="both"/>
              <w:rPr>
                <w:bCs/>
              </w:rPr>
            </w:pPr>
            <w:r w:rsidRPr="003B6506">
              <w:rPr>
                <w:rFonts w:eastAsia="SimSun"/>
                <w:bCs/>
                <w:iCs/>
                <w:lang w:eastAsia="zh-CN"/>
              </w:rPr>
              <w:t>modelled as in TR36.885</w:t>
            </w:r>
          </w:p>
        </w:tc>
      </w:tr>
    </w:tbl>
    <w:p w14:paraId="1A90E001" w14:textId="3482F9E1" w:rsidR="00AC414E" w:rsidRPr="00A54FCB" w:rsidRDefault="00AC414E" w:rsidP="005D5BE7">
      <w:pPr>
        <w:pStyle w:val="ListParagraph"/>
        <w:spacing w:after="0" w:line="360" w:lineRule="auto"/>
        <w:ind w:leftChars="0" w:left="720"/>
        <w:jc w:val="both"/>
        <w:rPr>
          <w:lang w:val="en-US" w:eastAsia="ko-KR"/>
        </w:rPr>
      </w:pPr>
    </w:p>
    <w:sectPr w:rsidR="00AC414E" w:rsidRPr="00A54FCB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4ECAA" w14:textId="77777777" w:rsidR="00EC427A" w:rsidRDefault="00EC427A">
      <w:r>
        <w:separator/>
      </w:r>
    </w:p>
  </w:endnote>
  <w:endnote w:type="continuationSeparator" w:id="0">
    <w:p w14:paraId="68ABA43A" w14:textId="77777777" w:rsidR="00EC427A" w:rsidRDefault="00EC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1CDB3" w14:textId="77777777" w:rsidR="00EC427A" w:rsidRDefault="00EC427A">
      <w:r>
        <w:separator/>
      </w:r>
    </w:p>
  </w:footnote>
  <w:footnote w:type="continuationSeparator" w:id="0">
    <w:p w14:paraId="0BA855DE" w14:textId="77777777" w:rsidR="00EC427A" w:rsidRDefault="00EC4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D1A16"/>
    <w:multiLevelType w:val="hybridMultilevel"/>
    <w:tmpl w:val="D7F0B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6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2EEB3C40"/>
    <w:multiLevelType w:val="hybridMultilevel"/>
    <w:tmpl w:val="251E3E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1B7515"/>
    <w:multiLevelType w:val="hybridMultilevel"/>
    <w:tmpl w:val="F19A6630"/>
    <w:lvl w:ilvl="0" w:tplc="10A4DA24">
      <w:start w:val="1"/>
      <w:numFmt w:val="decimal"/>
      <w:lvlText w:val="[%1]: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5A0559E"/>
    <w:multiLevelType w:val="hybridMultilevel"/>
    <w:tmpl w:val="C7F8F924"/>
    <w:lvl w:ilvl="0" w:tplc="04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2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D757EB"/>
    <w:multiLevelType w:val="hybridMultilevel"/>
    <w:tmpl w:val="037E5EB8"/>
    <w:lvl w:ilvl="0" w:tplc="53FA0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1905F0"/>
    <w:multiLevelType w:val="hybridMultilevel"/>
    <w:tmpl w:val="E7AEC316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D40B0"/>
    <w:multiLevelType w:val="hybridMultilevel"/>
    <w:tmpl w:val="C0D64BE2"/>
    <w:lvl w:ilvl="0" w:tplc="33E2D9C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5"/>
  </w:num>
  <w:num w:numId="4">
    <w:abstractNumId w:val="35"/>
  </w:num>
  <w:num w:numId="5">
    <w:abstractNumId w:val="4"/>
  </w:num>
  <w:num w:numId="6">
    <w:abstractNumId w:val="27"/>
  </w:num>
  <w:num w:numId="7">
    <w:abstractNumId w:val="22"/>
  </w:num>
  <w:num w:numId="8">
    <w:abstractNumId w:val="32"/>
  </w:num>
  <w:num w:numId="9">
    <w:abstractNumId w:val="31"/>
  </w:num>
  <w:num w:numId="10">
    <w:abstractNumId w:val="11"/>
  </w:num>
  <w:num w:numId="11">
    <w:abstractNumId w:val="18"/>
  </w:num>
  <w:num w:numId="12">
    <w:abstractNumId w:val="28"/>
  </w:num>
  <w:num w:numId="13">
    <w:abstractNumId w:val="10"/>
  </w:num>
  <w:num w:numId="14">
    <w:abstractNumId w:val="1"/>
  </w:num>
  <w:num w:numId="15">
    <w:abstractNumId w:val="26"/>
  </w:num>
  <w:num w:numId="16">
    <w:abstractNumId w:val="23"/>
  </w:num>
  <w:num w:numId="17">
    <w:abstractNumId w:val="9"/>
  </w:num>
  <w:num w:numId="18">
    <w:abstractNumId w:val="34"/>
  </w:num>
  <w:num w:numId="19">
    <w:abstractNumId w:val="5"/>
  </w:num>
  <w:num w:numId="20">
    <w:abstractNumId w:val="20"/>
  </w:num>
  <w:num w:numId="21">
    <w:abstractNumId w:val="8"/>
  </w:num>
  <w:num w:numId="22">
    <w:abstractNumId w:val="6"/>
  </w:num>
  <w:num w:numId="23">
    <w:abstractNumId w:val="0"/>
  </w:num>
  <w:num w:numId="24">
    <w:abstractNumId w:val="13"/>
  </w:num>
  <w:num w:numId="25">
    <w:abstractNumId w:val="36"/>
  </w:num>
  <w:num w:numId="26">
    <w:abstractNumId w:val="12"/>
  </w:num>
  <w:num w:numId="27">
    <w:abstractNumId w:val="2"/>
  </w:num>
  <w:num w:numId="28">
    <w:abstractNumId w:val="14"/>
  </w:num>
  <w:num w:numId="29">
    <w:abstractNumId w:val="19"/>
  </w:num>
  <w:num w:numId="30">
    <w:abstractNumId w:val="30"/>
  </w:num>
  <w:num w:numId="31">
    <w:abstractNumId w:val="33"/>
  </w:num>
  <w:num w:numId="32">
    <w:abstractNumId w:val="29"/>
  </w:num>
  <w:num w:numId="33">
    <w:abstractNumId w:val="24"/>
  </w:num>
  <w:num w:numId="34">
    <w:abstractNumId w:val="3"/>
  </w:num>
  <w:num w:numId="35">
    <w:abstractNumId w:val="16"/>
  </w:num>
  <w:num w:numId="36">
    <w:abstractNumId w:val="17"/>
  </w:num>
  <w:num w:numId="37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042"/>
    <w:rsid w:val="00001C76"/>
    <w:rsid w:val="00001D2C"/>
    <w:rsid w:val="000020C0"/>
    <w:rsid w:val="00002A92"/>
    <w:rsid w:val="00002ACA"/>
    <w:rsid w:val="00002D75"/>
    <w:rsid w:val="000033A8"/>
    <w:rsid w:val="00004076"/>
    <w:rsid w:val="00005774"/>
    <w:rsid w:val="000066A9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4AC"/>
    <w:rsid w:val="00030408"/>
    <w:rsid w:val="00030EA8"/>
    <w:rsid w:val="00031F02"/>
    <w:rsid w:val="00032854"/>
    <w:rsid w:val="0003291E"/>
    <w:rsid w:val="00033DCD"/>
    <w:rsid w:val="0003419B"/>
    <w:rsid w:val="000375ED"/>
    <w:rsid w:val="0004052B"/>
    <w:rsid w:val="0004152C"/>
    <w:rsid w:val="00042074"/>
    <w:rsid w:val="00044652"/>
    <w:rsid w:val="00045082"/>
    <w:rsid w:val="00046AB8"/>
    <w:rsid w:val="00046EDE"/>
    <w:rsid w:val="00047D98"/>
    <w:rsid w:val="0005019A"/>
    <w:rsid w:val="00050B52"/>
    <w:rsid w:val="00050F55"/>
    <w:rsid w:val="00051AFF"/>
    <w:rsid w:val="00051EEF"/>
    <w:rsid w:val="00052776"/>
    <w:rsid w:val="00053930"/>
    <w:rsid w:val="000543C0"/>
    <w:rsid w:val="000551A1"/>
    <w:rsid w:val="00055EC9"/>
    <w:rsid w:val="00056B06"/>
    <w:rsid w:val="00056CD1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17D2"/>
    <w:rsid w:val="00072453"/>
    <w:rsid w:val="00073C42"/>
    <w:rsid w:val="00075052"/>
    <w:rsid w:val="000755B5"/>
    <w:rsid w:val="00075E3F"/>
    <w:rsid w:val="00076FF5"/>
    <w:rsid w:val="00077222"/>
    <w:rsid w:val="000775AB"/>
    <w:rsid w:val="00081F30"/>
    <w:rsid w:val="00082C19"/>
    <w:rsid w:val="00083457"/>
    <w:rsid w:val="00083DE3"/>
    <w:rsid w:val="000862ED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71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6E2F"/>
    <w:rsid w:val="000A77A6"/>
    <w:rsid w:val="000B00F7"/>
    <w:rsid w:val="000B0B99"/>
    <w:rsid w:val="000B25B1"/>
    <w:rsid w:val="000B2B68"/>
    <w:rsid w:val="000B4FD7"/>
    <w:rsid w:val="000B7E59"/>
    <w:rsid w:val="000C074E"/>
    <w:rsid w:val="000C14C1"/>
    <w:rsid w:val="000C272D"/>
    <w:rsid w:val="000C2DAC"/>
    <w:rsid w:val="000C3A4B"/>
    <w:rsid w:val="000C3C17"/>
    <w:rsid w:val="000C650F"/>
    <w:rsid w:val="000C722D"/>
    <w:rsid w:val="000D00DD"/>
    <w:rsid w:val="000D1026"/>
    <w:rsid w:val="000D19F4"/>
    <w:rsid w:val="000D25AC"/>
    <w:rsid w:val="000D2EB0"/>
    <w:rsid w:val="000D3843"/>
    <w:rsid w:val="000D4806"/>
    <w:rsid w:val="000D49B0"/>
    <w:rsid w:val="000D5200"/>
    <w:rsid w:val="000D688F"/>
    <w:rsid w:val="000D6CB7"/>
    <w:rsid w:val="000D758A"/>
    <w:rsid w:val="000D77B5"/>
    <w:rsid w:val="000D7EA8"/>
    <w:rsid w:val="000E13E9"/>
    <w:rsid w:val="000E1B85"/>
    <w:rsid w:val="000E2201"/>
    <w:rsid w:val="000E3A52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11B"/>
    <w:rsid w:val="0014141E"/>
    <w:rsid w:val="0014343A"/>
    <w:rsid w:val="00143869"/>
    <w:rsid w:val="00146DE6"/>
    <w:rsid w:val="00146EEE"/>
    <w:rsid w:val="001471E4"/>
    <w:rsid w:val="00147305"/>
    <w:rsid w:val="001503B7"/>
    <w:rsid w:val="00154283"/>
    <w:rsid w:val="0015445A"/>
    <w:rsid w:val="00157248"/>
    <w:rsid w:val="00160084"/>
    <w:rsid w:val="001616FF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06C"/>
    <w:rsid w:val="00171E74"/>
    <w:rsid w:val="00172663"/>
    <w:rsid w:val="00174E38"/>
    <w:rsid w:val="0017525A"/>
    <w:rsid w:val="00175C9C"/>
    <w:rsid w:val="00176B67"/>
    <w:rsid w:val="00177E42"/>
    <w:rsid w:val="001801D3"/>
    <w:rsid w:val="00180AD4"/>
    <w:rsid w:val="00181899"/>
    <w:rsid w:val="00182E06"/>
    <w:rsid w:val="0018440F"/>
    <w:rsid w:val="00184848"/>
    <w:rsid w:val="001850D6"/>
    <w:rsid w:val="001911AC"/>
    <w:rsid w:val="0019161B"/>
    <w:rsid w:val="00193B4C"/>
    <w:rsid w:val="0019499E"/>
    <w:rsid w:val="0019626D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C06AA"/>
    <w:rsid w:val="001C21DE"/>
    <w:rsid w:val="001C3694"/>
    <w:rsid w:val="001C46E4"/>
    <w:rsid w:val="001C4BF0"/>
    <w:rsid w:val="001C64AB"/>
    <w:rsid w:val="001C6890"/>
    <w:rsid w:val="001C76C5"/>
    <w:rsid w:val="001C7CCA"/>
    <w:rsid w:val="001D04EE"/>
    <w:rsid w:val="001D07C2"/>
    <w:rsid w:val="001D0D60"/>
    <w:rsid w:val="001D0FD7"/>
    <w:rsid w:val="001D1371"/>
    <w:rsid w:val="001D1B10"/>
    <w:rsid w:val="001D2861"/>
    <w:rsid w:val="001D4091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384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4D5"/>
    <w:rsid w:val="001F7B02"/>
    <w:rsid w:val="001F7C2B"/>
    <w:rsid w:val="00200BA8"/>
    <w:rsid w:val="00201037"/>
    <w:rsid w:val="00201101"/>
    <w:rsid w:val="00202049"/>
    <w:rsid w:val="00202279"/>
    <w:rsid w:val="00202BE0"/>
    <w:rsid w:val="002044FD"/>
    <w:rsid w:val="00205DF1"/>
    <w:rsid w:val="002065A9"/>
    <w:rsid w:val="0021177B"/>
    <w:rsid w:val="0021354A"/>
    <w:rsid w:val="00213D11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3CF7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3407"/>
    <w:rsid w:val="00244EF2"/>
    <w:rsid w:val="00245C3D"/>
    <w:rsid w:val="002469F1"/>
    <w:rsid w:val="00247014"/>
    <w:rsid w:val="0024758D"/>
    <w:rsid w:val="00251890"/>
    <w:rsid w:val="00251DAC"/>
    <w:rsid w:val="0025287D"/>
    <w:rsid w:val="002547E4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D2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2DA"/>
    <w:rsid w:val="002958FD"/>
    <w:rsid w:val="00295B0A"/>
    <w:rsid w:val="00296433"/>
    <w:rsid w:val="00296E64"/>
    <w:rsid w:val="00297B42"/>
    <w:rsid w:val="002A0A73"/>
    <w:rsid w:val="002A0D1E"/>
    <w:rsid w:val="002A1E47"/>
    <w:rsid w:val="002A3A3D"/>
    <w:rsid w:val="002A4DC5"/>
    <w:rsid w:val="002A558F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0051"/>
    <w:rsid w:val="002E11B9"/>
    <w:rsid w:val="002E2CB4"/>
    <w:rsid w:val="002E315D"/>
    <w:rsid w:val="002E333E"/>
    <w:rsid w:val="002E3CF3"/>
    <w:rsid w:val="002E51B4"/>
    <w:rsid w:val="002E5EC2"/>
    <w:rsid w:val="002E60AB"/>
    <w:rsid w:val="002F00C5"/>
    <w:rsid w:val="002F28D8"/>
    <w:rsid w:val="002F2D1F"/>
    <w:rsid w:val="002F38F3"/>
    <w:rsid w:val="002F39B6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0665E"/>
    <w:rsid w:val="0031062D"/>
    <w:rsid w:val="00310B3E"/>
    <w:rsid w:val="003114E5"/>
    <w:rsid w:val="00313316"/>
    <w:rsid w:val="00313945"/>
    <w:rsid w:val="00313DC6"/>
    <w:rsid w:val="00314E2F"/>
    <w:rsid w:val="00314E63"/>
    <w:rsid w:val="003155DC"/>
    <w:rsid w:val="00316644"/>
    <w:rsid w:val="00316AD7"/>
    <w:rsid w:val="00316B82"/>
    <w:rsid w:val="00317557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1803"/>
    <w:rsid w:val="00331904"/>
    <w:rsid w:val="00332012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219"/>
    <w:rsid w:val="00346285"/>
    <w:rsid w:val="003476A1"/>
    <w:rsid w:val="003514CD"/>
    <w:rsid w:val="00353783"/>
    <w:rsid w:val="00354C75"/>
    <w:rsid w:val="003552C8"/>
    <w:rsid w:val="00357C16"/>
    <w:rsid w:val="00360211"/>
    <w:rsid w:val="00361538"/>
    <w:rsid w:val="00361D72"/>
    <w:rsid w:val="003626DE"/>
    <w:rsid w:val="00362C81"/>
    <w:rsid w:val="00362D53"/>
    <w:rsid w:val="00362DB7"/>
    <w:rsid w:val="00363312"/>
    <w:rsid w:val="003636D3"/>
    <w:rsid w:val="00363F8E"/>
    <w:rsid w:val="00364A48"/>
    <w:rsid w:val="00364A9A"/>
    <w:rsid w:val="0036685E"/>
    <w:rsid w:val="00367444"/>
    <w:rsid w:val="00367548"/>
    <w:rsid w:val="003675C1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29F"/>
    <w:rsid w:val="0038584A"/>
    <w:rsid w:val="003877AE"/>
    <w:rsid w:val="00390D43"/>
    <w:rsid w:val="00390FC9"/>
    <w:rsid w:val="00391AA1"/>
    <w:rsid w:val="0039225D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0EFA"/>
    <w:rsid w:val="003A26A9"/>
    <w:rsid w:val="003A4806"/>
    <w:rsid w:val="003A5945"/>
    <w:rsid w:val="003A633C"/>
    <w:rsid w:val="003A69C3"/>
    <w:rsid w:val="003A730C"/>
    <w:rsid w:val="003B0AC6"/>
    <w:rsid w:val="003B33FB"/>
    <w:rsid w:val="003B3878"/>
    <w:rsid w:val="003B3E1F"/>
    <w:rsid w:val="003B5A10"/>
    <w:rsid w:val="003B6506"/>
    <w:rsid w:val="003B69C8"/>
    <w:rsid w:val="003B784F"/>
    <w:rsid w:val="003B7ED9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0AE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E6C16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3F7806"/>
    <w:rsid w:val="00401F93"/>
    <w:rsid w:val="0040329D"/>
    <w:rsid w:val="00404B4A"/>
    <w:rsid w:val="0040633D"/>
    <w:rsid w:val="00406BB5"/>
    <w:rsid w:val="00407AAC"/>
    <w:rsid w:val="004107E6"/>
    <w:rsid w:val="00420853"/>
    <w:rsid w:val="00421D5A"/>
    <w:rsid w:val="00421E04"/>
    <w:rsid w:val="004239D8"/>
    <w:rsid w:val="004240D5"/>
    <w:rsid w:val="00424A72"/>
    <w:rsid w:val="00424A97"/>
    <w:rsid w:val="00424D6E"/>
    <w:rsid w:val="004254DF"/>
    <w:rsid w:val="004254EE"/>
    <w:rsid w:val="00427387"/>
    <w:rsid w:val="004300DC"/>
    <w:rsid w:val="00430452"/>
    <w:rsid w:val="00430AD8"/>
    <w:rsid w:val="00431E35"/>
    <w:rsid w:val="00432C2C"/>
    <w:rsid w:val="00432D00"/>
    <w:rsid w:val="00433489"/>
    <w:rsid w:val="00433F23"/>
    <w:rsid w:val="004351C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00CE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666B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10FD"/>
    <w:rsid w:val="004B2890"/>
    <w:rsid w:val="004B36BF"/>
    <w:rsid w:val="004B37FF"/>
    <w:rsid w:val="004B38E1"/>
    <w:rsid w:val="004B3FBF"/>
    <w:rsid w:val="004B461B"/>
    <w:rsid w:val="004B4C96"/>
    <w:rsid w:val="004B6B7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C2E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2F23"/>
    <w:rsid w:val="0050322A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A65"/>
    <w:rsid w:val="00526BC4"/>
    <w:rsid w:val="00526FD1"/>
    <w:rsid w:val="00527339"/>
    <w:rsid w:val="00527FA8"/>
    <w:rsid w:val="005301A2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29A0"/>
    <w:rsid w:val="005434F9"/>
    <w:rsid w:val="0054367D"/>
    <w:rsid w:val="005436CD"/>
    <w:rsid w:val="00544D62"/>
    <w:rsid w:val="00546884"/>
    <w:rsid w:val="0055167A"/>
    <w:rsid w:val="00553AF5"/>
    <w:rsid w:val="0055571B"/>
    <w:rsid w:val="00555F2F"/>
    <w:rsid w:val="00561E3D"/>
    <w:rsid w:val="00567B39"/>
    <w:rsid w:val="00572EBD"/>
    <w:rsid w:val="005742D7"/>
    <w:rsid w:val="005744E6"/>
    <w:rsid w:val="0057498B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8FB"/>
    <w:rsid w:val="005C6F29"/>
    <w:rsid w:val="005C70AD"/>
    <w:rsid w:val="005C7D83"/>
    <w:rsid w:val="005D0C3F"/>
    <w:rsid w:val="005D0C6E"/>
    <w:rsid w:val="005D0EB6"/>
    <w:rsid w:val="005D1475"/>
    <w:rsid w:val="005D2178"/>
    <w:rsid w:val="005D264E"/>
    <w:rsid w:val="005D2F66"/>
    <w:rsid w:val="005D307E"/>
    <w:rsid w:val="005D3C4F"/>
    <w:rsid w:val="005D3F6F"/>
    <w:rsid w:val="005D46FD"/>
    <w:rsid w:val="005D509F"/>
    <w:rsid w:val="005D545E"/>
    <w:rsid w:val="005D547F"/>
    <w:rsid w:val="005D5BE7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297E"/>
    <w:rsid w:val="00603253"/>
    <w:rsid w:val="006040D6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477E"/>
    <w:rsid w:val="00640F56"/>
    <w:rsid w:val="00641D77"/>
    <w:rsid w:val="00642A83"/>
    <w:rsid w:val="00643083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49E7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84F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1DD6"/>
    <w:rsid w:val="006B2332"/>
    <w:rsid w:val="006B2B5D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32DE"/>
    <w:rsid w:val="006C4640"/>
    <w:rsid w:val="006C4BE8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C2F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EC6"/>
    <w:rsid w:val="006E270A"/>
    <w:rsid w:val="006E44F9"/>
    <w:rsid w:val="006E5428"/>
    <w:rsid w:val="006E6697"/>
    <w:rsid w:val="006E6A76"/>
    <w:rsid w:val="006F199F"/>
    <w:rsid w:val="006F1D35"/>
    <w:rsid w:val="006F204A"/>
    <w:rsid w:val="006F3292"/>
    <w:rsid w:val="006F44E5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6011"/>
    <w:rsid w:val="00707224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32EEB"/>
    <w:rsid w:val="00735463"/>
    <w:rsid w:val="00736A60"/>
    <w:rsid w:val="00737F4D"/>
    <w:rsid w:val="00741392"/>
    <w:rsid w:val="00741A81"/>
    <w:rsid w:val="00741B82"/>
    <w:rsid w:val="00743A42"/>
    <w:rsid w:val="00744138"/>
    <w:rsid w:val="00746D48"/>
    <w:rsid w:val="00750E72"/>
    <w:rsid w:val="00753A41"/>
    <w:rsid w:val="0075535D"/>
    <w:rsid w:val="00755AD7"/>
    <w:rsid w:val="00755E44"/>
    <w:rsid w:val="00756864"/>
    <w:rsid w:val="00760CE8"/>
    <w:rsid w:val="00761697"/>
    <w:rsid w:val="007625EC"/>
    <w:rsid w:val="007647EE"/>
    <w:rsid w:val="007658A6"/>
    <w:rsid w:val="00765BAE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8780B"/>
    <w:rsid w:val="007901FD"/>
    <w:rsid w:val="007902B1"/>
    <w:rsid w:val="0079068D"/>
    <w:rsid w:val="0079133C"/>
    <w:rsid w:val="00791704"/>
    <w:rsid w:val="007917C7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71D"/>
    <w:rsid w:val="007B05DF"/>
    <w:rsid w:val="007B299C"/>
    <w:rsid w:val="007B2A97"/>
    <w:rsid w:val="007B3ED7"/>
    <w:rsid w:val="007B49B4"/>
    <w:rsid w:val="007B6146"/>
    <w:rsid w:val="007C0AB8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32F2"/>
    <w:rsid w:val="007E393B"/>
    <w:rsid w:val="007E42C7"/>
    <w:rsid w:val="007E4685"/>
    <w:rsid w:val="007E57D0"/>
    <w:rsid w:val="007E63F4"/>
    <w:rsid w:val="007E721D"/>
    <w:rsid w:val="007E7E79"/>
    <w:rsid w:val="007E7FB0"/>
    <w:rsid w:val="007F0D2B"/>
    <w:rsid w:val="007F3748"/>
    <w:rsid w:val="007F400E"/>
    <w:rsid w:val="007F50F1"/>
    <w:rsid w:val="007F6B47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099"/>
    <w:rsid w:val="008075E9"/>
    <w:rsid w:val="00807B70"/>
    <w:rsid w:val="0081007A"/>
    <w:rsid w:val="00810FF3"/>
    <w:rsid w:val="00811116"/>
    <w:rsid w:val="00812A05"/>
    <w:rsid w:val="00812B7C"/>
    <w:rsid w:val="0081344F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2D43"/>
    <w:rsid w:val="0083376A"/>
    <w:rsid w:val="00833D68"/>
    <w:rsid w:val="00833EE5"/>
    <w:rsid w:val="00833F5E"/>
    <w:rsid w:val="00835CD4"/>
    <w:rsid w:val="0083669C"/>
    <w:rsid w:val="008371F9"/>
    <w:rsid w:val="00837E33"/>
    <w:rsid w:val="00840022"/>
    <w:rsid w:val="00841C27"/>
    <w:rsid w:val="00842316"/>
    <w:rsid w:val="0084354B"/>
    <w:rsid w:val="00843705"/>
    <w:rsid w:val="008446DE"/>
    <w:rsid w:val="00845257"/>
    <w:rsid w:val="0084639D"/>
    <w:rsid w:val="0085153B"/>
    <w:rsid w:val="00852FCA"/>
    <w:rsid w:val="008540CB"/>
    <w:rsid w:val="008550B6"/>
    <w:rsid w:val="00860184"/>
    <w:rsid w:val="00860ECC"/>
    <w:rsid w:val="00861ED9"/>
    <w:rsid w:val="0086401C"/>
    <w:rsid w:val="008640F9"/>
    <w:rsid w:val="0086481F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494"/>
    <w:rsid w:val="008835D0"/>
    <w:rsid w:val="00884784"/>
    <w:rsid w:val="00884FE0"/>
    <w:rsid w:val="008876A1"/>
    <w:rsid w:val="00887F00"/>
    <w:rsid w:val="008903AE"/>
    <w:rsid w:val="008910C4"/>
    <w:rsid w:val="00891393"/>
    <w:rsid w:val="00891EC2"/>
    <w:rsid w:val="00892EF8"/>
    <w:rsid w:val="00893197"/>
    <w:rsid w:val="00895684"/>
    <w:rsid w:val="00895A0D"/>
    <w:rsid w:val="00895E5D"/>
    <w:rsid w:val="008A026C"/>
    <w:rsid w:val="008A0FFB"/>
    <w:rsid w:val="008A214E"/>
    <w:rsid w:val="008A3312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987"/>
    <w:rsid w:val="008B6030"/>
    <w:rsid w:val="008B7A5C"/>
    <w:rsid w:val="008C2E8B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4ED"/>
    <w:rsid w:val="008E25C1"/>
    <w:rsid w:val="008E3305"/>
    <w:rsid w:val="008E59AA"/>
    <w:rsid w:val="008E686B"/>
    <w:rsid w:val="008F2B67"/>
    <w:rsid w:val="008F2C09"/>
    <w:rsid w:val="008F301F"/>
    <w:rsid w:val="008F3F16"/>
    <w:rsid w:val="008F55A4"/>
    <w:rsid w:val="008F6B64"/>
    <w:rsid w:val="00900035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5740"/>
    <w:rsid w:val="00946733"/>
    <w:rsid w:val="00947445"/>
    <w:rsid w:val="009502CE"/>
    <w:rsid w:val="00950716"/>
    <w:rsid w:val="0095220B"/>
    <w:rsid w:val="00952316"/>
    <w:rsid w:val="00952B7C"/>
    <w:rsid w:val="009538F2"/>
    <w:rsid w:val="00954215"/>
    <w:rsid w:val="00954A84"/>
    <w:rsid w:val="009564A8"/>
    <w:rsid w:val="0096225A"/>
    <w:rsid w:val="00963361"/>
    <w:rsid w:val="00964872"/>
    <w:rsid w:val="00967D6D"/>
    <w:rsid w:val="00967E0A"/>
    <w:rsid w:val="00970230"/>
    <w:rsid w:val="00970B2B"/>
    <w:rsid w:val="00971484"/>
    <w:rsid w:val="0097261C"/>
    <w:rsid w:val="00972D70"/>
    <w:rsid w:val="00972EC7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2D3D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E1A"/>
    <w:rsid w:val="009A5FD2"/>
    <w:rsid w:val="009B0AB2"/>
    <w:rsid w:val="009B245D"/>
    <w:rsid w:val="009B40B4"/>
    <w:rsid w:val="009B4837"/>
    <w:rsid w:val="009B6B2B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6EE2"/>
    <w:rsid w:val="009C7129"/>
    <w:rsid w:val="009C7F5A"/>
    <w:rsid w:val="009D0202"/>
    <w:rsid w:val="009D0769"/>
    <w:rsid w:val="009D0E74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136C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86A"/>
    <w:rsid w:val="00A37A66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0B6B"/>
    <w:rsid w:val="00A51FC5"/>
    <w:rsid w:val="00A54FCB"/>
    <w:rsid w:val="00A5697C"/>
    <w:rsid w:val="00A60EBA"/>
    <w:rsid w:val="00A61895"/>
    <w:rsid w:val="00A6241F"/>
    <w:rsid w:val="00A62ADF"/>
    <w:rsid w:val="00A62E71"/>
    <w:rsid w:val="00A63D53"/>
    <w:rsid w:val="00A6611E"/>
    <w:rsid w:val="00A67471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41C2"/>
    <w:rsid w:val="00A7437D"/>
    <w:rsid w:val="00A74895"/>
    <w:rsid w:val="00A769DE"/>
    <w:rsid w:val="00A77054"/>
    <w:rsid w:val="00A779E7"/>
    <w:rsid w:val="00A812D4"/>
    <w:rsid w:val="00A81B80"/>
    <w:rsid w:val="00A81B88"/>
    <w:rsid w:val="00A82675"/>
    <w:rsid w:val="00A83127"/>
    <w:rsid w:val="00A846F3"/>
    <w:rsid w:val="00A84E99"/>
    <w:rsid w:val="00A859A5"/>
    <w:rsid w:val="00A86177"/>
    <w:rsid w:val="00A863CA"/>
    <w:rsid w:val="00A87981"/>
    <w:rsid w:val="00A90775"/>
    <w:rsid w:val="00A90920"/>
    <w:rsid w:val="00A930E9"/>
    <w:rsid w:val="00A9571F"/>
    <w:rsid w:val="00A96360"/>
    <w:rsid w:val="00A9778A"/>
    <w:rsid w:val="00A97967"/>
    <w:rsid w:val="00AA1071"/>
    <w:rsid w:val="00AA10C3"/>
    <w:rsid w:val="00AA26F6"/>
    <w:rsid w:val="00AA431D"/>
    <w:rsid w:val="00AA5935"/>
    <w:rsid w:val="00AA6847"/>
    <w:rsid w:val="00AA729C"/>
    <w:rsid w:val="00AA7B10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5C6"/>
    <w:rsid w:val="00AC10FE"/>
    <w:rsid w:val="00AC2ABA"/>
    <w:rsid w:val="00AC3BC2"/>
    <w:rsid w:val="00AC4104"/>
    <w:rsid w:val="00AC414E"/>
    <w:rsid w:val="00AC5BE3"/>
    <w:rsid w:val="00AC5F5B"/>
    <w:rsid w:val="00AC640A"/>
    <w:rsid w:val="00AC64FD"/>
    <w:rsid w:val="00AC7214"/>
    <w:rsid w:val="00AD058B"/>
    <w:rsid w:val="00AD0FDB"/>
    <w:rsid w:val="00AD22E6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47D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458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315C"/>
    <w:rsid w:val="00B4397A"/>
    <w:rsid w:val="00B44633"/>
    <w:rsid w:val="00B450F1"/>
    <w:rsid w:val="00B47F16"/>
    <w:rsid w:val="00B51895"/>
    <w:rsid w:val="00B52B53"/>
    <w:rsid w:val="00B52F26"/>
    <w:rsid w:val="00B53B8E"/>
    <w:rsid w:val="00B53D62"/>
    <w:rsid w:val="00B57517"/>
    <w:rsid w:val="00B606EE"/>
    <w:rsid w:val="00B608DB"/>
    <w:rsid w:val="00B60F97"/>
    <w:rsid w:val="00B60FD5"/>
    <w:rsid w:val="00B61D56"/>
    <w:rsid w:val="00B6315E"/>
    <w:rsid w:val="00B632F1"/>
    <w:rsid w:val="00B64CB1"/>
    <w:rsid w:val="00B656A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21C3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2FF4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0726"/>
    <w:rsid w:val="00C01C4E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2C0C"/>
    <w:rsid w:val="00C13585"/>
    <w:rsid w:val="00C13880"/>
    <w:rsid w:val="00C144F4"/>
    <w:rsid w:val="00C15D3B"/>
    <w:rsid w:val="00C16203"/>
    <w:rsid w:val="00C17342"/>
    <w:rsid w:val="00C20C78"/>
    <w:rsid w:val="00C215D0"/>
    <w:rsid w:val="00C232F1"/>
    <w:rsid w:val="00C23C48"/>
    <w:rsid w:val="00C2617F"/>
    <w:rsid w:val="00C26A7B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2C3"/>
    <w:rsid w:val="00C43D0A"/>
    <w:rsid w:val="00C44D97"/>
    <w:rsid w:val="00C44FE3"/>
    <w:rsid w:val="00C50936"/>
    <w:rsid w:val="00C50CC2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1FBC"/>
    <w:rsid w:val="00C9223F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6F7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1480"/>
    <w:rsid w:val="00CE15E6"/>
    <w:rsid w:val="00CE1D79"/>
    <w:rsid w:val="00CE29FE"/>
    <w:rsid w:val="00CE4166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37A6"/>
    <w:rsid w:val="00D043BC"/>
    <w:rsid w:val="00D05563"/>
    <w:rsid w:val="00D07218"/>
    <w:rsid w:val="00D07B94"/>
    <w:rsid w:val="00D07EC2"/>
    <w:rsid w:val="00D10778"/>
    <w:rsid w:val="00D10FA1"/>
    <w:rsid w:val="00D11A6D"/>
    <w:rsid w:val="00D132E0"/>
    <w:rsid w:val="00D1332D"/>
    <w:rsid w:val="00D133AD"/>
    <w:rsid w:val="00D14738"/>
    <w:rsid w:val="00D147F5"/>
    <w:rsid w:val="00D14C5D"/>
    <w:rsid w:val="00D154BD"/>
    <w:rsid w:val="00D15929"/>
    <w:rsid w:val="00D15A2A"/>
    <w:rsid w:val="00D16868"/>
    <w:rsid w:val="00D1687B"/>
    <w:rsid w:val="00D21563"/>
    <w:rsid w:val="00D2719E"/>
    <w:rsid w:val="00D27B3D"/>
    <w:rsid w:val="00D3051E"/>
    <w:rsid w:val="00D312CE"/>
    <w:rsid w:val="00D32097"/>
    <w:rsid w:val="00D33009"/>
    <w:rsid w:val="00D33ACD"/>
    <w:rsid w:val="00D348E4"/>
    <w:rsid w:val="00D34C4C"/>
    <w:rsid w:val="00D35F40"/>
    <w:rsid w:val="00D40DAB"/>
    <w:rsid w:val="00D4171F"/>
    <w:rsid w:val="00D41C47"/>
    <w:rsid w:val="00D43205"/>
    <w:rsid w:val="00D4531F"/>
    <w:rsid w:val="00D45FF2"/>
    <w:rsid w:val="00D51146"/>
    <w:rsid w:val="00D5147E"/>
    <w:rsid w:val="00D51890"/>
    <w:rsid w:val="00D51B09"/>
    <w:rsid w:val="00D52477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972ED"/>
    <w:rsid w:val="00DA19A1"/>
    <w:rsid w:val="00DA40E9"/>
    <w:rsid w:val="00DA5AF1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052F"/>
    <w:rsid w:val="00DE135B"/>
    <w:rsid w:val="00DE31AD"/>
    <w:rsid w:val="00DE4CAC"/>
    <w:rsid w:val="00DE6BCA"/>
    <w:rsid w:val="00DE714A"/>
    <w:rsid w:val="00DF1019"/>
    <w:rsid w:val="00DF27CE"/>
    <w:rsid w:val="00DF2CB8"/>
    <w:rsid w:val="00DF368C"/>
    <w:rsid w:val="00DF3A66"/>
    <w:rsid w:val="00DF3E32"/>
    <w:rsid w:val="00DF429B"/>
    <w:rsid w:val="00DF549F"/>
    <w:rsid w:val="00DF564F"/>
    <w:rsid w:val="00DF68B2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1CE"/>
    <w:rsid w:val="00E23589"/>
    <w:rsid w:val="00E237D1"/>
    <w:rsid w:val="00E2410B"/>
    <w:rsid w:val="00E244B4"/>
    <w:rsid w:val="00E2520C"/>
    <w:rsid w:val="00E254F3"/>
    <w:rsid w:val="00E2793E"/>
    <w:rsid w:val="00E32EDF"/>
    <w:rsid w:val="00E3384C"/>
    <w:rsid w:val="00E33B51"/>
    <w:rsid w:val="00E34E86"/>
    <w:rsid w:val="00E35478"/>
    <w:rsid w:val="00E359CA"/>
    <w:rsid w:val="00E3673D"/>
    <w:rsid w:val="00E40768"/>
    <w:rsid w:val="00E41835"/>
    <w:rsid w:val="00E42776"/>
    <w:rsid w:val="00E4454D"/>
    <w:rsid w:val="00E44835"/>
    <w:rsid w:val="00E45723"/>
    <w:rsid w:val="00E45DD4"/>
    <w:rsid w:val="00E46774"/>
    <w:rsid w:val="00E469D9"/>
    <w:rsid w:val="00E479B9"/>
    <w:rsid w:val="00E50821"/>
    <w:rsid w:val="00E50AEC"/>
    <w:rsid w:val="00E5332E"/>
    <w:rsid w:val="00E53541"/>
    <w:rsid w:val="00E53604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3808"/>
    <w:rsid w:val="00E754E4"/>
    <w:rsid w:val="00E76B97"/>
    <w:rsid w:val="00E777F8"/>
    <w:rsid w:val="00E80C51"/>
    <w:rsid w:val="00E815C7"/>
    <w:rsid w:val="00E84296"/>
    <w:rsid w:val="00E84B03"/>
    <w:rsid w:val="00E84BA9"/>
    <w:rsid w:val="00E85C3A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1F0E"/>
    <w:rsid w:val="00EB25B1"/>
    <w:rsid w:val="00EB3120"/>
    <w:rsid w:val="00EB43B7"/>
    <w:rsid w:val="00EB45BB"/>
    <w:rsid w:val="00EB512D"/>
    <w:rsid w:val="00EB7E2D"/>
    <w:rsid w:val="00EC03BE"/>
    <w:rsid w:val="00EC1B2D"/>
    <w:rsid w:val="00EC1D3E"/>
    <w:rsid w:val="00EC2EDE"/>
    <w:rsid w:val="00EC427A"/>
    <w:rsid w:val="00EC4AF7"/>
    <w:rsid w:val="00EC5CE7"/>
    <w:rsid w:val="00EC6877"/>
    <w:rsid w:val="00ED00DE"/>
    <w:rsid w:val="00ED0268"/>
    <w:rsid w:val="00ED048F"/>
    <w:rsid w:val="00ED0A8D"/>
    <w:rsid w:val="00ED2850"/>
    <w:rsid w:val="00ED66F9"/>
    <w:rsid w:val="00ED74A3"/>
    <w:rsid w:val="00EE082D"/>
    <w:rsid w:val="00EE08C5"/>
    <w:rsid w:val="00EE0FE5"/>
    <w:rsid w:val="00EE12C1"/>
    <w:rsid w:val="00EE2AC1"/>
    <w:rsid w:val="00EE442B"/>
    <w:rsid w:val="00EE4827"/>
    <w:rsid w:val="00EE725A"/>
    <w:rsid w:val="00EE79F1"/>
    <w:rsid w:val="00EE7ACE"/>
    <w:rsid w:val="00EE7EBA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4133"/>
    <w:rsid w:val="00F45E58"/>
    <w:rsid w:val="00F46173"/>
    <w:rsid w:val="00F47ABE"/>
    <w:rsid w:val="00F50EF1"/>
    <w:rsid w:val="00F538FA"/>
    <w:rsid w:val="00F5478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4531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610"/>
    <w:rsid w:val="00F82A79"/>
    <w:rsid w:val="00F8318B"/>
    <w:rsid w:val="00F83B73"/>
    <w:rsid w:val="00F83C00"/>
    <w:rsid w:val="00F84184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2D4D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5C15"/>
    <w:rsid w:val="00FE5E3A"/>
    <w:rsid w:val="00FE659A"/>
    <w:rsid w:val="00FF17D5"/>
    <w:rsid w:val="00FF1B8B"/>
    <w:rsid w:val="00FF1FA5"/>
    <w:rsid w:val="00FF2B38"/>
    <w:rsid w:val="00FF2E0E"/>
    <w:rsid w:val="00FF385F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F77BDF93-91BF-44FB-8D79-9BC03B08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2952DA"/>
    <w:pPr>
      <w:spacing w:before="0" w:after="100" w:afterAutospacing="1" w:line="264" w:lineRule="auto"/>
      <w:ind w:firstLineChars="0" w:firstLine="360"/>
    </w:pPr>
    <w:rPr>
      <w:sz w:val="22"/>
      <w:lang w:eastAsia="en-US"/>
    </w:rPr>
  </w:style>
  <w:style w:type="character" w:customStyle="1" w:styleId="Style1Char">
    <w:name w:val="Style1 Char"/>
    <w:basedOn w:val="maintextChar"/>
    <w:link w:val="Style1"/>
    <w:rsid w:val="002952DA"/>
    <w:rPr>
      <w:rFonts w:eastAsia="Malgun Gothic" w:cs="Batang"/>
      <w:sz w:val="22"/>
      <w:lang w:val="en-GB" w:eastAsia="en-US"/>
    </w:rPr>
  </w:style>
  <w:style w:type="paragraph" w:customStyle="1" w:styleId="LGTdoc">
    <w:name w:val="LGTdoc_본문"/>
    <w:basedOn w:val="Normal"/>
    <w:rsid w:val="00A54FC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styleId="Strong">
    <w:name w:val="Strong"/>
    <w:basedOn w:val="DefaultParagraphFont"/>
    <w:qFormat/>
    <w:rsid w:val="00900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5660E-3A8B-4ECF-B193-0BF32F2C0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Li Guo</cp:lastModifiedBy>
  <cp:revision>6</cp:revision>
  <cp:lastPrinted>2012-03-15T10:36:00Z</cp:lastPrinted>
  <dcterms:created xsi:type="dcterms:W3CDTF">2017-11-15T19:51:00Z</dcterms:created>
  <dcterms:modified xsi:type="dcterms:W3CDTF">2017-11-17T20:01:00Z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C:\Users\samsung\AppData\Local\Microsoft\Windows\INetCache\Content.Outlook\QSL8OW98\R1-17xxx simulation_results.docx</vt:lpwstr>
  </property>
</Properties>
</file>