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FF68A" w14:textId="156084FD" w:rsidR="00C354DC" w:rsidRPr="00C354DC" w:rsidRDefault="00C354DC" w:rsidP="00C354DC">
      <w:pPr>
        <w:pStyle w:val="3GPPHeader"/>
        <w:rPr>
          <w:bCs/>
          <w:sz w:val="22"/>
        </w:rPr>
      </w:pPr>
      <w:r w:rsidRPr="00C354DC">
        <w:rPr>
          <w:bCs/>
          <w:sz w:val="22"/>
        </w:rPr>
        <w:t>3</w:t>
      </w:r>
      <w:r>
        <w:rPr>
          <w:bCs/>
          <w:sz w:val="22"/>
        </w:rPr>
        <w:t xml:space="preserve">GPP TSG RAN WG1 Meeting 90bis </w:t>
      </w:r>
      <w:r>
        <w:rPr>
          <w:bCs/>
          <w:sz w:val="22"/>
        </w:rPr>
        <w:tab/>
      </w:r>
      <w:r w:rsidR="00D1541D" w:rsidRPr="00D1541D">
        <w:rPr>
          <w:bCs/>
          <w:sz w:val="22"/>
        </w:rPr>
        <w:t>R1-1718685</w:t>
      </w:r>
    </w:p>
    <w:p w14:paraId="0CFB86FD" w14:textId="77777777" w:rsidR="00C354DC" w:rsidRDefault="00C354DC" w:rsidP="00C354DC">
      <w:pPr>
        <w:pStyle w:val="3GPPHeader"/>
        <w:rPr>
          <w:bCs/>
          <w:sz w:val="22"/>
        </w:rPr>
      </w:pPr>
      <w:r w:rsidRPr="00C354DC">
        <w:rPr>
          <w:bCs/>
          <w:sz w:val="22"/>
        </w:rPr>
        <w:t>Prague, CZ, 9th – 13th, October 2017</w:t>
      </w:r>
    </w:p>
    <w:p w14:paraId="606D9DC9" w14:textId="00269E20"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C354DC">
        <w:rPr>
          <w:sz w:val="22"/>
          <w:szCs w:val="22"/>
          <w:lang w:val="en-US"/>
        </w:rPr>
        <w:t>7.3.</w:t>
      </w:r>
      <w:r w:rsidR="00C034F1">
        <w:rPr>
          <w:sz w:val="22"/>
          <w:szCs w:val="22"/>
          <w:lang w:val="en-US"/>
        </w:rPr>
        <w:t>2</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3F13CD2D"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C354DC">
        <w:rPr>
          <w:sz w:val="22"/>
          <w:szCs w:val="22"/>
          <w:lang w:val="en-US"/>
        </w:rPr>
        <w:t xml:space="preserve">Open issues related to RRC parameters for </w:t>
      </w:r>
      <w:r w:rsidR="00C034F1">
        <w:rPr>
          <w:sz w:val="22"/>
          <w:szCs w:val="22"/>
          <w:lang w:val="en-US"/>
        </w:rPr>
        <w:t>U</w:t>
      </w:r>
      <w:r w:rsidR="00C354DC">
        <w:rPr>
          <w:sz w:val="22"/>
          <w:szCs w:val="22"/>
          <w:lang w:val="en-US"/>
        </w:rPr>
        <w:t>L control channel</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2D7CBA3A" w:rsidR="00D538F4" w:rsidRDefault="00C354DC" w:rsidP="00D538F4">
      <w:pPr>
        <w:pStyle w:val="BodyText"/>
        <w:rPr>
          <w:lang w:val="en-US"/>
        </w:rPr>
      </w:pPr>
      <w:r>
        <w:rPr>
          <w:lang w:val="en-US"/>
        </w:rPr>
        <w:t xml:space="preserve">In this contribution, we aim to highlight the open issues related to RRC parameters that would need to be finalized during this meeting. The contribution focused on the </w:t>
      </w:r>
      <w:r w:rsidR="00C034F1">
        <w:rPr>
          <w:lang w:val="en-US"/>
        </w:rPr>
        <w:t>U</w:t>
      </w:r>
      <w:r>
        <w:rPr>
          <w:lang w:val="en-US"/>
        </w:rPr>
        <w:t>L control channel design</w:t>
      </w:r>
    </w:p>
    <w:p w14:paraId="2DFAC73A" w14:textId="249B16C3" w:rsidR="00EA60F2" w:rsidRDefault="00C354DC" w:rsidP="000B0589">
      <w:pPr>
        <w:pStyle w:val="Heading1"/>
        <w:rPr>
          <w:lang w:val="en-US"/>
        </w:rPr>
      </w:pPr>
      <w:r>
        <w:rPr>
          <w:lang w:val="en-US"/>
        </w:rPr>
        <w:t>Discussion</w:t>
      </w:r>
    </w:p>
    <w:p w14:paraId="6454C1EB" w14:textId="587C814E" w:rsidR="003E3B11" w:rsidRDefault="00C354DC" w:rsidP="00C354DC">
      <w:pPr>
        <w:pStyle w:val="BodyText"/>
        <w:spacing w:after="240"/>
      </w:pPr>
      <w:r>
        <w:t xml:space="preserve">For each of the topics within the </w:t>
      </w:r>
      <w:r w:rsidR="00C034F1">
        <w:t>U</w:t>
      </w:r>
      <w:r>
        <w:t xml:space="preserve">L control channel design we try to highlight the open issues to </w:t>
      </w:r>
      <w:r w:rsidR="00C034F1">
        <w:t>facilitate</w:t>
      </w:r>
      <w:r>
        <w:t xml:space="preserve"> a better targeted discussion during RAN1 #90bis.</w:t>
      </w:r>
    </w:p>
    <w:p w14:paraId="7076B26E" w14:textId="1043C54D" w:rsidR="00C034F1" w:rsidRDefault="00C034F1" w:rsidP="008A5EF9">
      <w:pPr>
        <w:pStyle w:val="Heading2"/>
      </w:pPr>
      <w:r>
        <w:t>PUCCH structure in short-duration</w:t>
      </w:r>
    </w:p>
    <w:p w14:paraId="527EFD28" w14:textId="3F37A4D7" w:rsidR="008A5EF9" w:rsidRDefault="008A5EF9" w:rsidP="00C034F1">
      <w:pPr>
        <w:pStyle w:val="BodyText"/>
        <w:spacing w:after="240"/>
      </w:pPr>
      <w:r>
        <w:t>For the short PUCCH duration the mechanism to determine the PUCCH resource needs to be defined for the two short PUCCH designs. Further specifically the solution for how to multiplex SR and HARQ-ACK would need to be defined.</w:t>
      </w:r>
    </w:p>
    <w:p w14:paraId="54BB965C" w14:textId="54F00D39" w:rsidR="008A5EF9" w:rsidRPr="008A5EF9" w:rsidRDefault="008A5EF9" w:rsidP="00C034F1">
      <w:pPr>
        <w:pStyle w:val="BodyText"/>
        <w:spacing w:after="240"/>
        <w:rPr>
          <w:b/>
        </w:rPr>
      </w:pPr>
      <w:r w:rsidRPr="008A5EF9">
        <w:rPr>
          <w:b/>
        </w:rPr>
        <w:t>Proposal</w:t>
      </w:r>
    </w:p>
    <w:p w14:paraId="7879F3C3" w14:textId="7CB9B32A" w:rsidR="008A5EF9" w:rsidRDefault="008A5EF9" w:rsidP="008A5EF9">
      <w:pPr>
        <w:pStyle w:val="BodyText"/>
        <w:numPr>
          <w:ilvl w:val="0"/>
          <w:numId w:val="17"/>
        </w:numPr>
        <w:spacing w:after="240"/>
        <w:rPr>
          <w:lang w:val="en-US"/>
        </w:rPr>
      </w:pPr>
      <w:r>
        <w:rPr>
          <w:lang w:val="en-US"/>
        </w:rPr>
        <w:t xml:space="preserve">Conclude on how to determine PUCCH resources in </w:t>
      </w:r>
      <w:r w:rsidR="00F155B1">
        <w:rPr>
          <w:lang w:val="en-US"/>
        </w:rPr>
        <w:t>time/</w:t>
      </w:r>
      <w:r>
        <w:rPr>
          <w:lang w:val="en-US"/>
        </w:rPr>
        <w:t>frequency and code/sequence domain to be used for HARQ-ACK, HARQ-ACK+SR, SR and CSI report for short PUCCH</w:t>
      </w:r>
    </w:p>
    <w:p w14:paraId="53079911" w14:textId="536DF391" w:rsidR="00C034F1" w:rsidRDefault="00C034F1" w:rsidP="008A5EF9">
      <w:pPr>
        <w:pStyle w:val="Heading2"/>
      </w:pPr>
      <w:r>
        <w:t>PUCCH structure in long-duration</w:t>
      </w:r>
    </w:p>
    <w:p w14:paraId="29A3FB14" w14:textId="38A2CAE8" w:rsidR="008A5EF9" w:rsidRDefault="008A5EF9" w:rsidP="008A5EF9">
      <w:pPr>
        <w:pStyle w:val="BodyText"/>
        <w:spacing w:after="240"/>
      </w:pPr>
      <w:r>
        <w:t xml:space="preserve">For the </w:t>
      </w:r>
      <w:r w:rsidR="00B74C55">
        <w:t>long</w:t>
      </w:r>
      <w:r>
        <w:t xml:space="preserve"> PUCCH duration the mechanism to determine the PUCCH resource needs to be defined for the two </w:t>
      </w:r>
      <w:r w:rsidR="00B74C55">
        <w:t>long</w:t>
      </w:r>
      <w:r>
        <w:t xml:space="preserve"> PUCCH designs. Further specifically the solution for how to multiplex SR and HARQ-ACK would need to be defined.</w:t>
      </w:r>
    </w:p>
    <w:p w14:paraId="41168495" w14:textId="275014FB" w:rsidR="008A5EF9" w:rsidRDefault="008A5EF9" w:rsidP="008A5EF9">
      <w:pPr>
        <w:pStyle w:val="BodyText"/>
        <w:spacing w:after="240"/>
      </w:pPr>
      <w:r>
        <w:t>For long PUCCH duration in addition the any signalling aspects to support PUCCH transmission for multiple slots needs to be defined.</w:t>
      </w:r>
    </w:p>
    <w:p w14:paraId="13DA61D9" w14:textId="77777777" w:rsidR="008A5EF9" w:rsidRPr="008A5EF9" w:rsidRDefault="008A5EF9" w:rsidP="008A5EF9">
      <w:pPr>
        <w:pStyle w:val="BodyText"/>
        <w:spacing w:after="240"/>
        <w:rPr>
          <w:b/>
        </w:rPr>
      </w:pPr>
      <w:r w:rsidRPr="008A5EF9">
        <w:rPr>
          <w:b/>
        </w:rPr>
        <w:t>Proposal</w:t>
      </w:r>
    </w:p>
    <w:p w14:paraId="3BE88B30" w14:textId="25FCE18E" w:rsidR="008A5EF9" w:rsidRDefault="008A5EF9" w:rsidP="008A5EF9">
      <w:pPr>
        <w:pStyle w:val="BodyText"/>
        <w:numPr>
          <w:ilvl w:val="0"/>
          <w:numId w:val="17"/>
        </w:numPr>
        <w:spacing w:after="240"/>
        <w:rPr>
          <w:lang w:val="en-US"/>
        </w:rPr>
      </w:pPr>
      <w:r>
        <w:rPr>
          <w:lang w:val="en-US"/>
        </w:rPr>
        <w:t xml:space="preserve">Conclude on how to determine PUCCH resources in </w:t>
      </w:r>
      <w:r w:rsidR="00F155B1">
        <w:rPr>
          <w:lang w:val="en-US"/>
        </w:rPr>
        <w:t>time/</w:t>
      </w:r>
      <w:r>
        <w:rPr>
          <w:lang w:val="en-US"/>
        </w:rPr>
        <w:t xml:space="preserve">frequency and code/sequence domain to be used for HARQ-ACK, HARQ-ACK+SR, SR and CSI report for </w:t>
      </w:r>
      <w:r w:rsidR="00B74C55">
        <w:rPr>
          <w:lang w:val="en-US"/>
        </w:rPr>
        <w:t>long</w:t>
      </w:r>
      <w:r>
        <w:rPr>
          <w:lang w:val="en-US"/>
        </w:rPr>
        <w:t xml:space="preserve"> PUCCH</w:t>
      </w:r>
    </w:p>
    <w:p w14:paraId="5286884D" w14:textId="374D9518" w:rsidR="008A5EF9" w:rsidRDefault="008A5EF9" w:rsidP="008A5EF9">
      <w:pPr>
        <w:pStyle w:val="BodyText"/>
        <w:numPr>
          <w:ilvl w:val="0"/>
          <w:numId w:val="17"/>
        </w:numPr>
        <w:spacing w:after="240"/>
        <w:rPr>
          <w:lang w:val="en-US"/>
        </w:rPr>
      </w:pPr>
      <w:r>
        <w:rPr>
          <w:lang w:val="en-US"/>
        </w:rPr>
        <w:t>Concluding on aspect needed to signal support for multiple slot transmissions for long PUCCH</w:t>
      </w:r>
    </w:p>
    <w:p w14:paraId="26BC5855" w14:textId="0E19159A" w:rsidR="00C034F1" w:rsidRDefault="00C034F1" w:rsidP="00A43150">
      <w:pPr>
        <w:pStyle w:val="Heading2"/>
      </w:pPr>
      <w:r>
        <w:t>UCI multiplexing</w:t>
      </w:r>
    </w:p>
    <w:p w14:paraId="22957C23" w14:textId="5373E283" w:rsidR="00C034F1" w:rsidRPr="00A43150" w:rsidRDefault="00C034F1" w:rsidP="00C034F1">
      <w:pPr>
        <w:pStyle w:val="BodyText"/>
        <w:spacing w:after="240"/>
        <w:rPr>
          <w:i/>
        </w:rPr>
      </w:pPr>
      <w:r w:rsidRPr="00A43150">
        <w:rPr>
          <w:i/>
        </w:rPr>
        <w:t xml:space="preserve">For both PUSCH with CP-OFDM waveform and PUSCH with DFT-s-OFDM waveform, </w:t>
      </w:r>
      <w:r w:rsidRPr="00AD0264">
        <w:rPr>
          <w:i/>
          <w:strike/>
          <w:color w:val="FF0000"/>
        </w:rPr>
        <w:t>PUCCH-PUSCH multiplexing</w:t>
      </w:r>
      <w:r w:rsidRPr="00A43150">
        <w:rPr>
          <w:i/>
        </w:rPr>
        <w:t>, etc.</w:t>
      </w:r>
    </w:p>
    <w:p w14:paraId="1FC59222" w14:textId="1FA78EAB" w:rsidR="00A43150" w:rsidRDefault="00A43150" w:rsidP="00C034F1">
      <w:pPr>
        <w:pStyle w:val="BodyText"/>
        <w:spacing w:after="240"/>
      </w:pPr>
      <w:r>
        <w:lastRenderedPageBreak/>
        <w:t xml:space="preserve">For UCI multiplexing on PUSCH there would be needed to determine how the switching happens between dynamic and semi-static allocation for the UCI on PUSCH. Further there would be need to determine the number of </w:t>
      </w:r>
      <m:oMath>
        <m:sSub>
          <m:sSubPr>
            <m:ctrlPr>
              <w:rPr>
                <w:rFonts w:ascii="Cambria Math" w:hAnsi="Cambria Math"/>
                <w:sz w:val="16"/>
              </w:rPr>
            </m:ctrlPr>
          </m:sSubPr>
          <m:e>
            <m:r>
              <m:rPr>
                <m:sty m:val="bi"/>
              </m:rPr>
              <w:rPr>
                <w:rFonts w:ascii="Cambria Math" w:hAnsi="Cambria Math"/>
                <w:sz w:val="16"/>
              </w:rPr>
              <m:t>β</m:t>
            </m:r>
          </m:e>
          <m:sub>
            <m:r>
              <m:rPr>
                <m:sty m:val="bi"/>
              </m:rPr>
              <w:rPr>
                <w:rFonts w:ascii="Cambria Math" w:hAnsi="Cambria Math"/>
                <w:sz w:val="16"/>
              </w:rPr>
              <m:t>offset</m:t>
            </m:r>
          </m:sub>
        </m:sSub>
      </m:oMath>
      <w:r>
        <w:t xml:space="preserve"> and the applicable value range they have (and default value).</w:t>
      </w:r>
    </w:p>
    <w:p w14:paraId="626361E1" w14:textId="20907C4B" w:rsidR="00A43150" w:rsidRPr="00A43150" w:rsidRDefault="00A43150" w:rsidP="00C034F1">
      <w:pPr>
        <w:pStyle w:val="BodyText"/>
        <w:spacing w:after="240"/>
        <w:rPr>
          <w:b/>
        </w:rPr>
      </w:pPr>
      <w:r w:rsidRPr="00A43150">
        <w:rPr>
          <w:b/>
        </w:rPr>
        <w:t>Proposal</w:t>
      </w:r>
    </w:p>
    <w:p w14:paraId="61FD1931" w14:textId="26BB6E77" w:rsidR="00A43150" w:rsidRDefault="00A43150" w:rsidP="00A43150">
      <w:pPr>
        <w:pStyle w:val="BodyText"/>
        <w:numPr>
          <w:ilvl w:val="0"/>
          <w:numId w:val="16"/>
        </w:numPr>
        <w:spacing w:after="240"/>
      </w:pPr>
      <w:r>
        <w:t xml:space="preserve">Conclude on the number of  </w:t>
      </w:r>
      <m:oMath>
        <m:sSub>
          <m:sSubPr>
            <m:ctrlPr>
              <w:rPr>
                <w:rFonts w:ascii="Cambria Math" w:hAnsi="Cambria Math"/>
                <w:sz w:val="16"/>
              </w:rPr>
            </m:ctrlPr>
          </m:sSubPr>
          <m:e>
            <m:r>
              <m:rPr>
                <m:sty m:val="bi"/>
              </m:rPr>
              <w:rPr>
                <w:rFonts w:ascii="Cambria Math" w:hAnsi="Cambria Math"/>
                <w:sz w:val="16"/>
              </w:rPr>
              <m:t>β</m:t>
            </m:r>
          </m:e>
          <m:sub>
            <m:r>
              <m:rPr>
                <m:sty m:val="bi"/>
              </m:rPr>
              <w:rPr>
                <w:rFonts w:ascii="Cambria Math" w:hAnsi="Cambria Math"/>
                <w:sz w:val="16"/>
              </w:rPr>
              <m:t>offset</m:t>
            </m:r>
          </m:sub>
        </m:sSub>
      </m:oMath>
      <w:r>
        <w:rPr>
          <w:sz w:val="16"/>
        </w:rPr>
        <w:t xml:space="preserve"> </w:t>
      </w:r>
      <w:r w:rsidRPr="00A43150">
        <w:t>, there corresponding value range and default value</w:t>
      </w:r>
    </w:p>
    <w:p w14:paraId="7F89A13F" w14:textId="6D6F2E28" w:rsidR="00A43150" w:rsidRDefault="00A43150" w:rsidP="00A43150">
      <w:pPr>
        <w:pStyle w:val="BodyText"/>
        <w:numPr>
          <w:ilvl w:val="0"/>
          <w:numId w:val="16"/>
        </w:numPr>
        <w:spacing w:after="240"/>
      </w:pPr>
      <w:r>
        <w:t xml:space="preserve">Conclude on the how dynamic operation function and configuration between dynamic and semi-static operation with </w:t>
      </w:r>
      <m:oMath>
        <m:sSub>
          <m:sSubPr>
            <m:ctrlPr>
              <w:rPr>
                <w:rFonts w:ascii="Cambria Math" w:hAnsi="Cambria Math"/>
                <w:sz w:val="16"/>
              </w:rPr>
            </m:ctrlPr>
          </m:sSubPr>
          <m:e>
            <m:r>
              <m:rPr>
                <m:sty m:val="bi"/>
              </m:rPr>
              <w:rPr>
                <w:rFonts w:ascii="Cambria Math" w:hAnsi="Cambria Math"/>
                <w:sz w:val="16"/>
              </w:rPr>
              <m:t>β</m:t>
            </m:r>
          </m:e>
          <m:sub>
            <m:r>
              <m:rPr>
                <m:sty m:val="bi"/>
              </m:rPr>
              <w:rPr>
                <w:rFonts w:ascii="Cambria Math" w:hAnsi="Cambria Math"/>
                <w:sz w:val="16"/>
              </w:rPr>
              <m:t>offset</m:t>
            </m:r>
          </m:sub>
        </m:sSub>
      </m:oMath>
      <w:r w:rsidRPr="00A43150">
        <w:t>.</w:t>
      </w:r>
    </w:p>
    <w:p w14:paraId="5BC81A96" w14:textId="2D4855EF" w:rsidR="00C034F1" w:rsidRDefault="00C034F1" w:rsidP="00A43150">
      <w:pPr>
        <w:pStyle w:val="Heading2"/>
      </w:pPr>
      <w:r>
        <w:t>Resource allocation for PUCCH</w:t>
      </w:r>
    </w:p>
    <w:p w14:paraId="4B158C7D" w14:textId="5C4F9B70" w:rsidR="00463A11" w:rsidRDefault="00463A11" w:rsidP="00463A11">
      <w:r>
        <w:t xml:space="preserve">For PUCCH resources as such there is as described above a connection to the other agenda points. </w:t>
      </w:r>
      <w:r w:rsidR="00A50464">
        <w:t>The main aspect is to resolve how to allocate the PUCCH resource in general within a slot and within the frequency and code/sequence domain. Specifically, which slot the PUCCH resources are allocated to will need to be handled within the other agenda items for example for periodic CSI reporting, SR and the HARQ-ACK codebook design. Currently</w:t>
      </w:r>
      <w:r w:rsidR="007257E6">
        <w:t>,</w:t>
      </w:r>
      <w:r w:rsidR="00A50464">
        <w:t xml:space="preserve"> there is only a placeholder parameter in place for CSI and AN reporting within this parameter we need to address the </w:t>
      </w:r>
      <w:r w:rsidR="007257E6">
        <w:t>above-mentioned</w:t>
      </w:r>
      <w:r w:rsidR="00A50464">
        <w:t xml:space="preserve"> aspects. </w:t>
      </w:r>
    </w:p>
    <w:p w14:paraId="70EE1297" w14:textId="77777777" w:rsidR="00831AD4" w:rsidRPr="00463A11" w:rsidRDefault="00831AD4" w:rsidP="00463A11"/>
    <w:tbl>
      <w:tblPr>
        <w:tblW w:w="6232" w:type="dxa"/>
        <w:tblCellMar>
          <w:top w:w="15" w:type="dxa"/>
          <w:left w:w="70" w:type="dxa"/>
          <w:bottom w:w="15" w:type="dxa"/>
          <w:right w:w="70" w:type="dxa"/>
        </w:tblCellMar>
        <w:tblLook w:val="04A0" w:firstRow="1" w:lastRow="0" w:firstColumn="1" w:lastColumn="0" w:noHBand="0" w:noVBand="1"/>
      </w:tblPr>
      <w:tblGrid>
        <w:gridCol w:w="1555"/>
        <w:gridCol w:w="1701"/>
        <w:gridCol w:w="1417"/>
        <w:gridCol w:w="1559"/>
      </w:tblGrid>
      <w:tr w:rsidR="00463A11" w:rsidRPr="00463A11" w14:paraId="4BF85EC8" w14:textId="77777777" w:rsidTr="00463A11">
        <w:trPr>
          <w:trHeight w:val="225"/>
        </w:trPr>
        <w:tc>
          <w:tcPr>
            <w:tcW w:w="1555" w:type="dxa"/>
            <w:tcBorders>
              <w:top w:val="single" w:sz="4" w:space="0" w:color="auto"/>
              <w:left w:val="single" w:sz="4" w:space="0" w:color="auto"/>
              <w:bottom w:val="single" w:sz="4" w:space="0" w:color="auto"/>
              <w:right w:val="single" w:sz="4" w:space="0" w:color="auto"/>
            </w:tcBorders>
            <w:vAlign w:val="center"/>
            <w:hideMark/>
          </w:tcPr>
          <w:p w14:paraId="4B8422E1" w14:textId="77777777" w:rsidR="00463A11" w:rsidRPr="00463A11" w:rsidRDefault="00463A11" w:rsidP="00463A11">
            <w:pPr>
              <w:overflowPunct/>
              <w:autoSpaceDE/>
              <w:autoSpaceDN/>
              <w:adjustRightInd/>
              <w:spacing w:after="0"/>
              <w:jc w:val="center"/>
              <w:textAlignment w:val="auto"/>
              <w:rPr>
                <w:rFonts w:cs="Arial"/>
                <w:sz w:val="16"/>
                <w:szCs w:val="16"/>
                <w:lang w:val="sv-SE" w:eastAsia="sv-SE"/>
              </w:rPr>
            </w:pPr>
            <w:r w:rsidRPr="00463A11">
              <w:rPr>
                <w:rFonts w:cs="Arial"/>
                <w:sz w:val="16"/>
                <w:szCs w:val="16"/>
                <w:lang w:val="sv-SE" w:eastAsia="sv-SE"/>
              </w:rPr>
              <w:t>PUCCH-AN-ResourceIndex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3AE330" w14:textId="77777777" w:rsidR="00463A11" w:rsidRPr="00463A11" w:rsidRDefault="00463A11" w:rsidP="00463A11">
            <w:pPr>
              <w:overflowPunct/>
              <w:autoSpaceDE/>
              <w:autoSpaceDN/>
              <w:adjustRightInd/>
              <w:spacing w:after="0"/>
              <w:jc w:val="left"/>
              <w:textAlignment w:val="auto"/>
              <w:rPr>
                <w:rFonts w:cs="Arial"/>
                <w:sz w:val="16"/>
                <w:szCs w:val="16"/>
                <w:lang w:val="sv-SE" w:eastAsia="sv-SE"/>
              </w:rPr>
            </w:pPr>
            <w:r w:rsidRPr="00463A11">
              <w:rPr>
                <w:rFonts w:cs="Arial"/>
                <w:sz w:val="16"/>
                <w:szCs w:val="16"/>
                <w:lang w:val="sv-SE" w:eastAsia="sv-SE"/>
              </w:rPr>
              <w:t>ARI value(s)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A6CED" w14:textId="77777777" w:rsidR="00463A11" w:rsidRPr="00463A11" w:rsidRDefault="00463A11" w:rsidP="00463A11">
            <w:pPr>
              <w:overflowPunct/>
              <w:autoSpaceDE/>
              <w:autoSpaceDN/>
              <w:adjustRightInd/>
              <w:spacing w:after="0"/>
              <w:jc w:val="left"/>
              <w:textAlignment w:val="auto"/>
              <w:rPr>
                <w:rFonts w:cs="Arial"/>
                <w:sz w:val="16"/>
                <w:szCs w:val="16"/>
                <w:lang w:val="sv-SE"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A17454" w14:textId="77777777" w:rsidR="00463A11" w:rsidRPr="00463A11" w:rsidRDefault="00463A11" w:rsidP="00463A11">
            <w:pPr>
              <w:overflowPunct/>
              <w:autoSpaceDE/>
              <w:autoSpaceDN/>
              <w:adjustRightInd/>
              <w:spacing w:after="0"/>
              <w:jc w:val="center"/>
              <w:textAlignment w:val="auto"/>
              <w:rPr>
                <w:rFonts w:ascii="Times New Roman" w:hAnsi="Times New Roman"/>
                <w:lang w:val="sv-SE" w:eastAsia="sv-SE"/>
              </w:rPr>
            </w:pPr>
          </w:p>
        </w:tc>
      </w:tr>
      <w:tr w:rsidR="00831AD4" w:rsidRPr="00831AD4" w14:paraId="65299378" w14:textId="77777777" w:rsidTr="00831AD4">
        <w:trPr>
          <w:trHeight w:val="225"/>
        </w:trPr>
        <w:tc>
          <w:tcPr>
            <w:tcW w:w="1555" w:type="dxa"/>
            <w:tcBorders>
              <w:top w:val="single" w:sz="4" w:space="0" w:color="auto"/>
              <w:left w:val="single" w:sz="4" w:space="0" w:color="auto"/>
              <w:bottom w:val="single" w:sz="4" w:space="0" w:color="auto"/>
              <w:right w:val="single" w:sz="4" w:space="0" w:color="auto"/>
            </w:tcBorders>
            <w:vAlign w:val="center"/>
            <w:hideMark/>
          </w:tcPr>
          <w:p w14:paraId="3A48EE0B" w14:textId="572C8F6A" w:rsidR="00831AD4" w:rsidRPr="00831AD4" w:rsidRDefault="00831AD4" w:rsidP="00831AD4">
            <w:pPr>
              <w:overflowPunct/>
              <w:autoSpaceDE/>
              <w:autoSpaceDN/>
              <w:adjustRightInd/>
              <w:spacing w:after="0"/>
              <w:jc w:val="center"/>
              <w:textAlignment w:val="auto"/>
              <w:rPr>
                <w:rFonts w:cs="Arial"/>
                <w:sz w:val="16"/>
                <w:szCs w:val="16"/>
                <w:lang w:val="sv-SE" w:eastAsia="sv-SE"/>
              </w:rPr>
            </w:pPr>
            <w:r w:rsidRPr="00831AD4">
              <w:rPr>
                <w:rFonts w:cs="Arial"/>
                <w:sz w:val="16"/>
                <w:szCs w:val="16"/>
                <w:lang w:val="sv-SE" w:eastAsia="sv-SE"/>
              </w:rPr>
              <w:t>PUCCH-</w:t>
            </w:r>
            <w:r>
              <w:rPr>
                <w:rFonts w:cs="Arial"/>
                <w:sz w:val="16"/>
                <w:szCs w:val="16"/>
                <w:lang w:val="sv-SE" w:eastAsia="sv-SE"/>
              </w:rPr>
              <w:t>CSI-</w:t>
            </w:r>
            <w:r w:rsidRPr="00831AD4">
              <w:rPr>
                <w:rFonts w:cs="Arial"/>
                <w:sz w:val="16"/>
                <w:szCs w:val="16"/>
                <w:lang w:val="sv-SE" w:eastAsia="sv-SE"/>
              </w:rPr>
              <w:t>ResourceIndex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0E80D" w14:textId="79E6735D" w:rsidR="00831AD4" w:rsidRPr="00831AD4" w:rsidRDefault="00831AD4" w:rsidP="00831AD4">
            <w:pPr>
              <w:overflowPunct/>
              <w:autoSpaceDE/>
              <w:autoSpaceDN/>
              <w:adjustRightInd/>
              <w:spacing w:after="0"/>
              <w:jc w:val="left"/>
              <w:textAlignment w:val="auto"/>
              <w:rPr>
                <w:rFonts w:cs="Arial"/>
                <w:sz w:val="16"/>
                <w:szCs w:val="16"/>
                <w:lang w:val="en-US" w:eastAsia="sv-SE"/>
              </w:rPr>
            </w:pPr>
            <w:r w:rsidRPr="00831AD4">
              <w:rPr>
                <w:rFonts w:cs="Arial"/>
                <w:sz w:val="16"/>
                <w:szCs w:val="16"/>
                <w:lang w:val="en-US" w:eastAsia="sv-SE"/>
              </w:rPr>
              <w:t xml:space="preserve">Indicates which PUCCH resource to use for periodic / semi-persistent </w:t>
            </w:r>
            <w:r>
              <w:rPr>
                <w:rFonts w:cs="Arial"/>
                <w:sz w:val="16"/>
                <w:szCs w:val="16"/>
                <w:lang w:val="en-US" w:eastAsia="sv-SE"/>
              </w:rPr>
              <w:t xml:space="preserve">CSI </w:t>
            </w:r>
            <w:r w:rsidRPr="00831AD4">
              <w:rPr>
                <w:rFonts w:cs="Arial"/>
                <w:sz w:val="16"/>
                <w:szCs w:val="16"/>
                <w:lang w:val="en-US" w:eastAsia="sv-SE"/>
              </w:rPr>
              <w:t>reporting on PUCCH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2FC36" w14:textId="77777777" w:rsidR="00831AD4" w:rsidRPr="00831AD4" w:rsidRDefault="00831AD4" w:rsidP="00831AD4">
            <w:pPr>
              <w:overflowPunct/>
              <w:autoSpaceDE/>
              <w:autoSpaceDN/>
              <w:adjustRightInd/>
              <w:spacing w:after="0"/>
              <w:jc w:val="left"/>
              <w:textAlignment w:val="auto"/>
              <w:rPr>
                <w:rFonts w:cs="Arial"/>
                <w:sz w:val="16"/>
                <w:szCs w:val="16"/>
                <w:lang w:val="en-US"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027404" w14:textId="77777777" w:rsidR="00831AD4" w:rsidRPr="00831AD4" w:rsidRDefault="00831AD4" w:rsidP="00831AD4">
            <w:pPr>
              <w:overflowPunct/>
              <w:autoSpaceDE/>
              <w:autoSpaceDN/>
              <w:adjustRightInd/>
              <w:spacing w:after="0"/>
              <w:jc w:val="center"/>
              <w:textAlignment w:val="auto"/>
              <w:rPr>
                <w:rFonts w:ascii="Times New Roman" w:hAnsi="Times New Roman"/>
                <w:lang w:val="en-US" w:eastAsia="sv-SE"/>
              </w:rPr>
            </w:pPr>
          </w:p>
        </w:tc>
      </w:tr>
    </w:tbl>
    <w:p w14:paraId="22F5D468" w14:textId="5A069170" w:rsidR="00A43150" w:rsidRDefault="00A43150" w:rsidP="00C034F1">
      <w:pPr>
        <w:pStyle w:val="BodyText"/>
        <w:spacing w:after="240"/>
        <w:rPr>
          <w:lang w:val="en-US"/>
        </w:rPr>
      </w:pPr>
    </w:p>
    <w:p w14:paraId="490665EE" w14:textId="39CFAC87" w:rsidR="00831AD4" w:rsidRPr="00831AD4" w:rsidRDefault="00831AD4" w:rsidP="00C034F1">
      <w:pPr>
        <w:pStyle w:val="BodyText"/>
        <w:spacing w:after="240"/>
        <w:rPr>
          <w:b/>
          <w:lang w:val="en-US"/>
        </w:rPr>
      </w:pPr>
      <w:r w:rsidRPr="00831AD4">
        <w:rPr>
          <w:b/>
          <w:lang w:val="en-US"/>
        </w:rPr>
        <w:t>Proposal</w:t>
      </w:r>
    </w:p>
    <w:p w14:paraId="0FD6FB46" w14:textId="6F302192" w:rsidR="004B70B5" w:rsidRDefault="004B70B5" w:rsidP="004B70B5">
      <w:pPr>
        <w:pStyle w:val="BodyText"/>
        <w:numPr>
          <w:ilvl w:val="0"/>
          <w:numId w:val="17"/>
        </w:numPr>
        <w:spacing w:after="240"/>
        <w:rPr>
          <w:lang w:val="en-US"/>
        </w:rPr>
      </w:pPr>
      <w:r>
        <w:rPr>
          <w:lang w:val="en-US"/>
        </w:rPr>
        <w:t xml:space="preserve">Conclude on how to determine PUCCH resources in </w:t>
      </w:r>
      <w:r w:rsidR="00F155B1">
        <w:rPr>
          <w:lang w:val="en-US"/>
        </w:rPr>
        <w:t>time/</w:t>
      </w:r>
      <w:r>
        <w:rPr>
          <w:lang w:val="en-US"/>
        </w:rPr>
        <w:t xml:space="preserve">frequency and code/sequence domain to be used </w:t>
      </w:r>
      <w:r w:rsidR="007257E6">
        <w:rPr>
          <w:lang w:val="en-US"/>
        </w:rPr>
        <w:t>within a slot</w:t>
      </w:r>
    </w:p>
    <w:p w14:paraId="4B78155F" w14:textId="719C9DDE" w:rsidR="00831AD4" w:rsidRDefault="00831AD4" w:rsidP="00831AD4">
      <w:pPr>
        <w:pStyle w:val="BodyText"/>
        <w:numPr>
          <w:ilvl w:val="0"/>
          <w:numId w:val="17"/>
        </w:numPr>
        <w:spacing w:after="240"/>
        <w:rPr>
          <w:lang w:val="en-US"/>
        </w:rPr>
      </w:pPr>
      <w:r>
        <w:rPr>
          <w:lang w:val="en-US"/>
        </w:rPr>
        <w:t>Conclude on the numbe</w:t>
      </w:r>
      <w:r w:rsidR="007257E6">
        <w:rPr>
          <w:lang w:val="en-US"/>
        </w:rPr>
        <w:t>r of ARI values(s) for HARQ-ACK</w:t>
      </w:r>
    </w:p>
    <w:p w14:paraId="43E538C6" w14:textId="3C896632" w:rsidR="00831AD4" w:rsidRPr="00831AD4" w:rsidRDefault="00831AD4" w:rsidP="00831AD4">
      <w:pPr>
        <w:pStyle w:val="BodyText"/>
        <w:numPr>
          <w:ilvl w:val="0"/>
          <w:numId w:val="17"/>
        </w:numPr>
        <w:spacing w:after="240"/>
        <w:rPr>
          <w:lang w:val="en-US"/>
        </w:rPr>
      </w:pPr>
      <w:r>
        <w:rPr>
          <w:lang w:val="en-US"/>
        </w:rPr>
        <w:t xml:space="preserve">Conclude on </w:t>
      </w:r>
      <w:r w:rsidR="00AF2050">
        <w:rPr>
          <w:lang w:val="en-US"/>
        </w:rPr>
        <w:t>time</w:t>
      </w:r>
      <w:r>
        <w:rPr>
          <w:lang w:val="en-US"/>
        </w:rPr>
        <w:t xml:space="preserve"> </w:t>
      </w:r>
      <w:r w:rsidR="00AF2050">
        <w:rPr>
          <w:lang w:val="en-US"/>
        </w:rPr>
        <w:t>allocation</w:t>
      </w:r>
      <w:r w:rsidR="007257E6">
        <w:rPr>
          <w:lang w:val="en-US"/>
        </w:rPr>
        <w:t xml:space="preserve"> on slot level</w:t>
      </w:r>
      <w:r>
        <w:rPr>
          <w:lang w:val="en-US"/>
        </w:rPr>
        <w:t xml:space="preserve"> for </w:t>
      </w:r>
      <w:r w:rsidR="00AF2050">
        <w:rPr>
          <w:lang w:val="en-US"/>
        </w:rPr>
        <w:t xml:space="preserve">HARQ-ACK. </w:t>
      </w:r>
      <w:r>
        <w:rPr>
          <w:lang w:val="en-US"/>
        </w:rPr>
        <w:t>SR and periodic CSI (most likely in another agenda point)</w:t>
      </w:r>
    </w:p>
    <w:p w14:paraId="2C1B6BD4" w14:textId="77777777" w:rsidR="00C01F33" w:rsidRPr="007B78FE" w:rsidRDefault="00C01F33" w:rsidP="00CE0424">
      <w:pPr>
        <w:pStyle w:val="Heading1"/>
        <w:rPr>
          <w:lang w:val="en-US"/>
        </w:rPr>
      </w:pPr>
      <w:r w:rsidRPr="007B78FE">
        <w:rPr>
          <w:lang w:val="en-US"/>
        </w:rPr>
        <w:t>Conclusion</w:t>
      </w:r>
    </w:p>
    <w:p w14:paraId="2D235AD5" w14:textId="79012071" w:rsidR="001154BD" w:rsidRDefault="007B78FE" w:rsidP="008E065E">
      <w:pPr>
        <w:rPr>
          <w:bCs/>
          <w:lang w:val="en-US"/>
        </w:rPr>
      </w:pPr>
      <w:r w:rsidRPr="007B78FE">
        <w:rPr>
          <w:bCs/>
          <w:lang w:val="en-US"/>
        </w:rPr>
        <w:t xml:space="preserve">We </w:t>
      </w:r>
      <w:r w:rsidR="0010118E" w:rsidRPr="007B78FE">
        <w:rPr>
          <w:lang w:val="en-US"/>
        </w:rPr>
        <w:t>discuss</w:t>
      </w:r>
      <w:r w:rsidR="00DB138E">
        <w:rPr>
          <w:lang w:val="en-US"/>
        </w:rPr>
        <w:t xml:space="preserve"> RRC parameter for </w:t>
      </w:r>
      <w:r w:rsidR="008A5EF9">
        <w:rPr>
          <w:lang w:val="en-US"/>
        </w:rPr>
        <w:t>U</w:t>
      </w:r>
      <w:r w:rsidR="00DB138E">
        <w:rPr>
          <w:lang w:val="en-US"/>
        </w:rPr>
        <w:t>L control signal design</w:t>
      </w:r>
      <w:r w:rsidR="0010118E">
        <w:rPr>
          <w:lang w:val="en-US"/>
        </w:rPr>
        <w:t>. We propose</w:t>
      </w:r>
    </w:p>
    <w:p w14:paraId="7B1B3B1D" w14:textId="2CD5EF2D" w:rsidR="00D1541D" w:rsidRDefault="00D1541D" w:rsidP="00D1541D">
      <w:pPr>
        <w:pStyle w:val="BodyText"/>
        <w:numPr>
          <w:ilvl w:val="0"/>
          <w:numId w:val="17"/>
        </w:numPr>
        <w:spacing w:after="240"/>
        <w:rPr>
          <w:lang w:val="en-US"/>
        </w:rPr>
      </w:pPr>
      <w:r>
        <w:rPr>
          <w:lang w:val="en-US"/>
        </w:rPr>
        <w:t>Conclude on how to determine PUCCH resources in</w:t>
      </w:r>
      <w:r w:rsidR="00F155B1">
        <w:rPr>
          <w:lang w:val="en-US"/>
        </w:rPr>
        <w:t xml:space="preserve"> time/</w:t>
      </w:r>
      <w:r>
        <w:rPr>
          <w:lang w:val="en-US"/>
        </w:rPr>
        <w:t>frequency and code/sequence domain to be used for HARQ-ACK, HARQ-ACK+SR, SR and CSI report for short PUCCH</w:t>
      </w:r>
    </w:p>
    <w:p w14:paraId="1744BF83" w14:textId="43EAD26D" w:rsidR="00D1541D" w:rsidRDefault="00D1541D" w:rsidP="00D1541D">
      <w:pPr>
        <w:pStyle w:val="BodyText"/>
        <w:numPr>
          <w:ilvl w:val="0"/>
          <w:numId w:val="17"/>
        </w:numPr>
        <w:spacing w:after="240"/>
        <w:rPr>
          <w:lang w:val="en-US"/>
        </w:rPr>
      </w:pPr>
      <w:r>
        <w:rPr>
          <w:lang w:val="en-US"/>
        </w:rPr>
        <w:t xml:space="preserve">Conclude on how to determine PUCCH resources in </w:t>
      </w:r>
      <w:r w:rsidR="00F155B1">
        <w:rPr>
          <w:lang w:val="en-US"/>
        </w:rPr>
        <w:t>time/</w:t>
      </w:r>
      <w:r>
        <w:rPr>
          <w:lang w:val="en-US"/>
        </w:rPr>
        <w:t xml:space="preserve">frequency and code/sequence domain to be used for HARQ-ACK, HARQ-ACK+SR, SR and CSI report for </w:t>
      </w:r>
      <w:r w:rsidR="00AF2050">
        <w:rPr>
          <w:lang w:val="en-US"/>
        </w:rPr>
        <w:t>long</w:t>
      </w:r>
      <w:r>
        <w:rPr>
          <w:lang w:val="en-US"/>
        </w:rPr>
        <w:t xml:space="preserve"> PUCCH</w:t>
      </w:r>
    </w:p>
    <w:p w14:paraId="4373C8A0" w14:textId="77777777" w:rsidR="00D1541D" w:rsidRDefault="00D1541D" w:rsidP="00D1541D">
      <w:pPr>
        <w:pStyle w:val="BodyText"/>
        <w:numPr>
          <w:ilvl w:val="0"/>
          <w:numId w:val="17"/>
        </w:numPr>
        <w:spacing w:after="240"/>
        <w:rPr>
          <w:lang w:val="en-US"/>
        </w:rPr>
      </w:pPr>
      <w:r>
        <w:rPr>
          <w:lang w:val="en-US"/>
        </w:rPr>
        <w:t>Concluding on aspect needed to signal support for multiple slot transmissions for long PUCCH</w:t>
      </w:r>
    </w:p>
    <w:p w14:paraId="2643CDCF" w14:textId="77777777" w:rsidR="00D1541D" w:rsidRDefault="00D1541D" w:rsidP="00D1541D">
      <w:pPr>
        <w:pStyle w:val="BodyText"/>
        <w:numPr>
          <w:ilvl w:val="0"/>
          <w:numId w:val="17"/>
        </w:numPr>
        <w:spacing w:after="240"/>
      </w:pPr>
      <w:r>
        <w:t xml:space="preserve">Conclude on the number of  </w:t>
      </w:r>
      <m:oMath>
        <m:sSub>
          <m:sSubPr>
            <m:ctrlPr>
              <w:rPr>
                <w:rFonts w:ascii="Cambria Math" w:hAnsi="Cambria Math"/>
                <w:sz w:val="16"/>
              </w:rPr>
            </m:ctrlPr>
          </m:sSubPr>
          <m:e>
            <m:r>
              <m:rPr>
                <m:sty m:val="bi"/>
              </m:rPr>
              <w:rPr>
                <w:rFonts w:ascii="Cambria Math" w:hAnsi="Cambria Math"/>
                <w:sz w:val="16"/>
              </w:rPr>
              <m:t>β</m:t>
            </m:r>
          </m:e>
          <m:sub>
            <m:r>
              <m:rPr>
                <m:sty m:val="bi"/>
              </m:rPr>
              <w:rPr>
                <w:rFonts w:ascii="Cambria Math" w:hAnsi="Cambria Math"/>
                <w:sz w:val="16"/>
              </w:rPr>
              <m:t>offset</m:t>
            </m:r>
          </m:sub>
        </m:sSub>
      </m:oMath>
      <w:r>
        <w:rPr>
          <w:sz w:val="16"/>
        </w:rPr>
        <w:t xml:space="preserve"> </w:t>
      </w:r>
      <w:r w:rsidRPr="00A43150">
        <w:t>, there corresponding value range and default value</w:t>
      </w:r>
    </w:p>
    <w:p w14:paraId="123B4070" w14:textId="77777777" w:rsidR="00D1541D" w:rsidRDefault="00D1541D" w:rsidP="00D1541D">
      <w:pPr>
        <w:pStyle w:val="BodyText"/>
        <w:numPr>
          <w:ilvl w:val="0"/>
          <w:numId w:val="17"/>
        </w:numPr>
        <w:spacing w:after="240"/>
      </w:pPr>
      <w:r>
        <w:t xml:space="preserve">Conclude on the how dynamic operation function and configuration between dynamic and semi-static operation with </w:t>
      </w:r>
      <m:oMath>
        <m:sSub>
          <m:sSubPr>
            <m:ctrlPr>
              <w:rPr>
                <w:rFonts w:ascii="Cambria Math" w:hAnsi="Cambria Math"/>
                <w:sz w:val="16"/>
              </w:rPr>
            </m:ctrlPr>
          </m:sSubPr>
          <m:e>
            <m:r>
              <m:rPr>
                <m:sty m:val="bi"/>
              </m:rPr>
              <w:rPr>
                <w:rFonts w:ascii="Cambria Math" w:hAnsi="Cambria Math"/>
                <w:sz w:val="16"/>
              </w:rPr>
              <m:t>β</m:t>
            </m:r>
          </m:e>
          <m:sub>
            <m:r>
              <m:rPr>
                <m:sty m:val="bi"/>
              </m:rPr>
              <w:rPr>
                <w:rFonts w:ascii="Cambria Math" w:hAnsi="Cambria Math"/>
                <w:sz w:val="16"/>
              </w:rPr>
              <m:t>offset</m:t>
            </m:r>
          </m:sub>
        </m:sSub>
      </m:oMath>
      <w:r w:rsidRPr="00A43150">
        <w:t>.</w:t>
      </w:r>
    </w:p>
    <w:p w14:paraId="1A0AFAE2" w14:textId="478CBDFD" w:rsidR="007257E6" w:rsidRDefault="007257E6" w:rsidP="007257E6">
      <w:pPr>
        <w:pStyle w:val="BodyText"/>
        <w:numPr>
          <w:ilvl w:val="0"/>
          <w:numId w:val="17"/>
        </w:numPr>
        <w:spacing w:after="240"/>
        <w:rPr>
          <w:lang w:val="en-US"/>
        </w:rPr>
      </w:pPr>
      <w:r>
        <w:rPr>
          <w:lang w:val="en-US"/>
        </w:rPr>
        <w:lastRenderedPageBreak/>
        <w:t xml:space="preserve">Conclude on how to determine PUCCH resources in </w:t>
      </w:r>
      <w:r w:rsidR="00F155B1">
        <w:rPr>
          <w:lang w:val="en-US"/>
        </w:rPr>
        <w:t>time/</w:t>
      </w:r>
      <w:bookmarkStart w:id="0" w:name="_GoBack"/>
      <w:bookmarkEnd w:id="0"/>
      <w:r>
        <w:rPr>
          <w:lang w:val="en-US"/>
        </w:rPr>
        <w:t>frequency and code/sequence domain to be used within a slot</w:t>
      </w:r>
    </w:p>
    <w:p w14:paraId="3247769C" w14:textId="77777777" w:rsidR="007257E6" w:rsidRDefault="007257E6" w:rsidP="007257E6">
      <w:pPr>
        <w:pStyle w:val="BodyText"/>
        <w:numPr>
          <w:ilvl w:val="0"/>
          <w:numId w:val="17"/>
        </w:numPr>
        <w:spacing w:after="240"/>
        <w:rPr>
          <w:lang w:val="en-US"/>
        </w:rPr>
      </w:pPr>
      <w:r>
        <w:rPr>
          <w:lang w:val="en-US"/>
        </w:rPr>
        <w:t>Conclude on the number of ARI values(s) for HARQ-ACK</w:t>
      </w:r>
    </w:p>
    <w:p w14:paraId="4996A9C4" w14:textId="75B5FC1C" w:rsidR="00D1541D" w:rsidRPr="007257E6" w:rsidRDefault="007257E6" w:rsidP="007257E6">
      <w:pPr>
        <w:pStyle w:val="BodyText"/>
        <w:numPr>
          <w:ilvl w:val="0"/>
          <w:numId w:val="17"/>
        </w:numPr>
        <w:spacing w:after="240"/>
        <w:rPr>
          <w:lang w:val="en-US"/>
        </w:rPr>
      </w:pPr>
      <w:r>
        <w:rPr>
          <w:lang w:val="en-US"/>
        </w:rPr>
        <w:t>Conclude on time allocation on slot level for HARQ-ACK. SR and periodic CSI (most likely in another agenda point)</w:t>
      </w:r>
    </w:p>
    <w:sectPr w:rsidR="00D1541D" w:rsidRPr="007257E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0F79B9" w14:textId="77777777" w:rsidR="005917BB" w:rsidRDefault="005917BB">
      <w:r>
        <w:separator/>
      </w:r>
    </w:p>
  </w:endnote>
  <w:endnote w:type="continuationSeparator" w:id="0">
    <w:p w14:paraId="456E9430" w14:textId="77777777" w:rsidR="005917BB" w:rsidRDefault="0059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FF1DE2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55B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55B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2D38A" w14:textId="77777777" w:rsidR="005917BB" w:rsidRDefault="005917BB">
      <w:r>
        <w:separator/>
      </w:r>
    </w:p>
  </w:footnote>
  <w:footnote w:type="continuationSeparator" w:id="0">
    <w:p w14:paraId="0A3A63F9" w14:textId="77777777" w:rsidR="005917BB" w:rsidRDefault="00591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EA1821"/>
    <w:multiLevelType w:val="hybridMultilevel"/>
    <w:tmpl w:val="AF783E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1401A4"/>
    <w:multiLevelType w:val="hybridMultilevel"/>
    <w:tmpl w:val="43B2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5"/>
  </w:num>
  <w:num w:numId="6">
    <w:abstractNumId w:val="12"/>
  </w:num>
  <w:num w:numId="7">
    <w:abstractNumId w:val="15"/>
  </w:num>
  <w:num w:numId="8">
    <w:abstractNumId w:val="7"/>
  </w:num>
  <w:num w:numId="9">
    <w:abstractNumId w:val="14"/>
  </w:num>
  <w:num w:numId="10">
    <w:abstractNumId w:val="1"/>
  </w:num>
  <w:num w:numId="11">
    <w:abstractNumId w:val="2"/>
  </w:num>
  <w:num w:numId="12">
    <w:abstractNumId w:val="4"/>
  </w:num>
  <w:num w:numId="13">
    <w:abstractNumId w:val="6"/>
  </w:num>
  <w:num w:numId="14">
    <w:abstractNumId w:val="8"/>
  </w:num>
  <w:num w:numId="15">
    <w:abstractNumId w:val="3"/>
  </w:num>
  <w:num w:numId="16">
    <w:abstractNumId w:val="11"/>
  </w:num>
  <w:num w:numId="1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487E"/>
    <w:rsid w:val="00065E1A"/>
    <w:rsid w:val="00067931"/>
    <w:rsid w:val="00077E5F"/>
    <w:rsid w:val="0008036A"/>
    <w:rsid w:val="00081AE6"/>
    <w:rsid w:val="00083C11"/>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59C1"/>
    <w:rsid w:val="00166209"/>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6414E"/>
    <w:rsid w:val="00370E47"/>
    <w:rsid w:val="003742AC"/>
    <w:rsid w:val="00376A32"/>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3A11"/>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0B5"/>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17BB"/>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6B01"/>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7E6"/>
    <w:rsid w:val="00725822"/>
    <w:rsid w:val="00726EA6"/>
    <w:rsid w:val="00727208"/>
    <w:rsid w:val="00727680"/>
    <w:rsid w:val="00732461"/>
    <w:rsid w:val="00733D4B"/>
    <w:rsid w:val="007348B1"/>
    <w:rsid w:val="007362A6"/>
    <w:rsid w:val="00736D7D"/>
    <w:rsid w:val="00740E58"/>
    <w:rsid w:val="00743F46"/>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2924"/>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39F0"/>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1AD4"/>
    <w:rsid w:val="008376AC"/>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5EF9"/>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8F69D2"/>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7EC"/>
    <w:rsid w:val="00950DE7"/>
    <w:rsid w:val="00953920"/>
    <w:rsid w:val="00953D47"/>
    <w:rsid w:val="0095681E"/>
    <w:rsid w:val="009572D4"/>
    <w:rsid w:val="00961921"/>
    <w:rsid w:val="009635AA"/>
    <w:rsid w:val="0096430A"/>
    <w:rsid w:val="0096554B"/>
    <w:rsid w:val="0096584A"/>
    <w:rsid w:val="009712F5"/>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2C45"/>
    <w:rsid w:val="00A43150"/>
    <w:rsid w:val="00A45B74"/>
    <w:rsid w:val="00A50464"/>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264"/>
    <w:rsid w:val="00AD0AA3"/>
    <w:rsid w:val="00AD3F94"/>
    <w:rsid w:val="00AD4A5A"/>
    <w:rsid w:val="00AE27AC"/>
    <w:rsid w:val="00AE2834"/>
    <w:rsid w:val="00AE40E0"/>
    <w:rsid w:val="00AE4DBA"/>
    <w:rsid w:val="00AE4F07"/>
    <w:rsid w:val="00AF1C5D"/>
    <w:rsid w:val="00AF2050"/>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66661"/>
    <w:rsid w:val="00B7198C"/>
    <w:rsid w:val="00B739F6"/>
    <w:rsid w:val="00B73CC5"/>
    <w:rsid w:val="00B74C5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34F1"/>
    <w:rsid w:val="00C040F7"/>
    <w:rsid w:val="00C041B0"/>
    <w:rsid w:val="00C044AB"/>
    <w:rsid w:val="00C05706"/>
    <w:rsid w:val="00C07377"/>
    <w:rsid w:val="00C10478"/>
    <w:rsid w:val="00C1120A"/>
    <w:rsid w:val="00C12107"/>
    <w:rsid w:val="00C14D4B"/>
    <w:rsid w:val="00C154BB"/>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1541D"/>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2C8D"/>
    <w:rsid w:val="00D538F4"/>
    <w:rsid w:val="00D546FF"/>
    <w:rsid w:val="00D54AF2"/>
    <w:rsid w:val="00D5515E"/>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C2D36"/>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A10E6"/>
    <w:rsid w:val="00EA60F2"/>
    <w:rsid w:val="00EA7A41"/>
    <w:rsid w:val="00EB077B"/>
    <w:rsid w:val="00EB0A25"/>
    <w:rsid w:val="00EB4EA2"/>
    <w:rsid w:val="00EC27C6"/>
    <w:rsid w:val="00EC4207"/>
    <w:rsid w:val="00EC5653"/>
    <w:rsid w:val="00EC7175"/>
    <w:rsid w:val="00EC71CE"/>
    <w:rsid w:val="00ED1006"/>
    <w:rsid w:val="00EF18FE"/>
    <w:rsid w:val="00EF1EC5"/>
    <w:rsid w:val="00EF5787"/>
    <w:rsid w:val="00EF60D0"/>
    <w:rsid w:val="00F01FBF"/>
    <w:rsid w:val="00F0528D"/>
    <w:rsid w:val="00F06C67"/>
    <w:rsid w:val="00F06DFD"/>
    <w:rsid w:val="00F071D1"/>
    <w:rsid w:val="00F07533"/>
    <w:rsid w:val="00F10629"/>
    <w:rsid w:val="00F11623"/>
    <w:rsid w:val="00F154BD"/>
    <w:rsid w:val="00F155B1"/>
    <w:rsid w:val="00F15FA5"/>
    <w:rsid w:val="00F17FAC"/>
    <w:rsid w:val="00F209B7"/>
    <w:rsid w:val="00F2376F"/>
    <w:rsid w:val="00F243D8"/>
    <w:rsid w:val="00F30828"/>
    <w:rsid w:val="00F313D6"/>
    <w:rsid w:val="00F337A1"/>
    <w:rsid w:val="00F40F0C"/>
    <w:rsid w:val="00F41B4E"/>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137766738">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1870415762">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568DFDE3-539E-42D9-9B9E-121001628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927</TotalTime>
  <Pages>3</Pages>
  <Words>696</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4380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187</cp:revision>
  <cp:lastPrinted>2008-01-31T16:09:00Z</cp:lastPrinted>
  <dcterms:created xsi:type="dcterms:W3CDTF">2017-02-07T17:47:00Z</dcterms:created>
  <dcterms:modified xsi:type="dcterms:W3CDTF">2017-10-03T03:39:00Z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