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EFEF5" w14:textId="77777777" w:rsidR="00B01B65" w:rsidRDefault="00B01B65" w:rsidP="00D42D5D">
      <w:pPr>
        <w:tabs>
          <w:tab w:val="right" w:pos="10000"/>
        </w:tabs>
        <w:spacing w:after="0"/>
        <w:rPr>
          <w:rFonts w:ascii="Arial" w:hAnsi="Arial" w:cs="Arial"/>
          <w:b/>
          <w:sz w:val="24"/>
          <w:szCs w:val="24"/>
        </w:rPr>
      </w:pPr>
    </w:p>
    <w:p w14:paraId="2CB7BFD7" w14:textId="77777777" w:rsidR="00B01B65" w:rsidRDefault="00B01B65" w:rsidP="00D42D5D">
      <w:pPr>
        <w:tabs>
          <w:tab w:val="right" w:pos="10000"/>
        </w:tabs>
        <w:spacing w:after="0"/>
        <w:rPr>
          <w:rFonts w:ascii="Arial" w:hAnsi="Arial" w:cs="Arial"/>
          <w:b/>
          <w:sz w:val="24"/>
          <w:szCs w:val="24"/>
        </w:rPr>
      </w:pPr>
    </w:p>
    <w:p w14:paraId="628BDED5" w14:textId="6F3664FD" w:rsidR="0022302A" w:rsidRPr="000A64D8" w:rsidRDefault="0022302A" w:rsidP="0022302A">
      <w:pPr>
        <w:tabs>
          <w:tab w:val="right" w:pos="10000"/>
        </w:tabs>
        <w:spacing w:after="0"/>
        <w:rPr>
          <w:rFonts w:ascii="Arial" w:hAnsi="Arial" w:cs="Arial"/>
          <w:b/>
          <w:sz w:val="24"/>
          <w:szCs w:val="24"/>
        </w:rPr>
      </w:pPr>
      <w:r w:rsidRPr="00402FC9">
        <w:rPr>
          <w:rFonts w:ascii="Arial" w:hAnsi="Arial" w:cs="Arial"/>
          <w:b/>
          <w:sz w:val="24"/>
          <w:szCs w:val="24"/>
        </w:rPr>
        <w:t>3GPP TSG RAN WG1 Meeting 90bis</w:t>
      </w:r>
      <w:r w:rsidRPr="000A64D8">
        <w:rPr>
          <w:rFonts w:ascii="Arial" w:hAnsi="Arial" w:cs="Arial"/>
          <w:b/>
          <w:sz w:val="24"/>
          <w:szCs w:val="24"/>
        </w:rPr>
        <w:tab/>
      </w:r>
      <w:r>
        <w:rPr>
          <w:rFonts w:ascii="Arial" w:hAnsi="Arial" w:cs="Arial"/>
          <w:b/>
          <w:sz w:val="24"/>
          <w:szCs w:val="24"/>
        </w:rPr>
        <w:t>R1-1718585</w:t>
      </w:r>
    </w:p>
    <w:p w14:paraId="2AF08AC4" w14:textId="77777777" w:rsidR="0022302A" w:rsidRDefault="0022302A" w:rsidP="0022302A">
      <w:pPr>
        <w:spacing w:after="0"/>
        <w:jc w:val="both"/>
        <w:rPr>
          <w:rFonts w:ascii="Arial" w:hAnsi="Arial" w:cs="Arial"/>
          <w:b/>
          <w:sz w:val="24"/>
          <w:szCs w:val="24"/>
        </w:rPr>
      </w:pPr>
      <w:r w:rsidRPr="00992367">
        <w:rPr>
          <w:rFonts w:ascii="Arial" w:hAnsi="Arial" w:cs="Arial"/>
          <w:b/>
          <w:sz w:val="24"/>
          <w:szCs w:val="24"/>
        </w:rPr>
        <w:t>9th – 13th October 2017</w:t>
      </w:r>
    </w:p>
    <w:p w14:paraId="69083E91" w14:textId="77777777" w:rsidR="0022302A" w:rsidRPr="00FF5C85" w:rsidRDefault="0022302A" w:rsidP="0022302A">
      <w:pPr>
        <w:spacing w:after="0"/>
        <w:jc w:val="both"/>
        <w:rPr>
          <w:rFonts w:ascii="Arial" w:hAnsi="Arial" w:cs="Arial"/>
          <w:b/>
          <w:sz w:val="24"/>
          <w:szCs w:val="24"/>
        </w:rPr>
      </w:pPr>
      <w:r>
        <w:rPr>
          <w:rFonts w:ascii="Arial" w:hAnsi="Arial" w:cs="Arial"/>
          <w:b/>
          <w:sz w:val="24"/>
          <w:szCs w:val="24"/>
        </w:rPr>
        <w:t>Prague, Czech Republic</w:t>
      </w:r>
    </w:p>
    <w:p w14:paraId="0049217B" w14:textId="77777777" w:rsidR="00C44EE4" w:rsidRPr="000A64D8" w:rsidRDefault="00C44EE4" w:rsidP="00C44EE4">
      <w:pPr>
        <w:pStyle w:val="Footer"/>
        <w:jc w:val="both"/>
        <w:rPr>
          <w:noProof w:val="0"/>
        </w:rPr>
      </w:pPr>
    </w:p>
    <w:p w14:paraId="10961E0A" w14:textId="1F1A4A67" w:rsidR="00C44EE4" w:rsidRPr="000A64D8" w:rsidRDefault="00C44EE4" w:rsidP="00C44EE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2302A">
        <w:rPr>
          <w:rFonts w:ascii="Arial" w:hAnsi="Arial"/>
          <w:sz w:val="24"/>
        </w:rPr>
        <w:t>7</w:t>
      </w:r>
      <w:r w:rsidR="003B24BD">
        <w:rPr>
          <w:rFonts w:ascii="Arial" w:hAnsi="Arial"/>
          <w:sz w:val="24"/>
        </w:rPr>
        <w:t>.</w:t>
      </w:r>
      <w:r w:rsidR="00234AA3">
        <w:rPr>
          <w:rFonts w:ascii="Arial" w:hAnsi="Arial"/>
          <w:sz w:val="24"/>
        </w:rPr>
        <w:t>4.1.3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3B377EAF"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34AA3">
        <w:rPr>
          <w:rFonts w:ascii="Arial" w:hAnsi="Arial"/>
          <w:sz w:val="22"/>
        </w:rPr>
        <w:t>Considerations for BG2 Segmentation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77D8BF80" w14:textId="2679A82D" w:rsidR="004359A7" w:rsidRDefault="004503F9" w:rsidP="004359A7">
      <w:pPr>
        <w:pStyle w:val="Heading1"/>
      </w:pPr>
      <w:bookmarkStart w:id="2" w:name="_Ref481748349"/>
      <w:r w:rsidRPr="00183CB7">
        <w:t>Introduction</w:t>
      </w:r>
      <w:bookmarkEnd w:id="2"/>
    </w:p>
    <w:p w14:paraId="243589B6" w14:textId="3946F56B" w:rsidR="00234AA3" w:rsidRDefault="001F07F9" w:rsidP="00234AA3">
      <w:pPr>
        <w:rPr>
          <w:lang w:val="en-GB"/>
        </w:rPr>
      </w:pPr>
      <w:r>
        <w:rPr>
          <w:lang w:val="en-GB"/>
        </w:rPr>
        <w:t>In RAN1 #90</w:t>
      </w:r>
      <w:r w:rsidR="005D6B18">
        <w:rPr>
          <w:lang w:val="en-GB"/>
        </w:rPr>
        <w:t xml:space="preserve"> </w:t>
      </w:r>
      <w:r w:rsidR="005D6B18">
        <w:rPr>
          <w:lang w:val="en-GB"/>
        </w:rPr>
        <w:fldChar w:fldCharType="begin"/>
      </w:r>
      <w:r w:rsidR="005D6B18">
        <w:rPr>
          <w:lang w:val="en-GB"/>
        </w:rPr>
        <w:instrText xml:space="preserve"> REF _Ref495247654 \r \h </w:instrText>
      </w:r>
      <w:r w:rsidR="005D6B18">
        <w:rPr>
          <w:lang w:val="en-GB"/>
        </w:rPr>
      </w:r>
      <w:r w:rsidR="005D6B18">
        <w:rPr>
          <w:lang w:val="en-GB"/>
        </w:rPr>
        <w:fldChar w:fldCharType="separate"/>
      </w:r>
      <w:r w:rsidR="005D6B18">
        <w:rPr>
          <w:lang w:val="en-GB"/>
        </w:rPr>
        <w:t>[1]</w:t>
      </w:r>
      <w:r w:rsidR="005D6B18">
        <w:rPr>
          <w:lang w:val="en-GB"/>
        </w:rPr>
        <w:fldChar w:fldCharType="end"/>
      </w:r>
      <w:r>
        <w:rPr>
          <w:lang w:val="en-GB"/>
        </w:rPr>
        <w:t>, it was decided not to use Base Graph 2 for large TBs if the initial transmission rate is greater than a threshold whose value will be confirmed in RAN1 Ad Hoc #3:</w:t>
      </w:r>
    </w:p>
    <w:p w14:paraId="0112BC1B" w14:textId="77777777" w:rsidR="001F07F9" w:rsidRDefault="001F07F9" w:rsidP="001F07F9">
      <w:pPr>
        <w:ind w:left="288"/>
        <w:rPr>
          <w:rFonts w:eastAsia="MS Mincho"/>
          <w:b/>
          <w:highlight w:val="yellow"/>
          <w:u w:val="single"/>
          <w:lang w:eastAsia="ja-JP"/>
        </w:rPr>
      </w:pPr>
      <w:r>
        <w:rPr>
          <w:rFonts w:eastAsia="MS Mincho"/>
          <w:b/>
          <w:highlight w:val="darkYellow"/>
          <w:u w:val="single"/>
          <w:lang w:eastAsia="ja-JP"/>
        </w:rPr>
        <w:t>Working Assumption</w:t>
      </w:r>
      <w:r>
        <w:rPr>
          <w:rFonts w:eastAsia="MS Mincho"/>
          <w:u w:val="single"/>
          <w:lang w:eastAsia="ja-JP"/>
        </w:rPr>
        <w:t>, to be checked after finalisation of the TBS table and confirmed if TBSs exist for which the following is meaningfully beneficial and does not cause meaningful degradation:</w:t>
      </w:r>
      <w:r>
        <w:rPr>
          <w:rFonts w:eastAsia="MS Mincho"/>
          <w:b/>
          <w:u w:val="single"/>
          <w:lang w:eastAsia="ja-JP"/>
        </w:rPr>
        <w:t xml:space="preserve"> </w:t>
      </w:r>
    </w:p>
    <w:p w14:paraId="46C705BD" w14:textId="77777777" w:rsidR="001F07F9" w:rsidRDefault="001F07F9" w:rsidP="001F07F9">
      <w:pPr>
        <w:numPr>
          <w:ilvl w:val="0"/>
          <w:numId w:val="38"/>
        </w:numPr>
        <w:tabs>
          <w:tab w:val="clear" w:pos="720"/>
          <w:tab w:val="num" w:pos="1008"/>
          <w:tab w:val="left" w:pos="1440"/>
        </w:tabs>
        <w:overflowPunct/>
        <w:autoSpaceDE/>
        <w:autoSpaceDN/>
        <w:adjustRightInd/>
        <w:spacing w:after="0"/>
        <w:ind w:left="1008"/>
        <w:textAlignment w:val="auto"/>
        <w:rPr>
          <w:rFonts w:eastAsia="MS Mincho"/>
          <w:lang w:eastAsia="ja-JP"/>
        </w:rPr>
      </w:pPr>
      <w:r>
        <w:rPr>
          <w:rFonts w:eastAsia="MS Mincho"/>
          <w:lang w:eastAsia="ja-JP"/>
        </w:rPr>
        <w:t>For initial transmissions with code rate R</w:t>
      </w:r>
      <w:r>
        <w:rPr>
          <w:rFonts w:eastAsia="MS Mincho"/>
          <w:vertAlign w:val="subscript"/>
          <w:lang w:eastAsia="ja-JP"/>
        </w:rPr>
        <w:t>init</w:t>
      </w:r>
      <w:r>
        <w:rPr>
          <w:rFonts w:eastAsia="MS Mincho"/>
          <w:lang w:eastAsia="ja-JP"/>
        </w:rPr>
        <w:t xml:space="preserve"> &gt; 1/4*, BG2 is not used when TBS&gt;3824 </w:t>
      </w:r>
    </w:p>
    <w:p w14:paraId="5C340AC3" w14:textId="77777777" w:rsidR="001F07F9" w:rsidRDefault="001F07F9" w:rsidP="001F07F9">
      <w:pPr>
        <w:numPr>
          <w:ilvl w:val="1"/>
          <w:numId w:val="38"/>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If the FFS on UE capabilities w.r.t. support of both BGs is resolved such that it is possible that a UE does not support BG1, then the above bullet only applies if the UE supports BG1. </w:t>
      </w:r>
    </w:p>
    <w:p w14:paraId="538DBDBF" w14:textId="77777777" w:rsidR="001F07F9" w:rsidRDefault="001F07F9" w:rsidP="001F07F9">
      <w:pPr>
        <w:numPr>
          <w:ilvl w:val="0"/>
          <w:numId w:val="38"/>
        </w:numPr>
        <w:tabs>
          <w:tab w:val="clear" w:pos="720"/>
          <w:tab w:val="num" w:pos="1008"/>
          <w:tab w:val="left" w:pos="1440"/>
        </w:tabs>
        <w:overflowPunct/>
        <w:autoSpaceDE/>
        <w:autoSpaceDN/>
        <w:adjustRightInd/>
        <w:spacing w:after="0"/>
        <w:ind w:left="1008"/>
        <w:textAlignment w:val="auto"/>
        <w:rPr>
          <w:rFonts w:eastAsia="MS Mincho"/>
          <w:lang w:eastAsia="ja-JP"/>
        </w:rPr>
      </w:pPr>
      <w:r>
        <w:rPr>
          <w:rFonts w:eastAsia="MS Mincho"/>
          <w:lang w:eastAsia="ja-JP"/>
        </w:rPr>
        <w:t>BG2 is used for initial transmissions with code rate R</w:t>
      </w:r>
      <w:r>
        <w:rPr>
          <w:rFonts w:eastAsia="MS Mincho"/>
          <w:vertAlign w:val="subscript"/>
          <w:lang w:eastAsia="ja-JP"/>
        </w:rPr>
        <w:t>init</w:t>
      </w:r>
      <w:r>
        <w:rPr>
          <w:rFonts w:eastAsia="MS Mincho"/>
          <w:lang w:eastAsia="ja-JP"/>
        </w:rPr>
        <w:t xml:space="preserve"> &lt;= ¼* for all TBS supported at that code rate</w:t>
      </w:r>
    </w:p>
    <w:p w14:paraId="7FB5193B" w14:textId="77777777" w:rsidR="001F07F9" w:rsidRDefault="001F07F9" w:rsidP="001F07F9">
      <w:pPr>
        <w:numPr>
          <w:ilvl w:val="1"/>
          <w:numId w:val="38"/>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For BG2 with TBSs larger than 3824, the TB is segmented into CBs no larger than 3840</w:t>
      </w:r>
    </w:p>
    <w:p w14:paraId="6195EC42" w14:textId="77777777" w:rsidR="001F07F9" w:rsidRDefault="001F07F9" w:rsidP="001F07F9">
      <w:pPr>
        <w:numPr>
          <w:ilvl w:val="0"/>
          <w:numId w:val="38"/>
        </w:numPr>
        <w:tabs>
          <w:tab w:val="clear" w:pos="720"/>
          <w:tab w:val="num" w:pos="1008"/>
          <w:tab w:val="left" w:pos="1440"/>
        </w:tabs>
        <w:overflowPunct/>
        <w:autoSpaceDE/>
        <w:autoSpaceDN/>
        <w:adjustRightInd/>
        <w:spacing w:after="0"/>
        <w:ind w:left="1008"/>
        <w:textAlignment w:val="auto"/>
        <w:rPr>
          <w:rFonts w:eastAsia="MS Mincho"/>
          <w:lang w:eastAsia="ja-JP"/>
        </w:rPr>
      </w:pPr>
      <w:r>
        <w:rPr>
          <w:rFonts w:eastAsia="MS Mincho"/>
          <w:lang w:eastAsia="ja-JP"/>
        </w:rPr>
        <w:t>* ¼ is TBC at NR AH#3</w:t>
      </w:r>
    </w:p>
    <w:p w14:paraId="677A2692" w14:textId="77777777" w:rsidR="00F14829" w:rsidRDefault="00F14829" w:rsidP="001F07F9">
      <w:pPr>
        <w:ind w:left="288"/>
        <w:rPr>
          <w:rFonts w:eastAsia="MS Mincho"/>
          <w:highlight w:val="cyan"/>
          <w:lang w:eastAsia="ja-JP"/>
        </w:rPr>
      </w:pPr>
    </w:p>
    <w:p w14:paraId="4F959BAF" w14:textId="438BDBC0" w:rsidR="001F07F9" w:rsidRDefault="001F07F9" w:rsidP="001F07F9">
      <w:pPr>
        <w:ind w:left="288"/>
        <w:rPr>
          <w:rFonts w:eastAsia="MS Mincho"/>
          <w:highlight w:val="cyan"/>
          <w:lang w:eastAsia="ja-JP"/>
        </w:rPr>
      </w:pPr>
      <w:r>
        <w:rPr>
          <w:rFonts w:eastAsia="MS Mincho"/>
          <w:highlight w:val="cyan"/>
          <w:lang w:eastAsia="ja-JP"/>
        </w:rPr>
        <w:t>Email agreement on the definition of R</w:t>
      </w:r>
      <w:r>
        <w:rPr>
          <w:rFonts w:eastAsia="MS Mincho"/>
          <w:highlight w:val="cyan"/>
          <w:vertAlign w:val="subscript"/>
          <w:lang w:eastAsia="ja-JP"/>
        </w:rPr>
        <w:t>init</w:t>
      </w:r>
      <w:r>
        <w:rPr>
          <w:rFonts w:eastAsia="MS Mincho"/>
          <w:highlight w:val="cyan"/>
          <w:lang w:eastAsia="ja-JP"/>
        </w:rPr>
        <w:t xml:space="preserve"> until Wednesday 30</w:t>
      </w:r>
      <w:r>
        <w:rPr>
          <w:rFonts w:eastAsia="MS Mincho"/>
          <w:highlight w:val="cyan"/>
          <w:vertAlign w:val="superscript"/>
          <w:lang w:eastAsia="ja-JP"/>
        </w:rPr>
        <w:t>th</w:t>
      </w:r>
      <w:r>
        <w:rPr>
          <w:rFonts w:eastAsia="MS Mincho"/>
          <w:highlight w:val="cyan"/>
          <w:lang w:eastAsia="ja-JP"/>
        </w:rPr>
        <w:t xml:space="preserve"> August (Yufei, Ericsson):</w:t>
      </w:r>
    </w:p>
    <w:p w14:paraId="39825E25" w14:textId="77777777" w:rsidR="001F07F9" w:rsidRDefault="001F07F9" w:rsidP="001F07F9">
      <w:pPr>
        <w:ind w:left="288"/>
        <w:rPr>
          <w:rFonts w:eastAsia="MS Mincho"/>
          <w:lang w:eastAsia="ja-JP"/>
        </w:rPr>
      </w:pPr>
      <w:r>
        <w:rPr>
          <w:rFonts w:eastAsia="MS Mincho"/>
          <w:lang w:eastAsia="ja-JP"/>
        </w:rPr>
        <w:t xml:space="preserve">Alt 1: </w:t>
      </w:r>
    </w:p>
    <w:p w14:paraId="5962758D" w14:textId="77777777" w:rsidR="001F07F9" w:rsidRDefault="001F07F9" w:rsidP="001F07F9">
      <w:pPr>
        <w:numPr>
          <w:ilvl w:val="0"/>
          <w:numId w:val="39"/>
        </w:numPr>
        <w:tabs>
          <w:tab w:val="clear" w:pos="720"/>
          <w:tab w:val="num" w:pos="1008"/>
          <w:tab w:val="left" w:pos="1440"/>
        </w:tabs>
        <w:overflowPunct/>
        <w:autoSpaceDE/>
        <w:autoSpaceDN/>
        <w:adjustRightInd/>
        <w:spacing w:after="0"/>
        <w:ind w:left="1008"/>
        <w:textAlignment w:val="auto"/>
        <w:rPr>
          <w:rFonts w:eastAsia="MS Mincho"/>
          <w:lang w:eastAsia="ja-JP"/>
        </w:rPr>
      </w:pPr>
      <w:r>
        <w:rPr>
          <w:rFonts w:eastAsia="MS Mincho"/>
          <w:lang w:eastAsia="ja-JP"/>
        </w:rPr>
        <w:t>Denote the code rate of the initial transmission after applying LBRM (if applied) as Rinit</w:t>
      </w:r>
    </w:p>
    <w:p w14:paraId="31448055" w14:textId="77777777" w:rsidR="001F07F9" w:rsidRDefault="001F07F9" w:rsidP="001F07F9">
      <w:pPr>
        <w:ind w:left="288"/>
        <w:rPr>
          <w:rFonts w:eastAsia="MS Mincho"/>
          <w:lang w:val="en-GB" w:eastAsia="ja-JP"/>
        </w:rPr>
      </w:pPr>
      <w:r>
        <w:rPr>
          <w:rFonts w:eastAsia="MS Mincho"/>
          <w:lang w:eastAsia="ja-JP"/>
        </w:rPr>
        <w:t xml:space="preserve">Alt 2: </w:t>
      </w:r>
    </w:p>
    <w:p w14:paraId="2BFC1C1D" w14:textId="77777777" w:rsidR="001F07F9" w:rsidRDefault="001F07F9" w:rsidP="001F07F9">
      <w:pPr>
        <w:numPr>
          <w:ilvl w:val="0"/>
          <w:numId w:val="39"/>
        </w:numPr>
        <w:tabs>
          <w:tab w:val="clear" w:pos="720"/>
          <w:tab w:val="num" w:pos="1008"/>
          <w:tab w:val="left" w:pos="1440"/>
        </w:tabs>
        <w:overflowPunct/>
        <w:autoSpaceDE/>
        <w:autoSpaceDN/>
        <w:adjustRightInd/>
        <w:spacing w:after="0"/>
        <w:ind w:left="1008"/>
        <w:textAlignment w:val="auto"/>
        <w:rPr>
          <w:rFonts w:eastAsia="MS Mincho"/>
          <w:lang w:eastAsia="ja-JP"/>
        </w:rPr>
      </w:pPr>
      <w:r>
        <w:rPr>
          <w:rFonts w:eastAsia="MS Mincho"/>
          <w:lang w:eastAsia="ja-JP"/>
        </w:rPr>
        <w:t>R</w:t>
      </w:r>
      <w:r>
        <w:rPr>
          <w:rFonts w:eastAsia="MS Mincho"/>
          <w:vertAlign w:val="subscript"/>
          <w:lang w:eastAsia="ja-JP"/>
        </w:rPr>
        <w:t>init</w:t>
      </w:r>
      <w:r>
        <w:rPr>
          <w:rFonts w:eastAsia="MS Mincho"/>
          <w:lang w:eastAsia="ja-JP"/>
        </w:rPr>
        <w:t xml:space="preserve"> is the effective code rate at initial transmission of the transport block. An effective code rate is the code rate used in running the LDPC encoder and decoder, after taking into account both: </w:t>
      </w:r>
    </w:p>
    <w:p w14:paraId="01CF5935" w14:textId="519EAA7C" w:rsidR="001F07F9" w:rsidRDefault="001F07F9" w:rsidP="001F07F9">
      <w:pPr>
        <w:numPr>
          <w:ilvl w:val="1"/>
          <w:numId w:val="39"/>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(a) </w:t>
      </w:r>
      <w:r w:rsidR="00CB5180">
        <w:rPr>
          <w:rFonts w:eastAsia="MS Mincho"/>
          <w:lang w:eastAsia="ja-JP"/>
        </w:rPr>
        <w:t>the nominal code rate, as signa</w:t>
      </w:r>
      <w:r>
        <w:rPr>
          <w:rFonts w:eastAsia="MS Mincho"/>
          <w:lang w:eastAsia="ja-JP"/>
        </w:rPr>
        <w:t xml:space="preserve">led in a control information to schedule the transmission of the transport block; and </w:t>
      </w:r>
    </w:p>
    <w:p w14:paraId="0A9E0379" w14:textId="77777777" w:rsidR="001F07F9" w:rsidRDefault="001F07F9" w:rsidP="001F07F9">
      <w:pPr>
        <w:numPr>
          <w:ilvl w:val="1"/>
          <w:numId w:val="39"/>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(b) LBRM (if applied)</w:t>
      </w:r>
    </w:p>
    <w:p w14:paraId="6AF7FBCB" w14:textId="77777777" w:rsidR="001F07F9" w:rsidRDefault="001F07F9" w:rsidP="001F07F9">
      <w:pPr>
        <w:ind w:left="288"/>
        <w:rPr>
          <w:rFonts w:eastAsia="MS Mincho"/>
          <w:lang w:eastAsia="ja-JP"/>
        </w:rPr>
      </w:pPr>
      <w:r>
        <w:rPr>
          <w:rFonts w:eastAsia="MS Mincho"/>
          <w:lang w:eastAsia="ja-JP"/>
        </w:rPr>
        <w:t xml:space="preserve">Modifications to the above alternatives can also be considered. </w:t>
      </w:r>
    </w:p>
    <w:p w14:paraId="46838C7A" w14:textId="0B107DCA" w:rsidR="001F07F9" w:rsidRDefault="001F07F9" w:rsidP="001F07F9">
      <w:pPr>
        <w:ind w:left="288"/>
        <w:rPr>
          <w:rFonts w:eastAsia="MS Mincho"/>
          <w:lang w:eastAsia="ja-JP"/>
        </w:rPr>
      </w:pPr>
      <w:r>
        <w:rPr>
          <w:rFonts w:eastAsia="MS Mincho"/>
          <w:lang w:eastAsia="ja-JP"/>
        </w:rPr>
        <w:t>Thi</w:t>
      </w:r>
      <w:r w:rsidR="00E8398E">
        <w:rPr>
          <w:rFonts w:eastAsia="MS Mincho"/>
          <w:lang w:eastAsia="ja-JP"/>
        </w:rPr>
        <w:t>s definition should also apply</w:t>
      </w:r>
      <w:r>
        <w:rPr>
          <w:rFonts w:eastAsia="MS Mincho"/>
          <w:lang w:eastAsia="ja-JP"/>
        </w:rPr>
        <w:t xml:space="preserve"> to previous agreements on BG selection.</w:t>
      </w:r>
    </w:p>
    <w:p w14:paraId="12B65B1F" w14:textId="3D7074C0" w:rsidR="00F14829" w:rsidRDefault="00F14829" w:rsidP="00F14829">
      <w:pPr>
        <w:rPr>
          <w:rFonts w:eastAsia="MS Mincho"/>
          <w:lang w:eastAsia="ja-JP"/>
        </w:rPr>
      </w:pPr>
      <w:r>
        <w:rPr>
          <w:rFonts w:eastAsia="MS Mincho"/>
          <w:lang w:eastAsia="ja-JP"/>
        </w:rPr>
        <w:t>In RAN1 Ad hoc #3</w:t>
      </w:r>
      <w:r w:rsidR="00FC1EAA">
        <w:rPr>
          <w:rFonts w:eastAsia="MS Mincho"/>
          <w:lang w:eastAsia="ja-JP"/>
        </w:rPr>
        <w:t xml:space="preserve"> </w:t>
      </w:r>
      <w:r w:rsidR="00FC1EAA">
        <w:rPr>
          <w:rFonts w:eastAsia="MS Mincho"/>
          <w:lang w:eastAsia="ja-JP"/>
        </w:rPr>
        <w:fldChar w:fldCharType="begin"/>
      </w:r>
      <w:r w:rsidR="00FC1EAA">
        <w:rPr>
          <w:rFonts w:eastAsia="MS Mincho"/>
          <w:lang w:eastAsia="ja-JP"/>
        </w:rPr>
        <w:instrText xml:space="preserve"> REF _Ref495247695 \r \h </w:instrText>
      </w:r>
      <w:r w:rsidR="00FC1EAA">
        <w:rPr>
          <w:rFonts w:eastAsia="MS Mincho"/>
          <w:lang w:eastAsia="ja-JP"/>
        </w:rPr>
      </w:r>
      <w:r w:rsidR="00FC1EAA">
        <w:rPr>
          <w:rFonts w:eastAsia="MS Mincho"/>
          <w:lang w:eastAsia="ja-JP"/>
        </w:rPr>
        <w:fldChar w:fldCharType="separate"/>
      </w:r>
      <w:r w:rsidR="00FC1EAA">
        <w:rPr>
          <w:rFonts w:eastAsia="MS Mincho"/>
          <w:lang w:eastAsia="ja-JP"/>
        </w:rPr>
        <w:t>[2]</w:t>
      </w:r>
      <w:r w:rsidR="00FC1EAA">
        <w:rPr>
          <w:rFonts w:eastAsia="MS Mincho"/>
          <w:lang w:eastAsia="ja-JP"/>
        </w:rPr>
        <w:fldChar w:fldCharType="end"/>
      </w:r>
      <w:r>
        <w:rPr>
          <w:rFonts w:eastAsia="MS Mincho"/>
          <w:lang w:eastAsia="ja-JP"/>
        </w:rPr>
        <w:t xml:space="preserve">, the </w:t>
      </w:r>
      <w:r w:rsidR="005D6B18">
        <w:rPr>
          <w:rFonts w:eastAsia="MS Mincho"/>
          <w:lang w:eastAsia="ja-JP"/>
        </w:rPr>
        <w:t xml:space="preserve">value 1/4 </w:t>
      </w:r>
      <w:r>
        <w:rPr>
          <w:rFonts w:eastAsia="MS Mincho"/>
          <w:lang w:eastAsia="ja-JP"/>
        </w:rPr>
        <w:t xml:space="preserve">was confirmed as Rinit threshold, adopting TB segmentation with BG2 was left open. A working assumption was made to use BG2 instead of BG1 for small TBs at rates higher than 2/3  </w:t>
      </w:r>
    </w:p>
    <w:p w14:paraId="3488AF7B" w14:textId="77777777" w:rsidR="00F14829" w:rsidRPr="00A40403" w:rsidRDefault="00F14829" w:rsidP="00F14829">
      <w:pPr>
        <w:ind w:left="288"/>
        <w:rPr>
          <w:b/>
          <w:highlight w:val="darkYellow"/>
          <w:u w:val="single"/>
        </w:rPr>
      </w:pPr>
      <w:r w:rsidRPr="00A40403">
        <w:rPr>
          <w:b/>
          <w:highlight w:val="darkYellow"/>
          <w:u w:val="single"/>
        </w:rPr>
        <w:t>Working Assumption:</w:t>
      </w:r>
    </w:p>
    <w:p w14:paraId="7AC0C2DE" w14:textId="77777777" w:rsidR="00F14829" w:rsidRDefault="00F14829" w:rsidP="00F14829">
      <w:pPr>
        <w:numPr>
          <w:ilvl w:val="0"/>
          <w:numId w:val="40"/>
        </w:numPr>
        <w:overflowPunct/>
        <w:autoSpaceDE/>
        <w:autoSpaceDN/>
        <w:adjustRightInd/>
        <w:spacing w:after="0"/>
        <w:ind w:left="1008"/>
        <w:textAlignment w:val="auto"/>
      </w:pPr>
      <w:r>
        <w:t>Use base graph #1 for combinations of block lengths K&gt;308 and code rates (as defined in previous email discussion) R&gt;2/3.</w:t>
      </w:r>
    </w:p>
    <w:p w14:paraId="5000BFE6" w14:textId="77777777" w:rsidR="00F14829" w:rsidRDefault="00F14829" w:rsidP="00F14829">
      <w:pPr>
        <w:numPr>
          <w:ilvl w:val="0"/>
          <w:numId w:val="40"/>
        </w:numPr>
        <w:overflowPunct/>
        <w:autoSpaceDE/>
        <w:autoSpaceDN/>
        <w:adjustRightInd/>
        <w:spacing w:after="0"/>
        <w:ind w:left="1008"/>
        <w:textAlignment w:val="auto"/>
      </w:pPr>
      <w:r>
        <w:rPr>
          <w:rFonts w:hint="eastAsia"/>
        </w:rPr>
        <w:t>Base graph #2 may be used for block lengths K</w:t>
      </w:r>
      <w:r>
        <w:rPr>
          <w:rFonts w:hint="eastAsia"/>
        </w:rPr>
        <w:t>≤</w:t>
      </w:r>
      <w:r>
        <w:rPr>
          <w:rFonts w:hint="eastAsia"/>
        </w:rPr>
        <w:t>308 and code rates R&gt;2/3, but the scheduler should take into account that no base graph is optimized for this region of K and R and therefore allow extra link adaptation margin.</w:t>
      </w:r>
    </w:p>
    <w:p w14:paraId="47CEC122" w14:textId="77777777" w:rsidR="00F14829" w:rsidRDefault="00F14829" w:rsidP="00F14829">
      <w:pPr>
        <w:ind w:left="288"/>
      </w:pPr>
      <w:r>
        <w:t xml:space="preserve">To be confirmed at RAN1#90bis. </w:t>
      </w:r>
    </w:p>
    <w:p w14:paraId="4B0A8D3A" w14:textId="6D7A6B18" w:rsidR="00F14829" w:rsidRDefault="00F14829" w:rsidP="00562968">
      <w:pPr>
        <w:jc w:val="both"/>
        <w:rPr>
          <w:rFonts w:eastAsia="MS Mincho"/>
          <w:lang w:val="en-GB" w:eastAsia="ja-JP"/>
        </w:rPr>
      </w:pPr>
      <w:r>
        <w:rPr>
          <w:rFonts w:eastAsia="MS Mincho"/>
          <w:lang w:val="en-GB" w:eastAsia="ja-JP"/>
        </w:rPr>
        <w:lastRenderedPageBreak/>
        <w:t xml:space="preserve">This contribution discusses the performance impact of adopting segmentation with </w:t>
      </w:r>
      <w:r w:rsidR="00AC2EA8">
        <w:rPr>
          <w:rFonts w:eastAsia="MS Mincho"/>
          <w:lang w:val="en-GB" w:eastAsia="ja-JP"/>
        </w:rPr>
        <w:t>BG2</w:t>
      </w:r>
      <w:r w:rsidR="00531D81">
        <w:rPr>
          <w:rFonts w:eastAsia="MS Mincho"/>
          <w:lang w:val="en-GB" w:eastAsia="ja-JP"/>
        </w:rPr>
        <w:t>.</w:t>
      </w:r>
    </w:p>
    <w:p w14:paraId="6084F81B" w14:textId="0DDEDA81" w:rsidR="002A0A44" w:rsidRDefault="002A0A44" w:rsidP="002A0A44">
      <w:pPr>
        <w:pStyle w:val="Heading1"/>
      </w:pPr>
      <w:r>
        <w:t>BG2</w:t>
      </w:r>
      <w:r w:rsidR="000354FC">
        <w:t xml:space="preserve"> Segmentation</w:t>
      </w:r>
    </w:p>
    <w:p w14:paraId="3E71ED3E" w14:textId="2117C09C" w:rsidR="00D01BDE" w:rsidRDefault="00D67B83" w:rsidP="00E1294E">
      <w:pPr>
        <w:jc w:val="both"/>
        <w:rPr>
          <w:lang w:val="en-GB"/>
        </w:rPr>
      </w:pPr>
      <w:r>
        <w:rPr>
          <w:lang w:val="en-GB"/>
        </w:rPr>
        <w:t>Due to the difference in maximum information block length between BG1 and BG2, a TB would be segmented into a different number of codeblocks depending on which base graph is used, impacting the TB error rate (TBLER). The largest relative difference in the number of segmented codeblocks occurs when a TB would fit into a single BG1 codeblock, but would be segmented into three BG2 codeblocks. This section presents simulation results for the largest and smallest such TBs.</w:t>
      </w:r>
    </w:p>
    <w:p w14:paraId="2744D799" w14:textId="53CB00D1" w:rsidR="00D67B83" w:rsidRPr="00D01BDE" w:rsidRDefault="00D67B83" w:rsidP="00E1294E">
      <w:pPr>
        <w:jc w:val="both"/>
        <w:rPr>
          <w:lang w:val="en-GB"/>
        </w:rPr>
      </w:pPr>
      <w:r>
        <w:rPr>
          <w:lang w:val="en-GB"/>
        </w:rPr>
        <w:t xml:space="preserve">For a TB of size 8448 bits (including the TB CRC), a single codeblock of BG1 is used, but three BG2 codeblocks of information block length 2816 are needed if BG2 segmentation is applied. </w:t>
      </w:r>
      <w:r>
        <w:rPr>
          <w:lang w:val="en-GB"/>
        </w:rPr>
        <w:fldChar w:fldCharType="begin"/>
      </w:r>
      <w:r>
        <w:rPr>
          <w:lang w:val="en-GB"/>
        </w:rPr>
        <w:instrText xml:space="preserve"> REF _Ref492927785 \h </w:instrText>
      </w:r>
      <w:r>
        <w:rPr>
          <w:lang w:val="en-GB"/>
        </w:rPr>
      </w:r>
      <w:r>
        <w:rPr>
          <w:lang w:val="en-GB"/>
        </w:rPr>
        <w:fldChar w:fldCharType="separate"/>
      </w:r>
      <w:r w:rsidR="005D6B18">
        <w:t xml:space="preserve">Figure </w:t>
      </w:r>
      <w:r w:rsidR="005D6B18">
        <w:rPr>
          <w:noProof/>
        </w:rPr>
        <w:t>1</w:t>
      </w:r>
      <w:r>
        <w:rPr>
          <w:lang w:val="en-GB"/>
        </w:rPr>
        <w:fldChar w:fldCharType="end"/>
      </w:r>
      <w:r>
        <w:rPr>
          <w:lang w:val="en-GB"/>
        </w:rPr>
        <w:t xml:space="preserve"> shows the TBLER at code rates 1/5, </w:t>
      </w:r>
      <w:r w:rsidR="00F14829">
        <w:rPr>
          <w:lang w:val="en-GB"/>
        </w:rPr>
        <w:t>1/4</w:t>
      </w:r>
      <w:r>
        <w:rPr>
          <w:lang w:val="en-GB"/>
        </w:rPr>
        <w:t xml:space="preserve">, </w:t>
      </w:r>
      <w:r w:rsidR="00507CAD">
        <w:rPr>
          <w:lang w:val="en-GB"/>
        </w:rPr>
        <w:t xml:space="preserve">0.3, </w:t>
      </w:r>
      <w:r>
        <w:rPr>
          <w:lang w:val="en-GB"/>
        </w:rPr>
        <w:t>and 2/5</w:t>
      </w:r>
      <w:r w:rsidR="008B1D16">
        <w:rPr>
          <w:lang w:val="en-GB"/>
        </w:rPr>
        <w:t xml:space="preserve">. </w:t>
      </w:r>
      <w:r w:rsidR="00AA20B0">
        <w:rPr>
          <w:lang w:val="en-GB"/>
        </w:rPr>
        <w:t>For BG1, rates 1/5 and 1/4 are achieve</w:t>
      </w:r>
      <w:r w:rsidR="00461920">
        <w:rPr>
          <w:lang w:val="en-GB"/>
        </w:rPr>
        <w:t>d</w:t>
      </w:r>
      <w:r w:rsidR="00AA20B0">
        <w:rPr>
          <w:lang w:val="en-GB"/>
        </w:rPr>
        <w:t xml:space="preserve"> by repeating from a native cod</w:t>
      </w:r>
      <w:r w:rsidR="00F14829">
        <w:rPr>
          <w:lang w:val="en-GB"/>
        </w:rPr>
        <w:t xml:space="preserve">e rate of 1/3. The results </w:t>
      </w:r>
      <w:r w:rsidR="00C33615">
        <w:rPr>
          <w:lang w:val="en-GB"/>
        </w:rPr>
        <w:t xml:space="preserve">BG2 has better TBLER than BG1 even when accounting for segmentation for rates &lt; 0.3. </w:t>
      </w:r>
      <w:r w:rsidR="00C92831">
        <w:rPr>
          <w:lang w:val="en-GB"/>
        </w:rPr>
        <w:t>Beginning at R = 0.3</w:t>
      </w:r>
      <w:bookmarkStart w:id="3" w:name="_GoBack"/>
      <w:bookmarkEnd w:id="3"/>
      <w:r w:rsidR="00C33615">
        <w:rPr>
          <w:lang w:val="en-GB"/>
        </w:rPr>
        <w:t>, BG1 has better TBLER than BG2.</w:t>
      </w:r>
    </w:p>
    <w:p w14:paraId="0020CE31" w14:textId="10017B45" w:rsidR="0077413D" w:rsidRDefault="0077413D" w:rsidP="0077413D">
      <w:pPr>
        <w:rPr>
          <w:lang w:val="en-GB"/>
        </w:rPr>
      </w:pPr>
    </w:p>
    <w:p w14:paraId="4E216A9B" w14:textId="78CCDDCA" w:rsidR="0077413D" w:rsidRPr="0077413D" w:rsidRDefault="0094343A" w:rsidP="00507CAD">
      <w:pPr>
        <w:jc w:val="center"/>
        <w:rPr>
          <w:lang w:val="en-GB"/>
        </w:rPr>
      </w:pPr>
      <w:r>
        <w:rPr>
          <w:noProof/>
          <w:lang w:val="en-GB"/>
        </w:rPr>
        <w:drawing>
          <wp:inline distT="0" distB="0" distL="0" distR="0" wp14:anchorId="2FDF3E47" wp14:editId="09692CE8">
            <wp:extent cx="2404872" cy="2551176"/>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04872" cy="2551176"/>
                    </a:xfrm>
                    <a:prstGeom prst="rect">
                      <a:avLst/>
                    </a:prstGeom>
                    <a:noFill/>
                  </pic:spPr>
                </pic:pic>
              </a:graphicData>
            </a:graphic>
          </wp:inline>
        </w:drawing>
      </w:r>
      <w:r w:rsidR="00643888">
        <w:rPr>
          <w:noProof/>
          <w:lang w:val="en-GB"/>
        </w:rPr>
        <w:drawing>
          <wp:inline distT="0" distB="0" distL="0" distR="0" wp14:anchorId="273ED9E8" wp14:editId="2FA9A528">
            <wp:extent cx="2395728" cy="2551176"/>
            <wp:effectExtent l="0" t="0" r="508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95728" cy="2551176"/>
                    </a:xfrm>
                    <a:prstGeom prst="rect">
                      <a:avLst/>
                    </a:prstGeom>
                    <a:noFill/>
                  </pic:spPr>
                </pic:pic>
              </a:graphicData>
            </a:graphic>
          </wp:inline>
        </w:drawing>
      </w:r>
      <w:r w:rsidR="00507CAD">
        <w:rPr>
          <w:noProof/>
          <w:lang w:val="en-GB"/>
        </w:rPr>
        <w:drawing>
          <wp:inline distT="0" distB="0" distL="0" distR="0" wp14:anchorId="23AE39DB" wp14:editId="2BC12104">
            <wp:extent cx="2404872" cy="2569464"/>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04872" cy="2569464"/>
                    </a:xfrm>
                    <a:prstGeom prst="rect">
                      <a:avLst/>
                    </a:prstGeom>
                    <a:noFill/>
                  </pic:spPr>
                </pic:pic>
              </a:graphicData>
            </a:graphic>
          </wp:inline>
        </w:drawing>
      </w:r>
      <w:r w:rsidR="004F786D">
        <w:rPr>
          <w:noProof/>
          <w:lang w:val="en-GB"/>
        </w:rPr>
        <w:drawing>
          <wp:inline distT="0" distB="0" distL="0" distR="0" wp14:anchorId="2EF0DCCF" wp14:editId="5C5B8896">
            <wp:extent cx="2404872" cy="25603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04872" cy="2560320"/>
                    </a:xfrm>
                    <a:prstGeom prst="rect">
                      <a:avLst/>
                    </a:prstGeom>
                    <a:noFill/>
                  </pic:spPr>
                </pic:pic>
              </a:graphicData>
            </a:graphic>
          </wp:inline>
        </w:drawing>
      </w:r>
    </w:p>
    <w:p w14:paraId="28CF8AE2" w14:textId="541B0870" w:rsidR="00CF3262" w:rsidRDefault="00CF3262" w:rsidP="00CF3262">
      <w:pPr>
        <w:pStyle w:val="Caption"/>
        <w:jc w:val="center"/>
      </w:pPr>
      <w:bookmarkStart w:id="4" w:name="_Ref492927785"/>
      <w:r>
        <w:t xml:space="preserve">Figure </w:t>
      </w:r>
      <w:fldSimple w:instr=" SEQ Figure \* ARABIC ">
        <w:r w:rsidR="005D6B18">
          <w:rPr>
            <w:noProof/>
          </w:rPr>
          <w:t>1</w:t>
        </w:r>
      </w:fldSimple>
      <w:bookmarkEnd w:id="4"/>
      <w:r>
        <w:t xml:space="preserve"> Transport-block error rate comparison between BG1 and BG2 when TBS = 8448</w:t>
      </w:r>
    </w:p>
    <w:p w14:paraId="28BE4E58" w14:textId="28AB02B6" w:rsidR="00F0288C" w:rsidRPr="00F0288C" w:rsidRDefault="00AA20B0" w:rsidP="00E1294E">
      <w:pPr>
        <w:jc w:val="both"/>
      </w:pPr>
      <w:r>
        <w:t xml:space="preserve">Similar results are observed for TB size 7800, which would be segmented into three BG2 code blocks of K = 2600, as shown in </w:t>
      </w:r>
      <w:r>
        <w:fldChar w:fldCharType="begin"/>
      </w:r>
      <w:r>
        <w:instrText xml:space="preserve"> REF _Ref492928415 \h </w:instrText>
      </w:r>
      <w:r>
        <w:fldChar w:fldCharType="separate"/>
      </w:r>
      <w:r w:rsidR="005D6B18">
        <w:t xml:space="preserve">Figure </w:t>
      </w:r>
      <w:r w:rsidR="005D6B18">
        <w:rPr>
          <w:noProof/>
        </w:rPr>
        <w:t>2</w:t>
      </w:r>
      <w:r>
        <w:fldChar w:fldCharType="end"/>
      </w:r>
      <w:r>
        <w:t>.</w:t>
      </w:r>
    </w:p>
    <w:p w14:paraId="56221943" w14:textId="7661CDB5" w:rsidR="00D01BDE" w:rsidRPr="00562968" w:rsidRDefault="00391132" w:rsidP="00E1294E">
      <w:pPr>
        <w:jc w:val="center"/>
        <w:rPr>
          <w:lang w:val="en-GB"/>
        </w:rPr>
      </w:pPr>
      <w:r>
        <w:rPr>
          <w:noProof/>
          <w:lang w:val="en-GB"/>
        </w:rPr>
        <w:lastRenderedPageBreak/>
        <w:drawing>
          <wp:inline distT="0" distB="0" distL="0" distR="0" wp14:anchorId="1C2C41C4" wp14:editId="0928B1A0">
            <wp:extent cx="2404872" cy="2551176"/>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04872" cy="2551176"/>
                    </a:xfrm>
                    <a:prstGeom prst="rect">
                      <a:avLst/>
                    </a:prstGeom>
                    <a:noFill/>
                  </pic:spPr>
                </pic:pic>
              </a:graphicData>
            </a:graphic>
          </wp:inline>
        </w:drawing>
      </w:r>
      <w:r w:rsidR="00562968" w:rsidRPr="00562968">
        <w:rPr>
          <w:noProof/>
          <w:lang w:val="en-GB"/>
        </w:rPr>
        <w:drawing>
          <wp:inline distT="0" distB="0" distL="0" distR="0" wp14:anchorId="09454364" wp14:editId="3FA4D558">
            <wp:extent cx="2404872" cy="2560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04872" cy="2560320"/>
                    </a:xfrm>
                    <a:prstGeom prst="rect">
                      <a:avLst/>
                    </a:prstGeom>
                    <a:noFill/>
                  </pic:spPr>
                </pic:pic>
              </a:graphicData>
            </a:graphic>
          </wp:inline>
        </w:drawing>
      </w:r>
      <w:r w:rsidR="00507CAD">
        <w:rPr>
          <w:noProof/>
          <w:lang w:val="en-GB"/>
        </w:rPr>
        <w:drawing>
          <wp:inline distT="0" distB="0" distL="0" distR="0" wp14:anchorId="774604D1" wp14:editId="2B7B681C">
            <wp:extent cx="2532888" cy="2679192"/>
            <wp:effectExtent l="0" t="0" r="127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32888" cy="2679192"/>
                    </a:xfrm>
                    <a:prstGeom prst="rect">
                      <a:avLst/>
                    </a:prstGeom>
                    <a:noFill/>
                  </pic:spPr>
                </pic:pic>
              </a:graphicData>
            </a:graphic>
          </wp:inline>
        </w:drawing>
      </w:r>
      <w:r w:rsidR="0084222E">
        <w:rPr>
          <w:noProof/>
          <w:lang w:val="en-GB"/>
        </w:rPr>
        <w:drawing>
          <wp:inline distT="0" distB="0" distL="0" distR="0" wp14:anchorId="7A8982BF" wp14:editId="72856891">
            <wp:extent cx="2532888" cy="2706624"/>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32888" cy="2706624"/>
                    </a:xfrm>
                    <a:prstGeom prst="rect">
                      <a:avLst/>
                    </a:prstGeom>
                    <a:noFill/>
                  </pic:spPr>
                </pic:pic>
              </a:graphicData>
            </a:graphic>
          </wp:inline>
        </w:drawing>
      </w:r>
    </w:p>
    <w:p w14:paraId="0B8EAF22" w14:textId="66348B18" w:rsidR="00E1294E" w:rsidRDefault="00E1294E" w:rsidP="00E1294E">
      <w:pPr>
        <w:pStyle w:val="Caption"/>
        <w:jc w:val="center"/>
        <w:rPr>
          <w:b w:val="0"/>
          <w:u w:val="single"/>
          <w:lang w:val="en-GB"/>
        </w:rPr>
      </w:pPr>
      <w:bookmarkStart w:id="5" w:name="_Ref492928415"/>
      <w:r>
        <w:t xml:space="preserve">Figure </w:t>
      </w:r>
      <w:fldSimple w:instr=" SEQ Figure \* ARABIC ">
        <w:r w:rsidR="005D6B18">
          <w:rPr>
            <w:noProof/>
          </w:rPr>
          <w:t>2</w:t>
        </w:r>
      </w:fldSimple>
      <w:bookmarkEnd w:id="5"/>
      <w:r w:rsidRPr="00E1294E">
        <w:t xml:space="preserve"> </w:t>
      </w:r>
      <w:r>
        <w:t>Transport-block error rate comparison between BG1 and BG2 when TBS = 7800</w:t>
      </w:r>
    </w:p>
    <w:p w14:paraId="2343A3A7" w14:textId="637C0ED4" w:rsidR="00D01BDE" w:rsidRPr="00C33615" w:rsidRDefault="00D01BDE" w:rsidP="00D01BDE">
      <w:pPr>
        <w:rPr>
          <w:lang w:val="en-GB"/>
        </w:rPr>
      </w:pPr>
      <w:r w:rsidRPr="00D01BDE">
        <w:rPr>
          <w:b/>
          <w:u w:val="single"/>
          <w:lang w:val="en-GB"/>
        </w:rPr>
        <w:t>Observation 1</w:t>
      </w:r>
      <w:r w:rsidR="00C33615">
        <w:rPr>
          <w:b/>
          <w:u w:val="single"/>
          <w:lang w:val="en-GB"/>
        </w:rPr>
        <w:t>:</w:t>
      </w:r>
      <w:r w:rsidR="00C33615" w:rsidRPr="00C33615">
        <w:rPr>
          <w:lang w:val="en-GB"/>
        </w:rPr>
        <w:t xml:space="preserve"> For R &lt; 0.3, </w:t>
      </w:r>
      <w:r w:rsidR="00C33615">
        <w:rPr>
          <w:lang w:val="en-GB"/>
        </w:rPr>
        <w:t>BG2 has better TBLER than BG1 even when accounting for segmentation.</w:t>
      </w:r>
    </w:p>
    <w:p w14:paraId="1CC4F8EB" w14:textId="4FF4F8A6" w:rsidR="00F25228" w:rsidRDefault="004503F9" w:rsidP="00F25228">
      <w:pPr>
        <w:pStyle w:val="Heading1"/>
        <w:rPr>
          <w:lang w:eastAsia="zh-CN"/>
        </w:rPr>
      </w:pPr>
      <w:r>
        <w:rPr>
          <w:lang w:eastAsia="zh-CN"/>
        </w:rPr>
        <w:t>Conclusions</w:t>
      </w:r>
    </w:p>
    <w:p w14:paraId="7040B423" w14:textId="77777777" w:rsidR="007F4DF1" w:rsidRPr="00C33615" w:rsidRDefault="007F4DF1" w:rsidP="007F4DF1">
      <w:pPr>
        <w:rPr>
          <w:lang w:val="en-GB"/>
        </w:rPr>
      </w:pPr>
      <w:r w:rsidRPr="00D01BDE">
        <w:rPr>
          <w:b/>
          <w:u w:val="single"/>
          <w:lang w:val="en-GB"/>
        </w:rPr>
        <w:t>Observation 1</w:t>
      </w:r>
      <w:r>
        <w:rPr>
          <w:b/>
          <w:u w:val="single"/>
          <w:lang w:val="en-GB"/>
        </w:rPr>
        <w:t>:</w:t>
      </w:r>
      <w:r w:rsidRPr="00C33615">
        <w:rPr>
          <w:lang w:val="en-GB"/>
        </w:rPr>
        <w:t xml:space="preserve"> For R &lt; 0.3, </w:t>
      </w:r>
      <w:r>
        <w:rPr>
          <w:lang w:val="en-GB"/>
        </w:rPr>
        <w:t>BG2 has better TBLER than BG1 even when accounting for segmentation.</w:t>
      </w:r>
    </w:p>
    <w:p w14:paraId="43B7F896" w14:textId="212ED598" w:rsidR="00E523F3" w:rsidRPr="000A64D8" w:rsidRDefault="00E523F3" w:rsidP="00E523F3">
      <w:pPr>
        <w:pStyle w:val="Heading1"/>
        <w:rPr>
          <w:lang w:val="en-US"/>
        </w:rPr>
      </w:pPr>
      <w:r w:rsidRPr="000A64D8">
        <w:rPr>
          <w:lang w:val="en-US"/>
        </w:rPr>
        <w:t>References</w:t>
      </w:r>
    </w:p>
    <w:p w14:paraId="434B65E5" w14:textId="0A7FAD98" w:rsidR="00A41202" w:rsidRPr="00A23FA5" w:rsidRDefault="00A23FA5" w:rsidP="00A23FA5">
      <w:pPr>
        <w:numPr>
          <w:ilvl w:val="0"/>
          <w:numId w:val="2"/>
        </w:numPr>
        <w:spacing w:before="100" w:beforeAutospacing="1" w:after="100" w:afterAutospacing="1"/>
        <w:ind w:left="562" w:hanging="562"/>
        <w:rPr>
          <w:szCs w:val="22"/>
        </w:rPr>
      </w:pPr>
      <w:bookmarkStart w:id="6" w:name="_Ref495247654"/>
      <w:bookmarkStart w:id="7" w:name="_Ref474112695"/>
      <w:r>
        <w:rPr>
          <w:szCs w:val="22"/>
        </w:rPr>
        <w:t>Chairman’s Notes, RAN1 #90, August 2017, Prague, Czech Republic.</w:t>
      </w:r>
      <w:bookmarkEnd w:id="6"/>
    </w:p>
    <w:p w14:paraId="432E41AB" w14:textId="5508ADB0" w:rsidR="00F0288C" w:rsidRPr="00A107C5" w:rsidRDefault="00702E5D" w:rsidP="00A107C5">
      <w:pPr>
        <w:numPr>
          <w:ilvl w:val="0"/>
          <w:numId w:val="2"/>
        </w:numPr>
        <w:spacing w:before="100" w:beforeAutospacing="1" w:after="100" w:afterAutospacing="1"/>
        <w:ind w:left="562" w:hanging="562"/>
        <w:rPr>
          <w:szCs w:val="22"/>
        </w:rPr>
      </w:pPr>
      <w:bookmarkStart w:id="8" w:name="_Ref490175593"/>
      <w:bookmarkStart w:id="9" w:name="_Ref495247695"/>
      <w:bookmarkEnd w:id="7"/>
      <w:r>
        <w:rPr>
          <w:szCs w:val="22"/>
        </w:rPr>
        <w:t>Chairman’s Notes, RAN1 Ad Hoc #</w:t>
      </w:r>
      <w:r w:rsidR="005D6B18">
        <w:rPr>
          <w:szCs w:val="22"/>
        </w:rPr>
        <w:t>3</w:t>
      </w:r>
      <w:r>
        <w:rPr>
          <w:szCs w:val="22"/>
        </w:rPr>
        <w:t xml:space="preserve">, </w:t>
      </w:r>
      <w:r w:rsidR="005D6B18">
        <w:rPr>
          <w:szCs w:val="22"/>
        </w:rPr>
        <w:t>September</w:t>
      </w:r>
      <w:r>
        <w:rPr>
          <w:szCs w:val="22"/>
        </w:rPr>
        <w:t xml:space="preserve"> 2017, </w:t>
      </w:r>
      <w:bookmarkEnd w:id="8"/>
      <w:r w:rsidR="005D6B18">
        <w:rPr>
          <w:szCs w:val="22"/>
        </w:rPr>
        <w:t>Nagoya, Japan.</w:t>
      </w:r>
      <w:bookmarkEnd w:id="9"/>
    </w:p>
    <w:sectPr w:rsidR="00F0288C" w:rsidRPr="00A107C5"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EDE1E" w14:textId="77777777" w:rsidR="00307F13" w:rsidRDefault="00307F13">
      <w:r>
        <w:separator/>
      </w:r>
    </w:p>
  </w:endnote>
  <w:endnote w:type="continuationSeparator" w:id="0">
    <w:p w14:paraId="50CA78B4" w14:textId="77777777" w:rsidR="00307F13" w:rsidRDefault="00307F13">
      <w:r>
        <w:continuationSeparator/>
      </w:r>
    </w:p>
  </w:endnote>
  <w:endnote w:type="continuationNotice" w:id="1">
    <w:p w14:paraId="53EE026A" w14:textId="77777777" w:rsidR="00307F13" w:rsidRDefault="00307F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D554A2" w:rsidRDefault="00D554A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D554A2" w:rsidRDefault="00D554A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6E5305E" w:rsidR="00D554A2" w:rsidRDefault="00D554A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9283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2831">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124F0" w14:textId="77777777" w:rsidR="00307F13" w:rsidRDefault="00307F13">
      <w:r>
        <w:separator/>
      </w:r>
    </w:p>
  </w:footnote>
  <w:footnote w:type="continuationSeparator" w:id="0">
    <w:p w14:paraId="7E85F347" w14:textId="77777777" w:rsidR="00307F13" w:rsidRDefault="00307F13">
      <w:r>
        <w:continuationSeparator/>
      </w:r>
    </w:p>
  </w:footnote>
  <w:footnote w:type="continuationNotice" w:id="1">
    <w:p w14:paraId="7C51D89B" w14:textId="77777777" w:rsidR="00307F13" w:rsidRDefault="00307F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D554A2" w:rsidRDefault="00D554A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23"/>
  </w:num>
  <w:num w:numId="2">
    <w:abstractNumId w:val="0"/>
  </w:num>
  <w:num w:numId="3">
    <w:abstractNumId w:val="5"/>
  </w:num>
  <w:num w:numId="4">
    <w:abstractNumId w:val="27"/>
  </w:num>
  <w:num w:numId="5">
    <w:abstractNumId w:val="6"/>
  </w:num>
  <w:num w:numId="6">
    <w:abstractNumId w:val="15"/>
  </w:num>
  <w:num w:numId="7">
    <w:abstractNumId w:val="19"/>
  </w:num>
  <w:num w:numId="8">
    <w:abstractNumId w:val="1"/>
  </w:num>
  <w:num w:numId="9">
    <w:abstractNumId w:val="38"/>
    <w:lvlOverride w:ilvl="0">
      <w:startOverride w:val="1"/>
    </w:lvlOverride>
  </w:num>
  <w:num w:numId="10">
    <w:abstractNumId w:val="32"/>
  </w:num>
  <w:num w:numId="11">
    <w:abstractNumId w:val="35"/>
  </w:num>
  <w:num w:numId="12">
    <w:abstractNumId w:val="33"/>
  </w:num>
  <w:num w:numId="13">
    <w:abstractNumId w:val="3"/>
  </w:num>
  <w:num w:numId="14">
    <w:abstractNumId w:val="22"/>
  </w:num>
  <w:num w:numId="15">
    <w:abstractNumId w:val="24"/>
  </w:num>
  <w:num w:numId="16">
    <w:abstractNumId w:val="18"/>
  </w:num>
  <w:num w:numId="17">
    <w:abstractNumId w:val="11"/>
  </w:num>
  <w:num w:numId="18">
    <w:abstractNumId w:val="10"/>
  </w:num>
  <w:num w:numId="19">
    <w:abstractNumId w:val="25"/>
  </w:num>
  <w:num w:numId="20">
    <w:abstractNumId w:val="31"/>
  </w:num>
  <w:num w:numId="21">
    <w:abstractNumId w:val="36"/>
  </w:num>
  <w:num w:numId="22">
    <w:abstractNumId w:val="39"/>
  </w:num>
  <w:num w:numId="23">
    <w:abstractNumId w:val="17"/>
  </w:num>
  <w:num w:numId="24">
    <w:abstractNumId w:val="14"/>
  </w:num>
  <w:num w:numId="25">
    <w:abstractNumId w:val="26"/>
  </w:num>
  <w:num w:numId="26">
    <w:abstractNumId w:val="20"/>
  </w:num>
  <w:num w:numId="27">
    <w:abstractNumId w:val="2"/>
  </w:num>
  <w:num w:numId="28">
    <w:abstractNumId w:val="30"/>
  </w:num>
  <w:num w:numId="29">
    <w:abstractNumId w:val="29"/>
  </w:num>
  <w:num w:numId="30">
    <w:abstractNumId w:val="9"/>
  </w:num>
  <w:num w:numId="31">
    <w:abstractNumId w:val="21"/>
  </w:num>
  <w:num w:numId="32">
    <w:abstractNumId w:val="8"/>
  </w:num>
  <w:num w:numId="33">
    <w:abstractNumId w:val="37"/>
  </w:num>
  <w:num w:numId="34">
    <w:abstractNumId w:val="16"/>
  </w:num>
  <w:num w:numId="35">
    <w:abstractNumId w:val="34"/>
  </w:num>
  <w:num w:numId="3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12"/>
  </w:num>
  <w:num w:numId="38">
    <w:abstractNumId w:val="7"/>
  </w:num>
  <w:num w:numId="39">
    <w:abstractNumId w:val="13"/>
  </w:num>
  <w:num w:numId="40">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185"/>
    <w:rsid w:val="000162B2"/>
    <w:rsid w:val="0001645D"/>
    <w:rsid w:val="000164BB"/>
    <w:rsid w:val="000167A6"/>
    <w:rsid w:val="00016C28"/>
    <w:rsid w:val="00016DCE"/>
    <w:rsid w:val="00017309"/>
    <w:rsid w:val="0001781C"/>
    <w:rsid w:val="0002002A"/>
    <w:rsid w:val="00020319"/>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4FC"/>
    <w:rsid w:val="00035574"/>
    <w:rsid w:val="00036199"/>
    <w:rsid w:val="000365A2"/>
    <w:rsid w:val="0003698E"/>
    <w:rsid w:val="00036C45"/>
    <w:rsid w:val="00036FA7"/>
    <w:rsid w:val="000370B4"/>
    <w:rsid w:val="0003723F"/>
    <w:rsid w:val="0003777B"/>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4A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0F4"/>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07"/>
    <w:rsid w:val="00074375"/>
    <w:rsid w:val="000743A0"/>
    <w:rsid w:val="000747E0"/>
    <w:rsid w:val="00074A9E"/>
    <w:rsid w:val="00074BF5"/>
    <w:rsid w:val="000752CD"/>
    <w:rsid w:val="000753EC"/>
    <w:rsid w:val="00075680"/>
    <w:rsid w:val="00075999"/>
    <w:rsid w:val="00075AB6"/>
    <w:rsid w:val="00076408"/>
    <w:rsid w:val="0007661E"/>
    <w:rsid w:val="00077073"/>
    <w:rsid w:val="00077868"/>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006"/>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C16"/>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6E"/>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3AB"/>
    <w:rsid w:val="000D362A"/>
    <w:rsid w:val="000D37FA"/>
    <w:rsid w:val="000D389E"/>
    <w:rsid w:val="000D3F8F"/>
    <w:rsid w:val="000D4324"/>
    <w:rsid w:val="000D46D6"/>
    <w:rsid w:val="000D46EE"/>
    <w:rsid w:val="000D4896"/>
    <w:rsid w:val="000D4DE6"/>
    <w:rsid w:val="000D5065"/>
    <w:rsid w:val="000D5158"/>
    <w:rsid w:val="000D55EA"/>
    <w:rsid w:val="000D5939"/>
    <w:rsid w:val="000D5965"/>
    <w:rsid w:val="000D59D6"/>
    <w:rsid w:val="000D5AB0"/>
    <w:rsid w:val="000D5AD1"/>
    <w:rsid w:val="000D5E4D"/>
    <w:rsid w:val="000D6E27"/>
    <w:rsid w:val="000D6E96"/>
    <w:rsid w:val="000D7268"/>
    <w:rsid w:val="000D7783"/>
    <w:rsid w:val="000E0068"/>
    <w:rsid w:val="000E011D"/>
    <w:rsid w:val="000E03CF"/>
    <w:rsid w:val="000E0D89"/>
    <w:rsid w:val="000E1003"/>
    <w:rsid w:val="000E14B9"/>
    <w:rsid w:val="000E1665"/>
    <w:rsid w:val="000E182B"/>
    <w:rsid w:val="000E1E8E"/>
    <w:rsid w:val="000E2787"/>
    <w:rsid w:val="000E279B"/>
    <w:rsid w:val="000E3075"/>
    <w:rsid w:val="000E331F"/>
    <w:rsid w:val="000E3358"/>
    <w:rsid w:val="000E38ED"/>
    <w:rsid w:val="000E3B1C"/>
    <w:rsid w:val="000E3F84"/>
    <w:rsid w:val="000E40C3"/>
    <w:rsid w:val="000E4178"/>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099D"/>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795"/>
    <w:rsid w:val="00140825"/>
    <w:rsid w:val="0014086C"/>
    <w:rsid w:val="00140903"/>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358"/>
    <w:rsid w:val="001517AB"/>
    <w:rsid w:val="00151805"/>
    <w:rsid w:val="00151897"/>
    <w:rsid w:val="00152066"/>
    <w:rsid w:val="00152559"/>
    <w:rsid w:val="00152A3B"/>
    <w:rsid w:val="0015347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046"/>
    <w:rsid w:val="00165137"/>
    <w:rsid w:val="001652DD"/>
    <w:rsid w:val="00165A2A"/>
    <w:rsid w:val="00165D9A"/>
    <w:rsid w:val="0016634F"/>
    <w:rsid w:val="001665C4"/>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D01"/>
    <w:rsid w:val="00172F5C"/>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01B"/>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81F"/>
    <w:rsid w:val="00183C9A"/>
    <w:rsid w:val="00183CB7"/>
    <w:rsid w:val="00183CC5"/>
    <w:rsid w:val="00183CC6"/>
    <w:rsid w:val="00183F11"/>
    <w:rsid w:val="001840F5"/>
    <w:rsid w:val="00184369"/>
    <w:rsid w:val="00184A29"/>
    <w:rsid w:val="00184DAB"/>
    <w:rsid w:val="00184F51"/>
    <w:rsid w:val="00185257"/>
    <w:rsid w:val="00185E59"/>
    <w:rsid w:val="00185F10"/>
    <w:rsid w:val="00185FDA"/>
    <w:rsid w:val="00186395"/>
    <w:rsid w:val="001863E3"/>
    <w:rsid w:val="0018695F"/>
    <w:rsid w:val="00186B4D"/>
    <w:rsid w:val="0018767B"/>
    <w:rsid w:val="00190137"/>
    <w:rsid w:val="001908C5"/>
    <w:rsid w:val="00190927"/>
    <w:rsid w:val="00190BD5"/>
    <w:rsid w:val="00190C5A"/>
    <w:rsid w:val="00190D28"/>
    <w:rsid w:val="00191727"/>
    <w:rsid w:val="00191EBF"/>
    <w:rsid w:val="001921E3"/>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97CA0"/>
    <w:rsid w:val="001A0303"/>
    <w:rsid w:val="001A0313"/>
    <w:rsid w:val="001A0676"/>
    <w:rsid w:val="001A067A"/>
    <w:rsid w:val="001A06C8"/>
    <w:rsid w:val="001A12B8"/>
    <w:rsid w:val="001A1337"/>
    <w:rsid w:val="001A27A5"/>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2E8"/>
    <w:rsid w:val="001B67ED"/>
    <w:rsid w:val="001B70CF"/>
    <w:rsid w:val="001B748B"/>
    <w:rsid w:val="001B773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620"/>
    <w:rsid w:val="001C589B"/>
    <w:rsid w:val="001C58A6"/>
    <w:rsid w:val="001C5BC8"/>
    <w:rsid w:val="001C5DBB"/>
    <w:rsid w:val="001C5F88"/>
    <w:rsid w:val="001C6130"/>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3CF9"/>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047"/>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4DF"/>
    <w:rsid w:val="001E5BB2"/>
    <w:rsid w:val="001E5D1F"/>
    <w:rsid w:val="001E6313"/>
    <w:rsid w:val="001E6BDA"/>
    <w:rsid w:val="001E6C1B"/>
    <w:rsid w:val="001E7173"/>
    <w:rsid w:val="001E719A"/>
    <w:rsid w:val="001E750C"/>
    <w:rsid w:val="001E7A8F"/>
    <w:rsid w:val="001E7D26"/>
    <w:rsid w:val="001F020C"/>
    <w:rsid w:val="001F0546"/>
    <w:rsid w:val="001F07F9"/>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82B"/>
    <w:rsid w:val="001F6E45"/>
    <w:rsid w:val="001F7182"/>
    <w:rsid w:val="001F7317"/>
    <w:rsid w:val="001F798D"/>
    <w:rsid w:val="001F7DD6"/>
    <w:rsid w:val="002000F2"/>
    <w:rsid w:val="002000FC"/>
    <w:rsid w:val="0020087C"/>
    <w:rsid w:val="00200A92"/>
    <w:rsid w:val="00200B81"/>
    <w:rsid w:val="00200BF9"/>
    <w:rsid w:val="00200CC2"/>
    <w:rsid w:val="0020142D"/>
    <w:rsid w:val="00201446"/>
    <w:rsid w:val="00201488"/>
    <w:rsid w:val="00201545"/>
    <w:rsid w:val="002016C0"/>
    <w:rsid w:val="00201A5F"/>
    <w:rsid w:val="00201B59"/>
    <w:rsid w:val="00201DEC"/>
    <w:rsid w:val="002024E6"/>
    <w:rsid w:val="00202D2E"/>
    <w:rsid w:val="00203159"/>
    <w:rsid w:val="00203A6E"/>
    <w:rsid w:val="00203F00"/>
    <w:rsid w:val="00203F5C"/>
    <w:rsid w:val="0020467F"/>
    <w:rsid w:val="002047DE"/>
    <w:rsid w:val="00204981"/>
    <w:rsid w:val="00204A5A"/>
    <w:rsid w:val="00204C12"/>
    <w:rsid w:val="00205635"/>
    <w:rsid w:val="00205682"/>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30BD"/>
    <w:rsid w:val="00213851"/>
    <w:rsid w:val="00214E0D"/>
    <w:rsid w:val="0021512E"/>
    <w:rsid w:val="0021586D"/>
    <w:rsid w:val="00215D76"/>
    <w:rsid w:val="002162EA"/>
    <w:rsid w:val="002165F9"/>
    <w:rsid w:val="00216685"/>
    <w:rsid w:val="00216B17"/>
    <w:rsid w:val="00216BBF"/>
    <w:rsid w:val="00216D0D"/>
    <w:rsid w:val="00217135"/>
    <w:rsid w:val="0021790B"/>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02A"/>
    <w:rsid w:val="00223833"/>
    <w:rsid w:val="00223ACD"/>
    <w:rsid w:val="00224A38"/>
    <w:rsid w:val="00224A9B"/>
    <w:rsid w:val="0022657F"/>
    <w:rsid w:val="00226611"/>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AA3"/>
    <w:rsid w:val="00234B73"/>
    <w:rsid w:val="00235581"/>
    <w:rsid w:val="00235698"/>
    <w:rsid w:val="00236032"/>
    <w:rsid w:val="00236F71"/>
    <w:rsid w:val="002373FC"/>
    <w:rsid w:val="00237C6F"/>
    <w:rsid w:val="00237D22"/>
    <w:rsid w:val="0024029F"/>
    <w:rsid w:val="00240487"/>
    <w:rsid w:val="00240956"/>
    <w:rsid w:val="00240B7D"/>
    <w:rsid w:val="00240C63"/>
    <w:rsid w:val="00240DD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2A7"/>
    <w:rsid w:val="0025653D"/>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B"/>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5F9"/>
    <w:rsid w:val="002849CB"/>
    <w:rsid w:val="00284E7F"/>
    <w:rsid w:val="0028550D"/>
    <w:rsid w:val="00285520"/>
    <w:rsid w:val="00285894"/>
    <w:rsid w:val="00285E28"/>
    <w:rsid w:val="00286631"/>
    <w:rsid w:val="00286B84"/>
    <w:rsid w:val="00286F76"/>
    <w:rsid w:val="00287376"/>
    <w:rsid w:val="002877DE"/>
    <w:rsid w:val="00287821"/>
    <w:rsid w:val="00287C28"/>
    <w:rsid w:val="00287C39"/>
    <w:rsid w:val="00287D33"/>
    <w:rsid w:val="00290254"/>
    <w:rsid w:val="00290C83"/>
    <w:rsid w:val="002910D7"/>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0A44"/>
    <w:rsid w:val="002A1176"/>
    <w:rsid w:val="002A1A57"/>
    <w:rsid w:val="002A1DA1"/>
    <w:rsid w:val="002A205B"/>
    <w:rsid w:val="002A2FB8"/>
    <w:rsid w:val="002A31FF"/>
    <w:rsid w:val="002A3668"/>
    <w:rsid w:val="002A3771"/>
    <w:rsid w:val="002A37C5"/>
    <w:rsid w:val="002A3AFD"/>
    <w:rsid w:val="002A3B12"/>
    <w:rsid w:val="002A4102"/>
    <w:rsid w:val="002A4651"/>
    <w:rsid w:val="002A4918"/>
    <w:rsid w:val="002A4B7D"/>
    <w:rsid w:val="002A4E20"/>
    <w:rsid w:val="002A523D"/>
    <w:rsid w:val="002A5FC1"/>
    <w:rsid w:val="002A6EF8"/>
    <w:rsid w:val="002A732C"/>
    <w:rsid w:val="002A7A6A"/>
    <w:rsid w:val="002A7AB4"/>
    <w:rsid w:val="002A7EBE"/>
    <w:rsid w:val="002B07BF"/>
    <w:rsid w:val="002B0805"/>
    <w:rsid w:val="002B0960"/>
    <w:rsid w:val="002B0C99"/>
    <w:rsid w:val="002B10F9"/>
    <w:rsid w:val="002B12C7"/>
    <w:rsid w:val="002B1AFA"/>
    <w:rsid w:val="002B21D6"/>
    <w:rsid w:val="002B225D"/>
    <w:rsid w:val="002B2C92"/>
    <w:rsid w:val="002B2F31"/>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6C8"/>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1AA1"/>
    <w:rsid w:val="002D2A64"/>
    <w:rsid w:val="002D2B48"/>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9B9"/>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68A"/>
    <w:rsid w:val="002F2AE0"/>
    <w:rsid w:val="002F31C4"/>
    <w:rsid w:val="002F322F"/>
    <w:rsid w:val="002F330A"/>
    <w:rsid w:val="002F3F16"/>
    <w:rsid w:val="002F413F"/>
    <w:rsid w:val="002F446A"/>
    <w:rsid w:val="002F44AD"/>
    <w:rsid w:val="002F45D3"/>
    <w:rsid w:val="002F4934"/>
    <w:rsid w:val="002F4A52"/>
    <w:rsid w:val="002F4CF5"/>
    <w:rsid w:val="002F4E98"/>
    <w:rsid w:val="002F4FC5"/>
    <w:rsid w:val="002F5043"/>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13"/>
    <w:rsid w:val="00307F28"/>
    <w:rsid w:val="003101DC"/>
    <w:rsid w:val="0031049F"/>
    <w:rsid w:val="00310CC6"/>
    <w:rsid w:val="00310F30"/>
    <w:rsid w:val="00311642"/>
    <w:rsid w:val="00311761"/>
    <w:rsid w:val="00311941"/>
    <w:rsid w:val="00311AA2"/>
    <w:rsid w:val="00312709"/>
    <w:rsid w:val="00312F4F"/>
    <w:rsid w:val="00313765"/>
    <w:rsid w:val="003137A0"/>
    <w:rsid w:val="003139E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110"/>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670"/>
    <w:rsid w:val="0033572D"/>
    <w:rsid w:val="0033592C"/>
    <w:rsid w:val="00335E2A"/>
    <w:rsid w:val="003363CE"/>
    <w:rsid w:val="00336780"/>
    <w:rsid w:val="003367C5"/>
    <w:rsid w:val="00336DAD"/>
    <w:rsid w:val="00336DB3"/>
    <w:rsid w:val="00337065"/>
    <w:rsid w:val="00337B29"/>
    <w:rsid w:val="00337C71"/>
    <w:rsid w:val="00337EDF"/>
    <w:rsid w:val="003406B1"/>
    <w:rsid w:val="00340CC6"/>
    <w:rsid w:val="00340E58"/>
    <w:rsid w:val="00341087"/>
    <w:rsid w:val="00341706"/>
    <w:rsid w:val="00341CFA"/>
    <w:rsid w:val="003420AD"/>
    <w:rsid w:val="0034246D"/>
    <w:rsid w:val="0034305B"/>
    <w:rsid w:val="00343C24"/>
    <w:rsid w:val="00343FA6"/>
    <w:rsid w:val="00344725"/>
    <w:rsid w:val="00344901"/>
    <w:rsid w:val="00344B58"/>
    <w:rsid w:val="0034511B"/>
    <w:rsid w:val="003453BF"/>
    <w:rsid w:val="00347356"/>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3E89"/>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4673"/>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781"/>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A60"/>
    <w:rsid w:val="00387B2B"/>
    <w:rsid w:val="00390449"/>
    <w:rsid w:val="003904B1"/>
    <w:rsid w:val="003907D2"/>
    <w:rsid w:val="00390C56"/>
    <w:rsid w:val="00391132"/>
    <w:rsid w:val="0039122C"/>
    <w:rsid w:val="0039124D"/>
    <w:rsid w:val="00391354"/>
    <w:rsid w:val="00391A92"/>
    <w:rsid w:val="00391C10"/>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6CDC"/>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8E7"/>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4BD"/>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B7E8F"/>
    <w:rsid w:val="003C009A"/>
    <w:rsid w:val="003C07D7"/>
    <w:rsid w:val="003C0985"/>
    <w:rsid w:val="003C10B8"/>
    <w:rsid w:val="003C10EA"/>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2BB"/>
    <w:rsid w:val="003D034A"/>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D7C40"/>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A80"/>
    <w:rsid w:val="003E4CDB"/>
    <w:rsid w:val="003E5397"/>
    <w:rsid w:val="003E6289"/>
    <w:rsid w:val="003E6592"/>
    <w:rsid w:val="003E679D"/>
    <w:rsid w:val="003E6A3C"/>
    <w:rsid w:val="003E700A"/>
    <w:rsid w:val="003E7313"/>
    <w:rsid w:val="003E73BC"/>
    <w:rsid w:val="003E7628"/>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C56"/>
    <w:rsid w:val="003F62B4"/>
    <w:rsid w:val="003F682D"/>
    <w:rsid w:val="003F6853"/>
    <w:rsid w:val="003F6930"/>
    <w:rsid w:val="003F697D"/>
    <w:rsid w:val="003F6A55"/>
    <w:rsid w:val="003F6D75"/>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AE1"/>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04C"/>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B22"/>
    <w:rsid w:val="00416F3B"/>
    <w:rsid w:val="0041743D"/>
    <w:rsid w:val="004174FC"/>
    <w:rsid w:val="00417678"/>
    <w:rsid w:val="00417D10"/>
    <w:rsid w:val="00420126"/>
    <w:rsid w:val="00420249"/>
    <w:rsid w:val="004203CF"/>
    <w:rsid w:val="00420755"/>
    <w:rsid w:val="00420CB7"/>
    <w:rsid w:val="004213C2"/>
    <w:rsid w:val="004213E8"/>
    <w:rsid w:val="0042156E"/>
    <w:rsid w:val="0042215F"/>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1EB9"/>
    <w:rsid w:val="0043270B"/>
    <w:rsid w:val="00432780"/>
    <w:rsid w:val="00432F8F"/>
    <w:rsid w:val="00432F9E"/>
    <w:rsid w:val="00433106"/>
    <w:rsid w:val="0043359F"/>
    <w:rsid w:val="00433D8A"/>
    <w:rsid w:val="00433E03"/>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20"/>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98F"/>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7B"/>
    <w:rsid w:val="00480B03"/>
    <w:rsid w:val="00480C70"/>
    <w:rsid w:val="00480CC5"/>
    <w:rsid w:val="00480D6A"/>
    <w:rsid w:val="004810EC"/>
    <w:rsid w:val="0048129B"/>
    <w:rsid w:val="00481607"/>
    <w:rsid w:val="00481611"/>
    <w:rsid w:val="004818FF"/>
    <w:rsid w:val="00481A8B"/>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DF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C3C"/>
    <w:rsid w:val="004A5D36"/>
    <w:rsid w:val="004A6642"/>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9E4"/>
    <w:rsid w:val="004C2371"/>
    <w:rsid w:val="004C2985"/>
    <w:rsid w:val="004C2F01"/>
    <w:rsid w:val="004C3472"/>
    <w:rsid w:val="004C34E8"/>
    <w:rsid w:val="004C3AD1"/>
    <w:rsid w:val="004C3C51"/>
    <w:rsid w:val="004C47FE"/>
    <w:rsid w:val="004C4BCE"/>
    <w:rsid w:val="004C4BF3"/>
    <w:rsid w:val="004C4F33"/>
    <w:rsid w:val="004C521E"/>
    <w:rsid w:val="004C5283"/>
    <w:rsid w:val="004C566C"/>
    <w:rsid w:val="004C57E5"/>
    <w:rsid w:val="004C5C44"/>
    <w:rsid w:val="004C5EF0"/>
    <w:rsid w:val="004C61A4"/>
    <w:rsid w:val="004C63D6"/>
    <w:rsid w:val="004C660B"/>
    <w:rsid w:val="004C6A0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49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86D"/>
    <w:rsid w:val="004F7C51"/>
    <w:rsid w:val="004F7F1A"/>
    <w:rsid w:val="0050031C"/>
    <w:rsid w:val="005004F7"/>
    <w:rsid w:val="00500798"/>
    <w:rsid w:val="005007E7"/>
    <w:rsid w:val="00500A59"/>
    <w:rsid w:val="0050132F"/>
    <w:rsid w:val="00501723"/>
    <w:rsid w:val="00501A8C"/>
    <w:rsid w:val="00501F0D"/>
    <w:rsid w:val="005023DC"/>
    <w:rsid w:val="0050251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B"/>
    <w:rsid w:val="00506A8D"/>
    <w:rsid w:val="00506B00"/>
    <w:rsid w:val="00506C2E"/>
    <w:rsid w:val="00506D5A"/>
    <w:rsid w:val="005074C9"/>
    <w:rsid w:val="00507754"/>
    <w:rsid w:val="00507CAD"/>
    <w:rsid w:val="00507CAF"/>
    <w:rsid w:val="00510374"/>
    <w:rsid w:val="00510444"/>
    <w:rsid w:val="00510624"/>
    <w:rsid w:val="005114BF"/>
    <w:rsid w:val="00511599"/>
    <w:rsid w:val="005119D6"/>
    <w:rsid w:val="00511E67"/>
    <w:rsid w:val="00512019"/>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4C5"/>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D81"/>
    <w:rsid w:val="00531EA2"/>
    <w:rsid w:val="00531F71"/>
    <w:rsid w:val="00532292"/>
    <w:rsid w:val="00532462"/>
    <w:rsid w:val="005328D8"/>
    <w:rsid w:val="00532B16"/>
    <w:rsid w:val="00532C9D"/>
    <w:rsid w:val="00533088"/>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968"/>
    <w:rsid w:val="00562CDC"/>
    <w:rsid w:val="00563F4A"/>
    <w:rsid w:val="00563FD2"/>
    <w:rsid w:val="0056434D"/>
    <w:rsid w:val="00564597"/>
    <w:rsid w:val="00564E58"/>
    <w:rsid w:val="00564EB9"/>
    <w:rsid w:val="0056548E"/>
    <w:rsid w:val="00566C25"/>
    <w:rsid w:val="0056706A"/>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09D"/>
    <w:rsid w:val="00581081"/>
    <w:rsid w:val="005815D2"/>
    <w:rsid w:val="005818D4"/>
    <w:rsid w:val="005819D7"/>
    <w:rsid w:val="00581AB8"/>
    <w:rsid w:val="00581C6E"/>
    <w:rsid w:val="00581F40"/>
    <w:rsid w:val="00582284"/>
    <w:rsid w:val="005829CC"/>
    <w:rsid w:val="00582E3D"/>
    <w:rsid w:val="00583147"/>
    <w:rsid w:val="005836D0"/>
    <w:rsid w:val="00583DEF"/>
    <w:rsid w:val="00583E78"/>
    <w:rsid w:val="00584496"/>
    <w:rsid w:val="005852AA"/>
    <w:rsid w:val="00585733"/>
    <w:rsid w:val="00585867"/>
    <w:rsid w:val="00585C3A"/>
    <w:rsid w:val="00586013"/>
    <w:rsid w:val="0058628A"/>
    <w:rsid w:val="00586353"/>
    <w:rsid w:val="00586B34"/>
    <w:rsid w:val="00587117"/>
    <w:rsid w:val="0058759B"/>
    <w:rsid w:val="0058764D"/>
    <w:rsid w:val="00587CC2"/>
    <w:rsid w:val="005909AD"/>
    <w:rsid w:val="00590BF6"/>
    <w:rsid w:val="00591B9C"/>
    <w:rsid w:val="00591C29"/>
    <w:rsid w:val="00592160"/>
    <w:rsid w:val="005923C9"/>
    <w:rsid w:val="00592573"/>
    <w:rsid w:val="0059284F"/>
    <w:rsid w:val="00592E68"/>
    <w:rsid w:val="0059323A"/>
    <w:rsid w:val="00593447"/>
    <w:rsid w:val="00593C79"/>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9E9"/>
    <w:rsid w:val="005A320D"/>
    <w:rsid w:val="005A343D"/>
    <w:rsid w:val="005A36E3"/>
    <w:rsid w:val="005A3A31"/>
    <w:rsid w:val="005A416C"/>
    <w:rsid w:val="005A588D"/>
    <w:rsid w:val="005A59CF"/>
    <w:rsid w:val="005A6223"/>
    <w:rsid w:val="005A678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93F"/>
    <w:rsid w:val="005B4C5C"/>
    <w:rsid w:val="005B4C83"/>
    <w:rsid w:val="005B4E83"/>
    <w:rsid w:val="005B5082"/>
    <w:rsid w:val="005B50EF"/>
    <w:rsid w:val="005B5152"/>
    <w:rsid w:val="005B5425"/>
    <w:rsid w:val="005B54FE"/>
    <w:rsid w:val="005B5A40"/>
    <w:rsid w:val="005B5A55"/>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5F"/>
    <w:rsid w:val="005D46E9"/>
    <w:rsid w:val="005D5012"/>
    <w:rsid w:val="005D5E46"/>
    <w:rsid w:val="005D609E"/>
    <w:rsid w:val="005D64A5"/>
    <w:rsid w:val="005D6929"/>
    <w:rsid w:val="005D69D5"/>
    <w:rsid w:val="005D6B18"/>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7B5"/>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654"/>
    <w:rsid w:val="00600AAB"/>
    <w:rsid w:val="00600B6C"/>
    <w:rsid w:val="00601027"/>
    <w:rsid w:val="00601072"/>
    <w:rsid w:val="00601097"/>
    <w:rsid w:val="0060144E"/>
    <w:rsid w:val="00601FCD"/>
    <w:rsid w:val="00602354"/>
    <w:rsid w:val="0060254B"/>
    <w:rsid w:val="0060268D"/>
    <w:rsid w:val="006027D5"/>
    <w:rsid w:val="00602BC3"/>
    <w:rsid w:val="0060305B"/>
    <w:rsid w:val="006039C5"/>
    <w:rsid w:val="00603B1B"/>
    <w:rsid w:val="00603FBD"/>
    <w:rsid w:val="006043D7"/>
    <w:rsid w:val="00604594"/>
    <w:rsid w:val="00604708"/>
    <w:rsid w:val="00604CFF"/>
    <w:rsid w:val="00605399"/>
    <w:rsid w:val="006053AB"/>
    <w:rsid w:val="006054EE"/>
    <w:rsid w:val="006058FE"/>
    <w:rsid w:val="0060591D"/>
    <w:rsid w:val="006059EC"/>
    <w:rsid w:val="00605A02"/>
    <w:rsid w:val="00605A5D"/>
    <w:rsid w:val="00605B5D"/>
    <w:rsid w:val="00606BAB"/>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77C"/>
    <w:rsid w:val="0062080B"/>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564"/>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614"/>
    <w:rsid w:val="00635EDC"/>
    <w:rsid w:val="00635F56"/>
    <w:rsid w:val="00636094"/>
    <w:rsid w:val="0063633A"/>
    <w:rsid w:val="0063650D"/>
    <w:rsid w:val="00636A76"/>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88"/>
    <w:rsid w:val="00643891"/>
    <w:rsid w:val="00643DCD"/>
    <w:rsid w:val="00644200"/>
    <w:rsid w:val="0064428B"/>
    <w:rsid w:val="00644511"/>
    <w:rsid w:val="0064486C"/>
    <w:rsid w:val="00644E60"/>
    <w:rsid w:val="00645190"/>
    <w:rsid w:val="00645ACC"/>
    <w:rsid w:val="0064667D"/>
    <w:rsid w:val="006466B5"/>
    <w:rsid w:val="00646B73"/>
    <w:rsid w:val="006477A7"/>
    <w:rsid w:val="00647CB3"/>
    <w:rsid w:val="00650150"/>
    <w:rsid w:val="00650854"/>
    <w:rsid w:val="00650D1E"/>
    <w:rsid w:val="00650D3F"/>
    <w:rsid w:val="00650EB8"/>
    <w:rsid w:val="00650F7C"/>
    <w:rsid w:val="00650FBE"/>
    <w:rsid w:val="006513D5"/>
    <w:rsid w:val="00651843"/>
    <w:rsid w:val="006518B1"/>
    <w:rsid w:val="00651AD3"/>
    <w:rsid w:val="00651B74"/>
    <w:rsid w:val="00651FA0"/>
    <w:rsid w:val="00652103"/>
    <w:rsid w:val="0065258D"/>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67"/>
    <w:rsid w:val="006578A5"/>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26"/>
    <w:rsid w:val="00680A97"/>
    <w:rsid w:val="00680F30"/>
    <w:rsid w:val="00680F81"/>
    <w:rsid w:val="0068102D"/>
    <w:rsid w:val="00681254"/>
    <w:rsid w:val="00681307"/>
    <w:rsid w:val="00681685"/>
    <w:rsid w:val="006820C0"/>
    <w:rsid w:val="0068226B"/>
    <w:rsid w:val="00682E47"/>
    <w:rsid w:val="00682ED3"/>
    <w:rsid w:val="00683D7F"/>
    <w:rsid w:val="00683E9E"/>
    <w:rsid w:val="006840B3"/>
    <w:rsid w:val="00684258"/>
    <w:rsid w:val="006845C9"/>
    <w:rsid w:val="00684E83"/>
    <w:rsid w:val="006853FF"/>
    <w:rsid w:val="00685725"/>
    <w:rsid w:val="00685834"/>
    <w:rsid w:val="00685CD9"/>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2D6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7B"/>
    <w:rsid w:val="006B0A30"/>
    <w:rsid w:val="006B0D59"/>
    <w:rsid w:val="006B1213"/>
    <w:rsid w:val="006B163E"/>
    <w:rsid w:val="006B166D"/>
    <w:rsid w:val="006B19B2"/>
    <w:rsid w:val="006B1A07"/>
    <w:rsid w:val="006B1DA2"/>
    <w:rsid w:val="006B1F5F"/>
    <w:rsid w:val="006B2008"/>
    <w:rsid w:val="006B21E9"/>
    <w:rsid w:val="006B242D"/>
    <w:rsid w:val="006B2431"/>
    <w:rsid w:val="006B2834"/>
    <w:rsid w:val="006B32E7"/>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416"/>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4AB7"/>
    <w:rsid w:val="006D4B66"/>
    <w:rsid w:val="006D5457"/>
    <w:rsid w:val="006D59BF"/>
    <w:rsid w:val="006D5A62"/>
    <w:rsid w:val="006D5CC9"/>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2"/>
    <w:rsid w:val="006F090B"/>
    <w:rsid w:val="006F0C12"/>
    <w:rsid w:val="006F0DB2"/>
    <w:rsid w:val="006F0E38"/>
    <w:rsid w:val="006F0EB1"/>
    <w:rsid w:val="006F1734"/>
    <w:rsid w:val="006F1D86"/>
    <w:rsid w:val="006F1E30"/>
    <w:rsid w:val="006F20A6"/>
    <w:rsid w:val="006F291E"/>
    <w:rsid w:val="006F2D8C"/>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E5D"/>
    <w:rsid w:val="007032E6"/>
    <w:rsid w:val="007036E5"/>
    <w:rsid w:val="00703D8A"/>
    <w:rsid w:val="00704123"/>
    <w:rsid w:val="00704641"/>
    <w:rsid w:val="007047A7"/>
    <w:rsid w:val="007050A6"/>
    <w:rsid w:val="00705149"/>
    <w:rsid w:val="007056ED"/>
    <w:rsid w:val="00705D28"/>
    <w:rsid w:val="00706A9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17EC8"/>
    <w:rsid w:val="00720759"/>
    <w:rsid w:val="00720A0C"/>
    <w:rsid w:val="007215A9"/>
    <w:rsid w:val="0072190B"/>
    <w:rsid w:val="00721CB7"/>
    <w:rsid w:val="00721DB3"/>
    <w:rsid w:val="00721E1D"/>
    <w:rsid w:val="00722260"/>
    <w:rsid w:val="00722B72"/>
    <w:rsid w:val="00722BD3"/>
    <w:rsid w:val="00723099"/>
    <w:rsid w:val="007233B6"/>
    <w:rsid w:val="00723445"/>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0C06"/>
    <w:rsid w:val="00751B32"/>
    <w:rsid w:val="00751F76"/>
    <w:rsid w:val="0075210F"/>
    <w:rsid w:val="00752497"/>
    <w:rsid w:val="007524E2"/>
    <w:rsid w:val="00752FE7"/>
    <w:rsid w:val="00753F01"/>
    <w:rsid w:val="0075412E"/>
    <w:rsid w:val="00754747"/>
    <w:rsid w:val="00754D64"/>
    <w:rsid w:val="00754FCC"/>
    <w:rsid w:val="00755420"/>
    <w:rsid w:val="00755559"/>
    <w:rsid w:val="00755804"/>
    <w:rsid w:val="00755B06"/>
    <w:rsid w:val="00755D41"/>
    <w:rsid w:val="00755E06"/>
    <w:rsid w:val="00755F8B"/>
    <w:rsid w:val="00756528"/>
    <w:rsid w:val="007565E2"/>
    <w:rsid w:val="00756E87"/>
    <w:rsid w:val="00756F15"/>
    <w:rsid w:val="00756F1E"/>
    <w:rsid w:val="007572E9"/>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072"/>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13D"/>
    <w:rsid w:val="007743A1"/>
    <w:rsid w:val="007744EF"/>
    <w:rsid w:val="00775BAA"/>
    <w:rsid w:val="00775EFD"/>
    <w:rsid w:val="00775F11"/>
    <w:rsid w:val="00776351"/>
    <w:rsid w:val="00776489"/>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7A5"/>
    <w:rsid w:val="00781B9A"/>
    <w:rsid w:val="00781BC7"/>
    <w:rsid w:val="00781DAD"/>
    <w:rsid w:val="00781E8E"/>
    <w:rsid w:val="0078243D"/>
    <w:rsid w:val="00782D8A"/>
    <w:rsid w:val="007833C3"/>
    <w:rsid w:val="007837BE"/>
    <w:rsid w:val="0078380D"/>
    <w:rsid w:val="00784112"/>
    <w:rsid w:val="007842FE"/>
    <w:rsid w:val="0078440C"/>
    <w:rsid w:val="00784702"/>
    <w:rsid w:val="00784C31"/>
    <w:rsid w:val="00784EA1"/>
    <w:rsid w:val="00784ECF"/>
    <w:rsid w:val="00784FC7"/>
    <w:rsid w:val="007850C3"/>
    <w:rsid w:val="007859E1"/>
    <w:rsid w:val="007861D1"/>
    <w:rsid w:val="00786272"/>
    <w:rsid w:val="007864B2"/>
    <w:rsid w:val="00786620"/>
    <w:rsid w:val="0078681A"/>
    <w:rsid w:val="007868B7"/>
    <w:rsid w:val="00786BC0"/>
    <w:rsid w:val="007875E7"/>
    <w:rsid w:val="00787672"/>
    <w:rsid w:val="00787736"/>
    <w:rsid w:val="00787A55"/>
    <w:rsid w:val="00787D57"/>
    <w:rsid w:val="00787FF1"/>
    <w:rsid w:val="00790C46"/>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09E"/>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AD7"/>
    <w:rsid w:val="007F4BFE"/>
    <w:rsid w:val="007F4DF1"/>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2839"/>
    <w:rsid w:val="008231BD"/>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DE1"/>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6EB3"/>
    <w:rsid w:val="0083768C"/>
    <w:rsid w:val="00837E87"/>
    <w:rsid w:val="008401C3"/>
    <w:rsid w:val="008404D7"/>
    <w:rsid w:val="00840634"/>
    <w:rsid w:val="00840A68"/>
    <w:rsid w:val="00840A83"/>
    <w:rsid w:val="00840D46"/>
    <w:rsid w:val="00841573"/>
    <w:rsid w:val="008419A1"/>
    <w:rsid w:val="00841EE6"/>
    <w:rsid w:val="00841FA0"/>
    <w:rsid w:val="0084203F"/>
    <w:rsid w:val="00842061"/>
    <w:rsid w:val="0084222E"/>
    <w:rsid w:val="0084296C"/>
    <w:rsid w:val="00842B49"/>
    <w:rsid w:val="00842C3C"/>
    <w:rsid w:val="00842DB7"/>
    <w:rsid w:val="008436D1"/>
    <w:rsid w:val="0084387F"/>
    <w:rsid w:val="00843AFD"/>
    <w:rsid w:val="00843B2C"/>
    <w:rsid w:val="00843D2A"/>
    <w:rsid w:val="008442FF"/>
    <w:rsid w:val="008444F8"/>
    <w:rsid w:val="0084456A"/>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58F"/>
    <w:rsid w:val="00850AE8"/>
    <w:rsid w:val="00850B13"/>
    <w:rsid w:val="00850D0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232"/>
    <w:rsid w:val="00865696"/>
    <w:rsid w:val="00865D02"/>
    <w:rsid w:val="00865D4C"/>
    <w:rsid w:val="00865DE1"/>
    <w:rsid w:val="00866BFD"/>
    <w:rsid w:val="00866C2A"/>
    <w:rsid w:val="00866FEA"/>
    <w:rsid w:val="00867255"/>
    <w:rsid w:val="0086753C"/>
    <w:rsid w:val="008678F0"/>
    <w:rsid w:val="00870018"/>
    <w:rsid w:val="00870793"/>
    <w:rsid w:val="00870869"/>
    <w:rsid w:val="00870A1C"/>
    <w:rsid w:val="00871029"/>
    <w:rsid w:val="00871096"/>
    <w:rsid w:val="00871171"/>
    <w:rsid w:val="008711F8"/>
    <w:rsid w:val="00871372"/>
    <w:rsid w:val="00871D14"/>
    <w:rsid w:val="008722B0"/>
    <w:rsid w:val="0087250F"/>
    <w:rsid w:val="00872825"/>
    <w:rsid w:val="00872C7C"/>
    <w:rsid w:val="00872D63"/>
    <w:rsid w:val="00872F39"/>
    <w:rsid w:val="00873463"/>
    <w:rsid w:val="008734E7"/>
    <w:rsid w:val="00873BF0"/>
    <w:rsid w:val="00873C85"/>
    <w:rsid w:val="008742CE"/>
    <w:rsid w:val="00874E33"/>
    <w:rsid w:val="00874FAC"/>
    <w:rsid w:val="0087504C"/>
    <w:rsid w:val="00875429"/>
    <w:rsid w:val="00875755"/>
    <w:rsid w:val="00875900"/>
    <w:rsid w:val="00875905"/>
    <w:rsid w:val="00875DB8"/>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BCD"/>
    <w:rsid w:val="00890E0D"/>
    <w:rsid w:val="00890F04"/>
    <w:rsid w:val="00890FBE"/>
    <w:rsid w:val="00891F63"/>
    <w:rsid w:val="00891FEC"/>
    <w:rsid w:val="00892253"/>
    <w:rsid w:val="008922DF"/>
    <w:rsid w:val="008929FE"/>
    <w:rsid w:val="00893024"/>
    <w:rsid w:val="0089302F"/>
    <w:rsid w:val="00893B3B"/>
    <w:rsid w:val="00893BA4"/>
    <w:rsid w:val="00893DB3"/>
    <w:rsid w:val="00893DD4"/>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B65"/>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1D16"/>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776"/>
    <w:rsid w:val="008C00D3"/>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FAE"/>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8D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1FE2"/>
    <w:rsid w:val="009225B6"/>
    <w:rsid w:val="00923151"/>
    <w:rsid w:val="009235CF"/>
    <w:rsid w:val="00923821"/>
    <w:rsid w:val="00924108"/>
    <w:rsid w:val="0092507E"/>
    <w:rsid w:val="00925088"/>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7C6"/>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43A"/>
    <w:rsid w:val="0094376F"/>
    <w:rsid w:val="00944202"/>
    <w:rsid w:val="00944335"/>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A6F"/>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49"/>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4C2"/>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6A8B"/>
    <w:rsid w:val="00996CD4"/>
    <w:rsid w:val="00996FFE"/>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3E4"/>
    <w:rsid w:val="009A3576"/>
    <w:rsid w:val="009A3A6D"/>
    <w:rsid w:val="009A3AB5"/>
    <w:rsid w:val="009A3BA5"/>
    <w:rsid w:val="009A4990"/>
    <w:rsid w:val="009A4AA9"/>
    <w:rsid w:val="009A516A"/>
    <w:rsid w:val="009A56A7"/>
    <w:rsid w:val="009A6127"/>
    <w:rsid w:val="009A62DC"/>
    <w:rsid w:val="009A637B"/>
    <w:rsid w:val="009A6456"/>
    <w:rsid w:val="009A6BA7"/>
    <w:rsid w:val="009A6C74"/>
    <w:rsid w:val="009A6EE7"/>
    <w:rsid w:val="009A7154"/>
    <w:rsid w:val="009A78D1"/>
    <w:rsid w:val="009A7DFB"/>
    <w:rsid w:val="009A7E08"/>
    <w:rsid w:val="009B003C"/>
    <w:rsid w:val="009B1823"/>
    <w:rsid w:val="009B1D8F"/>
    <w:rsid w:val="009B2E47"/>
    <w:rsid w:val="009B3685"/>
    <w:rsid w:val="009B3745"/>
    <w:rsid w:val="009B3C79"/>
    <w:rsid w:val="009B3D47"/>
    <w:rsid w:val="009B4250"/>
    <w:rsid w:val="009B4821"/>
    <w:rsid w:val="009B4C1C"/>
    <w:rsid w:val="009B4C24"/>
    <w:rsid w:val="009B5327"/>
    <w:rsid w:val="009B5821"/>
    <w:rsid w:val="009B70E9"/>
    <w:rsid w:val="009B7564"/>
    <w:rsid w:val="009B7BB7"/>
    <w:rsid w:val="009B7F98"/>
    <w:rsid w:val="009B7FFA"/>
    <w:rsid w:val="009C00EF"/>
    <w:rsid w:val="009C0A83"/>
    <w:rsid w:val="009C0BC1"/>
    <w:rsid w:val="009C0DBE"/>
    <w:rsid w:val="009C1723"/>
    <w:rsid w:val="009C19BC"/>
    <w:rsid w:val="009C19D2"/>
    <w:rsid w:val="009C1BF9"/>
    <w:rsid w:val="009C1D4B"/>
    <w:rsid w:val="009C1E0C"/>
    <w:rsid w:val="009C281C"/>
    <w:rsid w:val="009C2AB0"/>
    <w:rsid w:val="009C2DDB"/>
    <w:rsid w:val="009C3D88"/>
    <w:rsid w:val="009C42A3"/>
    <w:rsid w:val="009C4B76"/>
    <w:rsid w:val="009C520B"/>
    <w:rsid w:val="009C5777"/>
    <w:rsid w:val="009C5785"/>
    <w:rsid w:val="009C5874"/>
    <w:rsid w:val="009C6768"/>
    <w:rsid w:val="009C6894"/>
    <w:rsid w:val="009C6B3B"/>
    <w:rsid w:val="009C6B7B"/>
    <w:rsid w:val="009C6E93"/>
    <w:rsid w:val="009C73C4"/>
    <w:rsid w:val="009C7CE4"/>
    <w:rsid w:val="009C7F47"/>
    <w:rsid w:val="009D0361"/>
    <w:rsid w:val="009D0720"/>
    <w:rsid w:val="009D0C8D"/>
    <w:rsid w:val="009D1249"/>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C7"/>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2FCD"/>
    <w:rsid w:val="00A03A1D"/>
    <w:rsid w:val="00A043B9"/>
    <w:rsid w:val="00A04541"/>
    <w:rsid w:val="00A04A92"/>
    <w:rsid w:val="00A04DB3"/>
    <w:rsid w:val="00A04E65"/>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7C5"/>
    <w:rsid w:val="00A10B48"/>
    <w:rsid w:val="00A10B7D"/>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132"/>
    <w:rsid w:val="00A22207"/>
    <w:rsid w:val="00A22664"/>
    <w:rsid w:val="00A23243"/>
    <w:rsid w:val="00A23590"/>
    <w:rsid w:val="00A23919"/>
    <w:rsid w:val="00A23921"/>
    <w:rsid w:val="00A23E0D"/>
    <w:rsid w:val="00A23FA5"/>
    <w:rsid w:val="00A24002"/>
    <w:rsid w:val="00A2470A"/>
    <w:rsid w:val="00A2481C"/>
    <w:rsid w:val="00A24CCF"/>
    <w:rsid w:val="00A25296"/>
    <w:rsid w:val="00A253C6"/>
    <w:rsid w:val="00A2585A"/>
    <w:rsid w:val="00A259A5"/>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0F64"/>
    <w:rsid w:val="00A41202"/>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64E"/>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5AD"/>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82"/>
    <w:rsid w:val="00A6743F"/>
    <w:rsid w:val="00A677C1"/>
    <w:rsid w:val="00A67A8E"/>
    <w:rsid w:val="00A67AC6"/>
    <w:rsid w:val="00A70038"/>
    <w:rsid w:val="00A70A35"/>
    <w:rsid w:val="00A70AE8"/>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24F"/>
    <w:rsid w:val="00A83309"/>
    <w:rsid w:val="00A83BF1"/>
    <w:rsid w:val="00A83CA0"/>
    <w:rsid w:val="00A84298"/>
    <w:rsid w:val="00A844CE"/>
    <w:rsid w:val="00A84EBF"/>
    <w:rsid w:val="00A851E3"/>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0B0"/>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2EA8"/>
    <w:rsid w:val="00AC3084"/>
    <w:rsid w:val="00AC3431"/>
    <w:rsid w:val="00AC38E9"/>
    <w:rsid w:val="00AC45D6"/>
    <w:rsid w:val="00AC4D1B"/>
    <w:rsid w:val="00AC4D53"/>
    <w:rsid w:val="00AC4D9E"/>
    <w:rsid w:val="00AC4E2E"/>
    <w:rsid w:val="00AC5C2A"/>
    <w:rsid w:val="00AC61B3"/>
    <w:rsid w:val="00AC63F4"/>
    <w:rsid w:val="00AC6786"/>
    <w:rsid w:val="00AC6CDD"/>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92"/>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4EA"/>
    <w:rsid w:val="00AE5C22"/>
    <w:rsid w:val="00AE5E95"/>
    <w:rsid w:val="00AE6433"/>
    <w:rsid w:val="00AE6584"/>
    <w:rsid w:val="00AE69BD"/>
    <w:rsid w:val="00AE6D12"/>
    <w:rsid w:val="00AE6E6D"/>
    <w:rsid w:val="00AE723D"/>
    <w:rsid w:val="00AE74B2"/>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3E5A"/>
    <w:rsid w:val="00AF4095"/>
    <w:rsid w:val="00AF41FC"/>
    <w:rsid w:val="00AF4447"/>
    <w:rsid w:val="00AF457C"/>
    <w:rsid w:val="00AF4ABD"/>
    <w:rsid w:val="00AF5363"/>
    <w:rsid w:val="00AF5962"/>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337"/>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E6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DB"/>
    <w:rsid w:val="00B24F49"/>
    <w:rsid w:val="00B25585"/>
    <w:rsid w:val="00B2571D"/>
    <w:rsid w:val="00B25A0E"/>
    <w:rsid w:val="00B25A70"/>
    <w:rsid w:val="00B25BD8"/>
    <w:rsid w:val="00B25E1D"/>
    <w:rsid w:val="00B25F9A"/>
    <w:rsid w:val="00B2613A"/>
    <w:rsid w:val="00B263BE"/>
    <w:rsid w:val="00B269CE"/>
    <w:rsid w:val="00B26C02"/>
    <w:rsid w:val="00B26F22"/>
    <w:rsid w:val="00B2757B"/>
    <w:rsid w:val="00B27C27"/>
    <w:rsid w:val="00B27D54"/>
    <w:rsid w:val="00B3057A"/>
    <w:rsid w:val="00B315AC"/>
    <w:rsid w:val="00B317EB"/>
    <w:rsid w:val="00B318CB"/>
    <w:rsid w:val="00B31E5F"/>
    <w:rsid w:val="00B322A7"/>
    <w:rsid w:val="00B32607"/>
    <w:rsid w:val="00B326BE"/>
    <w:rsid w:val="00B32F7F"/>
    <w:rsid w:val="00B33126"/>
    <w:rsid w:val="00B338CE"/>
    <w:rsid w:val="00B3396B"/>
    <w:rsid w:val="00B33A38"/>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8FD"/>
    <w:rsid w:val="00B45A61"/>
    <w:rsid w:val="00B45AC0"/>
    <w:rsid w:val="00B46501"/>
    <w:rsid w:val="00B47784"/>
    <w:rsid w:val="00B4783F"/>
    <w:rsid w:val="00B47858"/>
    <w:rsid w:val="00B47CEF"/>
    <w:rsid w:val="00B47E07"/>
    <w:rsid w:val="00B50261"/>
    <w:rsid w:val="00B504F7"/>
    <w:rsid w:val="00B50810"/>
    <w:rsid w:val="00B50933"/>
    <w:rsid w:val="00B509C0"/>
    <w:rsid w:val="00B50E09"/>
    <w:rsid w:val="00B51420"/>
    <w:rsid w:val="00B51526"/>
    <w:rsid w:val="00B51614"/>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8CC"/>
    <w:rsid w:val="00B55ACA"/>
    <w:rsid w:val="00B561BD"/>
    <w:rsid w:val="00B56426"/>
    <w:rsid w:val="00B566E0"/>
    <w:rsid w:val="00B5685D"/>
    <w:rsid w:val="00B56E91"/>
    <w:rsid w:val="00B56F22"/>
    <w:rsid w:val="00B574BA"/>
    <w:rsid w:val="00B57861"/>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DE"/>
    <w:rsid w:val="00B66801"/>
    <w:rsid w:val="00B668B4"/>
    <w:rsid w:val="00B66FFC"/>
    <w:rsid w:val="00B6796C"/>
    <w:rsid w:val="00B67B2B"/>
    <w:rsid w:val="00B67DC6"/>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0F5"/>
    <w:rsid w:val="00BA48E0"/>
    <w:rsid w:val="00BA4C62"/>
    <w:rsid w:val="00BA4CF4"/>
    <w:rsid w:val="00BA4FDC"/>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01F"/>
    <w:rsid w:val="00BC2B2C"/>
    <w:rsid w:val="00BC2BC7"/>
    <w:rsid w:val="00BC2F45"/>
    <w:rsid w:val="00BC344E"/>
    <w:rsid w:val="00BC38B8"/>
    <w:rsid w:val="00BC3C73"/>
    <w:rsid w:val="00BC3CF8"/>
    <w:rsid w:val="00BC4486"/>
    <w:rsid w:val="00BC44E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509"/>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77C"/>
    <w:rsid w:val="00BF4923"/>
    <w:rsid w:val="00BF4B69"/>
    <w:rsid w:val="00BF5350"/>
    <w:rsid w:val="00BF55D0"/>
    <w:rsid w:val="00BF5623"/>
    <w:rsid w:val="00BF56A8"/>
    <w:rsid w:val="00BF60E3"/>
    <w:rsid w:val="00BF631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14"/>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0B3"/>
    <w:rsid w:val="00C2423A"/>
    <w:rsid w:val="00C244D8"/>
    <w:rsid w:val="00C24789"/>
    <w:rsid w:val="00C24EE5"/>
    <w:rsid w:val="00C250CF"/>
    <w:rsid w:val="00C2544D"/>
    <w:rsid w:val="00C26871"/>
    <w:rsid w:val="00C2695A"/>
    <w:rsid w:val="00C26B13"/>
    <w:rsid w:val="00C26EB2"/>
    <w:rsid w:val="00C27156"/>
    <w:rsid w:val="00C274BE"/>
    <w:rsid w:val="00C275D9"/>
    <w:rsid w:val="00C2769D"/>
    <w:rsid w:val="00C27CD4"/>
    <w:rsid w:val="00C27E49"/>
    <w:rsid w:val="00C30543"/>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3615"/>
    <w:rsid w:val="00C337EC"/>
    <w:rsid w:val="00C339DE"/>
    <w:rsid w:val="00C33AA7"/>
    <w:rsid w:val="00C33DCE"/>
    <w:rsid w:val="00C3463A"/>
    <w:rsid w:val="00C346BB"/>
    <w:rsid w:val="00C346C1"/>
    <w:rsid w:val="00C34916"/>
    <w:rsid w:val="00C34BDB"/>
    <w:rsid w:val="00C34C05"/>
    <w:rsid w:val="00C34D4B"/>
    <w:rsid w:val="00C34F16"/>
    <w:rsid w:val="00C3566B"/>
    <w:rsid w:val="00C35B23"/>
    <w:rsid w:val="00C36050"/>
    <w:rsid w:val="00C361B0"/>
    <w:rsid w:val="00C367B9"/>
    <w:rsid w:val="00C36897"/>
    <w:rsid w:val="00C36DAD"/>
    <w:rsid w:val="00C37050"/>
    <w:rsid w:val="00C37CA6"/>
    <w:rsid w:val="00C37F8D"/>
    <w:rsid w:val="00C4018E"/>
    <w:rsid w:val="00C4029D"/>
    <w:rsid w:val="00C404D5"/>
    <w:rsid w:val="00C40B7D"/>
    <w:rsid w:val="00C40CD4"/>
    <w:rsid w:val="00C41057"/>
    <w:rsid w:val="00C411E2"/>
    <w:rsid w:val="00C41CB4"/>
    <w:rsid w:val="00C41E8D"/>
    <w:rsid w:val="00C42130"/>
    <w:rsid w:val="00C42784"/>
    <w:rsid w:val="00C429E1"/>
    <w:rsid w:val="00C439F0"/>
    <w:rsid w:val="00C43CE7"/>
    <w:rsid w:val="00C44189"/>
    <w:rsid w:val="00C447FB"/>
    <w:rsid w:val="00C44C74"/>
    <w:rsid w:val="00C44EE4"/>
    <w:rsid w:val="00C44F96"/>
    <w:rsid w:val="00C44FF2"/>
    <w:rsid w:val="00C4587D"/>
    <w:rsid w:val="00C45C66"/>
    <w:rsid w:val="00C46B08"/>
    <w:rsid w:val="00C470AA"/>
    <w:rsid w:val="00C47AE8"/>
    <w:rsid w:val="00C47B93"/>
    <w:rsid w:val="00C47BDE"/>
    <w:rsid w:val="00C47EC4"/>
    <w:rsid w:val="00C508B7"/>
    <w:rsid w:val="00C509D3"/>
    <w:rsid w:val="00C51696"/>
    <w:rsid w:val="00C516F6"/>
    <w:rsid w:val="00C5193F"/>
    <w:rsid w:val="00C51D11"/>
    <w:rsid w:val="00C51D30"/>
    <w:rsid w:val="00C51F21"/>
    <w:rsid w:val="00C521CD"/>
    <w:rsid w:val="00C5257E"/>
    <w:rsid w:val="00C531B4"/>
    <w:rsid w:val="00C532F9"/>
    <w:rsid w:val="00C53903"/>
    <w:rsid w:val="00C539B1"/>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0E1"/>
    <w:rsid w:val="00C74157"/>
    <w:rsid w:val="00C7448E"/>
    <w:rsid w:val="00C74859"/>
    <w:rsid w:val="00C748E2"/>
    <w:rsid w:val="00C74B2A"/>
    <w:rsid w:val="00C75004"/>
    <w:rsid w:val="00C755E8"/>
    <w:rsid w:val="00C75970"/>
    <w:rsid w:val="00C75AC4"/>
    <w:rsid w:val="00C75C9D"/>
    <w:rsid w:val="00C7612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0B2"/>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831"/>
    <w:rsid w:val="00C92C2A"/>
    <w:rsid w:val="00C9318C"/>
    <w:rsid w:val="00C93297"/>
    <w:rsid w:val="00C93543"/>
    <w:rsid w:val="00C943B9"/>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08"/>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0C74"/>
    <w:rsid w:val="00CB11BD"/>
    <w:rsid w:val="00CB1368"/>
    <w:rsid w:val="00CB167F"/>
    <w:rsid w:val="00CB1F2A"/>
    <w:rsid w:val="00CB299C"/>
    <w:rsid w:val="00CB2BBA"/>
    <w:rsid w:val="00CB35ED"/>
    <w:rsid w:val="00CB376E"/>
    <w:rsid w:val="00CB39EB"/>
    <w:rsid w:val="00CB41E7"/>
    <w:rsid w:val="00CB480A"/>
    <w:rsid w:val="00CB4FA5"/>
    <w:rsid w:val="00CB5008"/>
    <w:rsid w:val="00CB5180"/>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D7"/>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7E0"/>
    <w:rsid w:val="00CD283A"/>
    <w:rsid w:val="00CD309B"/>
    <w:rsid w:val="00CD3122"/>
    <w:rsid w:val="00CD325D"/>
    <w:rsid w:val="00CD3372"/>
    <w:rsid w:val="00CD3421"/>
    <w:rsid w:val="00CD3B95"/>
    <w:rsid w:val="00CD3C3B"/>
    <w:rsid w:val="00CD3D0C"/>
    <w:rsid w:val="00CD3D45"/>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1D8B"/>
    <w:rsid w:val="00CE253D"/>
    <w:rsid w:val="00CE3257"/>
    <w:rsid w:val="00CE369B"/>
    <w:rsid w:val="00CE38AA"/>
    <w:rsid w:val="00CE3CDC"/>
    <w:rsid w:val="00CE3D16"/>
    <w:rsid w:val="00CE3D41"/>
    <w:rsid w:val="00CE3FBA"/>
    <w:rsid w:val="00CE4C2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262"/>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CD0"/>
    <w:rsid w:val="00CF7D8D"/>
    <w:rsid w:val="00D0033A"/>
    <w:rsid w:val="00D00522"/>
    <w:rsid w:val="00D00B22"/>
    <w:rsid w:val="00D00FCA"/>
    <w:rsid w:val="00D017EE"/>
    <w:rsid w:val="00D01BD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5E6D"/>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5DE"/>
    <w:rsid w:val="00D40D79"/>
    <w:rsid w:val="00D40E25"/>
    <w:rsid w:val="00D40E78"/>
    <w:rsid w:val="00D40F5C"/>
    <w:rsid w:val="00D41009"/>
    <w:rsid w:val="00D41901"/>
    <w:rsid w:val="00D41CD0"/>
    <w:rsid w:val="00D421D9"/>
    <w:rsid w:val="00D42223"/>
    <w:rsid w:val="00D422E4"/>
    <w:rsid w:val="00D424E7"/>
    <w:rsid w:val="00D426FB"/>
    <w:rsid w:val="00D42B71"/>
    <w:rsid w:val="00D42BD5"/>
    <w:rsid w:val="00D42D5D"/>
    <w:rsid w:val="00D43888"/>
    <w:rsid w:val="00D43E20"/>
    <w:rsid w:val="00D4429F"/>
    <w:rsid w:val="00D44A56"/>
    <w:rsid w:val="00D44A5C"/>
    <w:rsid w:val="00D45B68"/>
    <w:rsid w:val="00D466E5"/>
    <w:rsid w:val="00D467C7"/>
    <w:rsid w:val="00D4688E"/>
    <w:rsid w:val="00D46AD8"/>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370"/>
    <w:rsid w:val="00D5438E"/>
    <w:rsid w:val="00D544F9"/>
    <w:rsid w:val="00D54C59"/>
    <w:rsid w:val="00D54CA0"/>
    <w:rsid w:val="00D54D88"/>
    <w:rsid w:val="00D5521C"/>
    <w:rsid w:val="00D554A2"/>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B83"/>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AC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3F74"/>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B26"/>
    <w:rsid w:val="00D92CBC"/>
    <w:rsid w:val="00D92FD3"/>
    <w:rsid w:val="00D931F2"/>
    <w:rsid w:val="00D938C1"/>
    <w:rsid w:val="00D938CE"/>
    <w:rsid w:val="00D93EF4"/>
    <w:rsid w:val="00D94909"/>
    <w:rsid w:val="00D94BB0"/>
    <w:rsid w:val="00D94FF3"/>
    <w:rsid w:val="00D95322"/>
    <w:rsid w:val="00D955B0"/>
    <w:rsid w:val="00D957C0"/>
    <w:rsid w:val="00D95BC2"/>
    <w:rsid w:val="00D95BFB"/>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A4"/>
    <w:rsid w:val="00DA5CA9"/>
    <w:rsid w:val="00DA5E7E"/>
    <w:rsid w:val="00DA6A0B"/>
    <w:rsid w:val="00DA714A"/>
    <w:rsid w:val="00DA71AF"/>
    <w:rsid w:val="00DA727D"/>
    <w:rsid w:val="00DA7A85"/>
    <w:rsid w:val="00DA7BC7"/>
    <w:rsid w:val="00DA7E4C"/>
    <w:rsid w:val="00DA7EC1"/>
    <w:rsid w:val="00DB0564"/>
    <w:rsid w:val="00DB0D5D"/>
    <w:rsid w:val="00DB1539"/>
    <w:rsid w:val="00DB19EC"/>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B06"/>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C82"/>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A19"/>
    <w:rsid w:val="00DE0B96"/>
    <w:rsid w:val="00DE0F41"/>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BE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0A3"/>
    <w:rsid w:val="00E01395"/>
    <w:rsid w:val="00E019EA"/>
    <w:rsid w:val="00E01A5C"/>
    <w:rsid w:val="00E028E6"/>
    <w:rsid w:val="00E02A90"/>
    <w:rsid w:val="00E02C20"/>
    <w:rsid w:val="00E0324B"/>
    <w:rsid w:val="00E0345F"/>
    <w:rsid w:val="00E03BEA"/>
    <w:rsid w:val="00E0401E"/>
    <w:rsid w:val="00E046C1"/>
    <w:rsid w:val="00E049EC"/>
    <w:rsid w:val="00E05A43"/>
    <w:rsid w:val="00E05FC4"/>
    <w:rsid w:val="00E061AB"/>
    <w:rsid w:val="00E06918"/>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94E"/>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0B6A"/>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46"/>
    <w:rsid w:val="00E2690E"/>
    <w:rsid w:val="00E26BDB"/>
    <w:rsid w:val="00E272FE"/>
    <w:rsid w:val="00E27930"/>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0A5A"/>
    <w:rsid w:val="00E50EF5"/>
    <w:rsid w:val="00E515A3"/>
    <w:rsid w:val="00E51E23"/>
    <w:rsid w:val="00E523F3"/>
    <w:rsid w:val="00E5295D"/>
    <w:rsid w:val="00E52F76"/>
    <w:rsid w:val="00E530B9"/>
    <w:rsid w:val="00E5315C"/>
    <w:rsid w:val="00E534EA"/>
    <w:rsid w:val="00E538E0"/>
    <w:rsid w:val="00E54495"/>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612"/>
    <w:rsid w:val="00E62AF2"/>
    <w:rsid w:val="00E62C6B"/>
    <w:rsid w:val="00E62DDA"/>
    <w:rsid w:val="00E630F7"/>
    <w:rsid w:val="00E63A8C"/>
    <w:rsid w:val="00E63EF8"/>
    <w:rsid w:val="00E642A3"/>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5FF"/>
    <w:rsid w:val="00E71952"/>
    <w:rsid w:val="00E71DF1"/>
    <w:rsid w:val="00E71EDB"/>
    <w:rsid w:val="00E723D3"/>
    <w:rsid w:val="00E7242A"/>
    <w:rsid w:val="00E72737"/>
    <w:rsid w:val="00E72ABE"/>
    <w:rsid w:val="00E72BCC"/>
    <w:rsid w:val="00E739A7"/>
    <w:rsid w:val="00E73E01"/>
    <w:rsid w:val="00E740A5"/>
    <w:rsid w:val="00E7449A"/>
    <w:rsid w:val="00E74B5A"/>
    <w:rsid w:val="00E7524F"/>
    <w:rsid w:val="00E7556D"/>
    <w:rsid w:val="00E75693"/>
    <w:rsid w:val="00E756FB"/>
    <w:rsid w:val="00E75B0F"/>
    <w:rsid w:val="00E76141"/>
    <w:rsid w:val="00E76270"/>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98E"/>
    <w:rsid w:val="00E83E6E"/>
    <w:rsid w:val="00E8412F"/>
    <w:rsid w:val="00E843EF"/>
    <w:rsid w:val="00E84661"/>
    <w:rsid w:val="00E84934"/>
    <w:rsid w:val="00E84A69"/>
    <w:rsid w:val="00E84BAF"/>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A11"/>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120"/>
    <w:rsid w:val="00EC05B8"/>
    <w:rsid w:val="00EC06DE"/>
    <w:rsid w:val="00EC183D"/>
    <w:rsid w:val="00EC1D83"/>
    <w:rsid w:val="00EC1FE9"/>
    <w:rsid w:val="00EC22D9"/>
    <w:rsid w:val="00EC28CD"/>
    <w:rsid w:val="00EC2915"/>
    <w:rsid w:val="00EC2C50"/>
    <w:rsid w:val="00EC2E21"/>
    <w:rsid w:val="00EC30FE"/>
    <w:rsid w:val="00EC31D8"/>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6E61"/>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6823"/>
    <w:rsid w:val="00EE7266"/>
    <w:rsid w:val="00EE752C"/>
    <w:rsid w:val="00EE7D91"/>
    <w:rsid w:val="00EE7ECE"/>
    <w:rsid w:val="00EE7F2E"/>
    <w:rsid w:val="00EF082A"/>
    <w:rsid w:val="00EF0E50"/>
    <w:rsid w:val="00EF0FCC"/>
    <w:rsid w:val="00EF116B"/>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88C"/>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165E"/>
    <w:rsid w:val="00F11CF5"/>
    <w:rsid w:val="00F11DC6"/>
    <w:rsid w:val="00F12B3D"/>
    <w:rsid w:val="00F13242"/>
    <w:rsid w:val="00F1403E"/>
    <w:rsid w:val="00F140FE"/>
    <w:rsid w:val="00F1415B"/>
    <w:rsid w:val="00F14829"/>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228"/>
    <w:rsid w:val="00F25EB4"/>
    <w:rsid w:val="00F25F62"/>
    <w:rsid w:val="00F2617C"/>
    <w:rsid w:val="00F2643A"/>
    <w:rsid w:val="00F26886"/>
    <w:rsid w:val="00F2699C"/>
    <w:rsid w:val="00F269EE"/>
    <w:rsid w:val="00F27000"/>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BC"/>
    <w:rsid w:val="00F37DC6"/>
    <w:rsid w:val="00F41931"/>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4F5D"/>
    <w:rsid w:val="00F550B5"/>
    <w:rsid w:val="00F553D1"/>
    <w:rsid w:val="00F558E3"/>
    <w:rsid w:val="00F55AC5"/>
    <w:rsid w:val="00F55BBD"/>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282"/>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B4D"/>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EAA"/>
    <w:rsid w:val="00FC22FE"/>
    <w:rsid w:val="00FC23FA"/>
    <w:rsid w:val="00FC253C"/>
    <w:rsid w:val="00FC2742"/>
    <w:rsid w:val="00FC37F0"/>
    <w:rsid w:val="00FC3B07"/>
    <w:rsid w:val="00FC3BBC"/>
    <w:rsid w:val="00FC3D5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C92"/>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350"/>
    <w:rsid w:val="00FF37C5"/>
    <w:rsid w:val="00FF3A12"/>
    <w:rsid w:val="00FF3C0B"/>
    <w:rsid w:val="00FF3CFC"/>
    <w:rsid w:val="00FF43AF"/>
    <w:rsid w:val="00FF48E0"/>
    <w:rsid w:val="00FF5026"/>
    <w:rsid w:val="00FF5085"/>
    <w:rsid w:val="00FF5173"/>
    <w:rsid w:val="00FF51D0"/>
    <w:rsid w:val="00FF5212"/>
    <w:rsid w:val="00FF52CC"/>
    <w:rsid w:val="00FF52E3"/>
    <w:rsid w:val="00FF5D1A"/>
    <w:rsid w:val="00FF609A"/>
    <w:rsid w:val="00FF6121"/>
    <w:rsid w:val="00FF660F"/>
    <w:rsid w:val="00FF6CF6"/>
    <w:rsid w:val="00FF70CF"/>
    <w:rsid w:val="00FF72A3"/>
    <w:rsid w:val="00FF74BE"/>
    <w:rsid w:val="00FF75C6"/>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2C759E46-4CE8-465A-97F7-74C7350CF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495865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313090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5640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HR33RHYHUWRF-4-5759</_dlc_DocId>
    <_dlc_DocIdUrl xmlns="c06861ca-3f08-4d07-bff7-bb15bac121f4">
      <Url>https://projects.qualcomm.com/sites/pentari/_layouts/15/DocIdRedir.aspx?ID=HR33RHYHUWRF-4-5759</Url>
      <Description>HR33RHYHUWRF-4-5759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48F9BC3E-0357-41F7-9D04-3454505B8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2326</TotalTime>
  <Pages>3</Pages>
  <Words>636</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Gabi Sarkis</cp:lastModifiedBy>
  <cp:revision>25</cp:revision>
  <cp:lastPrinted>2014-11-07T05:38:00Z</cp:lastPrinted>
  <dcterms:created xsi:type="dcterms:W3CDTF">2017-05-06T13:07:00Z</dcterms:created>
  <dcterms:modified xsi:type="dcterms:W3CDTF">2017-10-10T14:46:00Z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bef152e6-1124-46b8-9f9d-a1388697932d</vt:lpwstr>
  </property>
</Properties>
</file>