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14376" w14:textId="4E546FBD" w:rsidR="00CA5F07" w:rsidRPr="00DA12F7" w:rsidRDefault="00CA5F07" w:rsidP="00CA5F07">
      <w:pPr>
        <w:tabs>
          <w:tab w:val="right" w:pos="9972"/>
        </w:tabs>
        <w:spacing w:after="0"/>
      </w:pPr>
      <w:r w:rsidRPr="00DA12F7">
        <w:rPr>
          <w:rFonts w:ascii="Arial" w:hAnsi="Arial" w:cs="Arial"/>
          <w:b/>
          <w:sz w:val="24"/>
        </w:rPr>
        <w:t xml:space="preserve">3GPP TSG RAN WG1 </w:t>
      </w:r>
      <w:r>
        <w:rPr>
          <w:rFonts w:ascii="Arial" w:hAnsi="Arial" w:cs="Arial"/>
          <w:b/>
          <w:sz w:val="24"/>
        </w:rPr>
        <w:t>#90bis</w:t>
      </w:r>
      <w:r w:rsidRPr="00DA12F7">
        <w:rPr>
          <w:rFonts w:ascii="Arial" w:hAnsi="Arial" w:cs="Arial"/>
          <w:b/>
          <w:sz w:val="24"/>
        </w:rPr>
        <w:tab/>
        <w:t>R1-</w:t>
      </w:r>
      <w:r>
        <w:rPr>
          <w:rFonts w:ascii="Arial" w:hAnsi="Arial" w:cs="Arial"/>
          <w:b/>
          <w:sz w:val="24"/>
        </w:rPr>
        <w:t>17</w:t>
      </w:r>
      <w:r w:rsidR="00994E9F" w:rsidRPr="00994E9F">
        <w:rPr>
          <w:rFonts w:ascii="Arial" w:hAnsi="Arial" w:cs="Arial"/>
          <w:b/>
          <w:sz w:val="24"/>
        </w:rPr>
        <w:t>18557</w:t>
      </w:r>
      <w:r w:rsidR="00994E9F" w:rsidRPr="00994E9F" w:rsidDel="00994E9F">
        <w:rPr>
          <w:rFonts w:ascii="Arial" w:hAnsi="Arial" w:cs="Arial"/>
          <w:b/>
          <w:sz w:val="24"/>
        </w:rPr>
        <w:t xml:space="preserve"> </w:t>
      </w:r>
    </w:p>
    <w:p w14:paraId="68C5E9F8" w14:textId="77777777" w:rsidR="00CA5F07" w:rsidRPr="00DA12F7" w:rsidRDefault="00CA5F07" w:rsidP="00CA5F07">
      <w:pPr>
        <w:tabs>
          <w:tab w:val="right" w:pos="9630"/>
        </w:tabs>
        <w:spacing w:after="0"/>
        <w:rPr>
          <w:rFonts w:ascii="Arial" w:hAnsi="Arial" w:cs="Arial"/>
          <w:b/>
          <w:sz w:val="24"/>
          <w:szCs w:val="24"/>
        </w:rPr>
      </w:pPr>
      <w:r w:rsidRPr="00AB5E39">
        <w:rPr>
          <w:rFonts w:ascii="Arial" w:hAnsi="Arial" w:cs="Arial"/>
          <w:b/>
          <w:sz w:val="24"/>
          <w:szCs w:val="24"/>
        </w:rPr>
        <w:t xml:space="preserve">Prague, </w:t>
      </w:r>
      <w:r>
        <w:rPr>
          <w:rFonts w:ascii="Arial" w:hAnsi="Arial" w:cs="Arial"/>
          <w:b/>
          <w:sz w:val="24"/>
          <w:szCs w:val="24"/>
        </w:rPr>
        <w:t>Czech Republic</w:t>
      </w:r>
      <w:r w:rsidRPr="00AB5E39">
        <w:rPr>
          <w:rFonts w:ascii="Arial" w:hAnsi="Arial" w:cs="Arial"/>
          <w:b/>
          <w:sz w:val="24"/>
          <w:szCs w:val="24"/>
        </w:rPr>
        <w:t xml:space="preserve">, </w:t>
      </w:r>
      <w:r>
        <w:rPr>
          <w:rFonts w:ascii="Arial" w:hAnsi="Arial" w:cs="Arial"/>
          <w:b/>
          <w:sz w:val="24"/>
          <w:szCs w:val="24"/>
        </w:rPr>
        <w:t xml:space="preserve">October </w:t>
      </w:r>
      <w:r w:rsidRPr="00AB5E39">
        <w:rPr>
          <w:rFonts w:ascii="Arial" w:hAnsi="Arial" w:cs="Arial"/>
          <w:b/>
          <w:sz w:val="24"/>
          <w:szCs w:val="24"/>
        </w:rPr>
        <w:t>9</w:t>
      </w:r>
      <w:r w:rsidRPr="00F66FCF">
        <w:rPr>
          <w:rFonts w:ascii="Arial" w:hAnsi="Arial" w:cs="Arial"/>
          <w:b/>
          <w:sz w:val="24"/>
          <w:szCs w:val="24"/>
          <w:vertAlign w:val="superscript"/>
        </w:rPr>
        <w:t>th</w:t>
      </w:r>
      <w:r w:rsidRPr="00AB5E39">
        <w:rPr>
          <w:rFonts w:ascii="Arial" w:hAnsi="Arial" w:cs="Arial"/>
          <w:b/>
          <w:sz w:val="24"/>
          <w:szCs w:val="24"/>
        </w:rPr>
        <w:t xml:space="preserve"> – 13</w:t>
      </w:r>
      <w:r w:rsidRPr="00F66FCF">
        <w:rPr>
          <w:rFonts w:ascii="Arial" w:hAnsi="Arial" w:cs="Arial"/>
          <w:b/>
          <w:sz w:val="24"/>
          <w:szCs w:val="24"/>
          <w:vertAlign w:val="superscript"/>
        </w:rPr>
        <w:t>th</w:t>
      </w:r>
      <w:r w:rsidRPr="00AB5E39">
        <w:rPr>
          <w:rFonts w:ascii="Arial" w:hAnsi="Arial" w:cs="Arial"/>
          <w:b/>
          <w:sz w:val="24"/>
          <w:szCs w:val="24"/>
        </w:rPr>
        <w:t>, 2017</w:t>
      </w:r>
    </w:p>
    <w:p w14:paraId="07970799" w14:textId="77777777" w:rsidR="00B75493" w:rsidRPr="000A64D8" w:rsidRDefault="00B75493" w:rsidP="00B75493">
      <w:pPr>
        <w:pStyle w:val="Footer"/>
        <w:jc w:val="both"/>
        <w:rPr>
          <w:noProof w:val="0"/>
        </w:rPr>
      </w:pPr>
    </w:p>
    <w:p w14:paraId="480B252A" w14:textId="5FA604D9" w:rsidR="00B75493" w:rsidRPr="000A64D8" w:rsidRDefault="00B75493" w:rsidP="00B7549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A5F07">
        <w:rPr>
          <w:rFonts w:ascii="Arial" w:hAnsi="Arial"/>
          <w:sz w:val="24"/>
        </w:rPr>
        <w:t>7</w:t>
      </w:r>
      <w:r w:rsidR="008D0F91">
        <w:rPr>
          <w:rFonts w:ascii="Arial" w:hAnsi="Arial"/>
          <w:sz w:val="24"/>
        </w:rPr>
        <w:t>.3.1.</w:t>
      </w:r>
      <w:r w:rsidR="00CA5F07">
        <w:rPr>
          <w:rFonts w:ascii="Arial" w:hAnsi="Arial"/>
          <w:sz w:val="24"/>
        </w:rPr>
        <w:t>4</w:t>
      </w:r>
    </w:p>
    <w:p w14:paraId="6E9D9904" w14:textId="77777777" w:rsidR="00B75493" w:rsidRPr="000A64D8" w:rsidRDefault="00B75493" w:rsidP="00B7549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F0429B6" w14:textId="670FCAF9" w:rsidR="00B75493" w:rsidRPr="00736CD8" w:rsidRDefault="00B75493" w:rsidP="00B75493">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5F07">
        <w:rPr>
          <w:rFonts w:ascii="Arial" w:hAnsi="Arial"/>
          <w:sz w:val="24"/>
          <w:szCs w:val="24"/>
        </w:rPr>
        <w:t>Discussion on DCI related issues</w:t>
      </w:r>
    </w:p>
    <w:p w14:paraId="43B7F87F" w14:textId="4DC0FD50" w:rsidR="0068226B" w:rsidRDefault="00B75493" w:rsidP="00B7549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43B7F880" w14:textId="77777777" w:rsidR="004503F9" w:rsidRPr="00183CB7" w:rsidRDefault="004503F9" w:rsidP="004503F9">
      <w:pPr>
        <w:pStyle w:val="Heading1"/>
      </w:pPr>
      <w:r w:rsidRPr="00183CB7">
        <w:t>Introduction</w:t>
      </w:r>
    </w:p>
    <w:p w14:paraId="175BB280" w14:textId="77777777" w:rsidR="001B3E73" w:rsidRDefault="001B3E73" w:rsidP="001B3E73">
      <w:pPr>
        <w:spacing w:after="120"/>
      </w:pPr>
      <w:r>
        <w:t>In RAN1 NR-AdHoc#2 meeting, the following agreement has been made for PDCCH blind decoding.</w:t>
      </w:r>
    </w:p>
    <w:p w14:paraId="33DBA36E" w14:textId="77777777" w:rsidR="001B3E73" w:rsidRDefault="001B3E73" w:rsidP="001B3E73">
      <w:pPr>
        <w:rPr>
          <w:rFonts w:eastAsia="Yu Mincho"/>
          <w:b/>
          <w:iCs/>
          <w:highlight w:val="yellow"/>
          <w:u w:val="single"/>
          <w:lang w:eastAsia="ja-JP"/>
        </w:rPr>
      </w:pPr>
      <w:r>
        <w:rPr>
          <w:rFonts w:eastAsia="Yu Mincho"/>
          <w:b/>
          <w:iCs/>
          <w:highlight w:val="green"/>
          <w:u w:val="single"/>
          <w:lang w:eastAsia="ja-JP"/>
        </w:rPr>
        <w:t>Agreements:</w:t>
      </w:r>
    </w:p>
    <w:p w14:paraId="0C197F04" w14:textId="77777777" w:rsidR="001B3E73" w:rsidRDefault="001B3E73" w:rsidP="001B3E73">
      <w:pPr>
        <w:numPr>
          <w:ilvl w:val="0"/>
          <w:numId w:val="33"/>
        </w:numPr>
        <w:overflowPunct/>
        <w:autoSpaceDE/>
        <w:autoSpaceDN/>
        <w:adjustRightInd/>
        <w:spacing w:after="0" w:line="256" w:lineRule="auto"/>
        <w:textAlignment w:val="auto"/>
        <w:rPr>
          <w:rFonts w:eastAsia="Yu Mincho"/>
          <w:iCs/>
          <w:lang w:eastAsia="ja-JP"/>
        </w:rPr>
      </w:pPr>
      <w:r>
        <w:rPr>
          <w:rFonts w:eastAsia="Yu Mincho"/>
          <w:iCs/>
          <w:lang w:eastAsia="ja-JP"/>
        </w:rPr>
        <w:t>For PDCCH blind decoding, at least for the non-initial access, at least the following can be configured:</w:t>
      </w:r>
    </w:p>
    <w:p w14:paraId="492A7DF1"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Number of PDCCH candidates per CCE aggregation level, per DCI format size that the UE monitors</w:t>
      </w:r>
    </w:p>
    <w:p w14:paraId="7E2E56F2"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Set of aggregation levels</w:t>
      </w:r>
    </w:p>
    <w:p w14:paraId="52CA7E4B" w14:textId="77777777" w:rsidR="001B3E73" w:rsidRDefault="001B3E73" w:rsidP="001B3E73">
      <w:pPr>
        <w:numPr>
          <w:ilvl w:val="2"/>
          <w:numId w:val="33"/>
        </w:numPr>
        <w:tabs>
          <w:tab w:val="num" w:pos="2160"/>
        </w:tabs>
        <w:overflowPunct/>
        <w:autoSpaceDE/>
        <w:autoSpaceDN/>
        <w:adjustRightInd/>
        <w:spacing w:after="0" w:line="256" w:lineRule="auto"/>
        <w:textAlignment w:val="auto"/>
        <w:rPr>
          <w:rFonts w:eastAsia="Yu Mincho"/>
          <w:iCs/>
          <w:lang w:eastAsia="ja-JP"/>
        </w:rPr>
      </w:pPr>
      <w:r>
        <w:rPr>
          <w:rFonts w:eastAsia="Yu Mincho"/>
          <w:iCs/>
          <w:lang w:eastAsia="ja-JP"/>
        </w:rPr>
        <w:t>FFS explicit or implicit configuration</w:t>
      </w:r>
    </w:p>
    <w:p w14:paraId="3D5BF12B"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Set of DCI format sizes</w:t>
      </w:r>
    </w:p>
    <w:p w14:paraId="0B3FC402" w14:textId="77777777" w:rsidR="001B3E73" w:rsidRDefault="001B3E73" w:rsidP="001B3E73">
      <w:pPr>
        <w:numPr>
          <w:ilvl w:val="2"/>
          <w:numId w:val="33"/>
        </w:numPr>
        <w:tabs>
          <w:tab w:val="num" w:pos="2160"/>
        </w:tabs>
        <w:overflowPunct/>
        <w:autoSpaceDE/>
        <w:autoSpaceDN/>
        <w:adjustRightInd/>
        <w:spacing w:after="0" w:line="256" w:lineRule="auto"/>
        <w:textAlignment w:val="auto"/>
        <w:rPr>
          <w:rFonts w:eastAsia="Yu Mincho"/>
          <w:iCs/>
          <w:lang w:eastAsia="ja-JP"/>
        </w:rPr>
      </w:pPr>
      <w:r>
        <w:rPr>
          <w:rFonts w:eastAsia="Yu Mincho"/>
          <w:iCs/>
          <w:lang w:eastAsia="ja-JP"/>
        </w:rPr>
        <w:t>FFS explicit or implicit configuration</w:t>
      </w:r>
    </w:p>
    <w:p w14:paraId="284F3BD9"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FFS: per CORESET not used for initial access or search space</w:t>
      </w:r>
    </w:p>
    <w:p w14:paraId="02B7B360"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FFS: Signalling details</w:t>
      </w:r>
    </w:p>
    <w:p w14:paraId="5C691E8C" w14:textId="77777777" w:rsidR="001B3E73" w:rsidRDefault="001B3E73" w:rsidP="001B3E73">
      <w:pPr>
        <w:numPr>
          <w:ilvl w:val="1"/>
          <w:numId w:val="33"/>
        </w:numPr>
        <w:overflowPunct/>
        <w:autoSpaceDE/>
        <w:autoSpaceDN/>
        <w:adjustRightInd/>
        <w:spacing w:after="0" w:line="256" w:lineRule="auto"/>
        <w:textAlignment w:val="auto"/>
        <w:rPr>
          <w:rFonts w:eastAsia="Yu Mincho"/>
          <w:iCs/>
          <w:lang w:eastAsia="ja-JP"/>
        </w:rPr>
      </w:pPr>
      <w:r>
        <w:rPr>
          <w:rFonts w:eastAsia="Yu Mincho"/>
          <w:iCs/>
          <w:lang w:eastAsia="ja-JP"/>
        </w:rPr>
        <w:t>Note that the number of candidates can be zero</w:t>
      </w:r>
    </w:p>
    <w:p w14:paraId="47C5D54D" w14:textId="77777777" w:rsidR="001B3E73" w:rsidRDefault="001B3E73" w:rsidP="001B3E73">
      <w:pPr>
        <w:numPr>
          <w:ilvl w:val="0"/>
          <w:numId w:val="33"/>
        </w:numPr>
        <w:overflowPunct/>
        <w:autoSpaceDE/>
        <w:autoSpaceDN/>
        <w:adjustRightInd/>
        <w:spacing w:after="0" w:line="256" w:lineRule="auto"/>
        <w:textAlignment w:val="auto"/>
        <w:rPr>
          <w:rFonts w:eastAsia="Yu Mincho"/>
          <w:iCs/>
          <w:lang w:eastAsia="ja-JP"/>
        </w:rPr>
      </w:pPr>
      <w:r>
        <w:rPr>
          <w:rFonts w:eastAsia="Yu Mincho"/>
          <w:iCs/>
          <w:lang w:eastAsia="ja-JP"/>
        </w:rPr>
        <w:t>UE blind decoding capability is known by NW</w:t>
      </w:r>
    </w:p>
    <w:p w14:paraId="0B94BFCC" w14:textId="77777777" w:rsidR="001B3E73" w:rsidRDefault="001B3E73" w:rsidP="00F37583">
      <w:pPr>
        <w:numPr>
          <w:ilvl w:val="1"/>
          <w:numId w:val="33"/>
        </w:numPr>
        <w:overflowPunct/>
        <w:autoSpaceDE/>
        <w:autoSpaceDN/>
        <w:adjustRightInd/>
        <w:spacing w:after="240" w:line="257" w:lineRule="auto"/>
        <w:textAlignment w:val="auto"/>
        <w:rPr>
          <w:rFonts w:eastAsia="Yu Mincho"/>
          <w:iCs/>
          <w:lang w:eastAsia="ja-JP"/>
        </w:rPr>
      </w:pPr>
      <w:r>
        <w:rPr>
          <w:rFonts w:eastAsia="Yu Mincho"/>
          <w:iCs/>
          <w:lang w:eastAsia="ja-JP"/>
        </w:rPr>
        <w:t>FFS: How the capability is derived</w:t>
      </w:r>
    </w:p>
    <w:p w14:paraId="1BCBA74C" w14:textId="69879620" w:rsidR="00A673C4" w:rsidRDefault="00A673C4" w:rsidP="00F32FE3">
      <w:pPr>
        <w:jc w:val="both"/>
        <w:rPr>
          <w:szCs w:val="22"/>
        </w:rPr>
      </w:pPr>
      <w:r>
        <w:rPr>
          <w:szCs w:val="22"/>
        </w:rPr>
        <w:t>In RAN1 #90, the following working assumption has been agreed:</w:t>
      </w:r>
    </w:p>
    <w:p w14:paraId="110E8636" w14:textId="77777777" w:rsidR="00A673C4" w:rsidRDefault="00A673C4" w:rsidP="00A673C4">
      <w:pPr>
        <w:rPr>
          <w:rFonts w:eastAsia="MS Mincho"/>
          <w:b/>
          <w:iCs/>
          <w:u w:val="single"/>
          <w:lang w:eastAsia="ja-JP"/>
        </w:rPr>
      </w:pPr>
      <w:r>
        <w:rPr>
          <w:rFonts w:eastAsia="MS Mincho"/>
          <w:b/>
          <w:iCs/>
          <w:highlight w:val="darkYellow"/>
          <w:u w:val="single"/>
          <w:lang w:eastAsia="ja-JP"/>
        </w:rPr>
        <w:t>Working assumptions:</w:t>
      </w:r>
    </w:p>
    <w:p w14:paraId="753F768B" w14:textId="77777777" w:rsidR="00A673C4" w:rsidRDefault="00A673C4" w:rsidP="00A673C4">
      <w:pPr>
        <w:numPr>
          <w:ilvl w:val="0"/>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In the case when only CORESET(s) for slot-based scheduling is configured for UE, the maximum number of PDCCH blind decodes per slot per carrier is X</w:t>
      </w:r>
    </w:p>
    <w:p w14:paraId="1EB3A3CA"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The value of X does not exceed 44</w:t>
      </w:r>
    </w:p>
    <w:p w14:paraId="6C9F486F"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the exact value of X</w:t>
      </w:r>
    </w:p>
    <w:p w14:paraId="35AAB22D"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for multiple active BWP, multiple TRP, multiple carriers, multi beams</w:t>
      </w:r>
    </w:p>
    <w:p w14:paraId="708238E5" w14:textId="77777777" w:rsidR="00A673C4" w:rsidRDefault="00A673C4" w:rsidP="00A673C4">
      <w:pPr>
        <w:numPr>
          <w:ilvl w:val="1"/>
          <w:numId w:val="34"/>
        </w:numPr>
        <w:tabs>
          <w:tab w:val="left" w:pos="1440"/>
        </w:tabs>
        <w:overflowPunct/>
        <w:autoSpaceDE/>
        <w:autoSpaceDN/>
        <w:adjustRightInd/>
        <w:spacing w:after="0"/>
        <w:textAlignment w:val="auto"/>
        <w:rPr>
          <w:rFonts w:eastAsia="MS Mincho"/>
          <w:iCs/>
          <w:lang w:eastAsia="ja-JP"/>
        </w:rPr>
      </w:pPr>
      <w:r>
        <w:rPr>
          <w:rFonts w:eastAsia="MS Mincho"/>
          <w:iCs/>
          <w:lang w:eastAsia="ja-JP"/>
        </w:rPr>
        <w:t>FFS for non-slot based scheduling</w:t>
      </w:r>
    </w:p>
    <w:p w14:paraId="4ECD8D25" w14:textId="77777777" w:rsidR="00A673C4" w:rsidRDefault="00A673C4" w:rsidP="00F37583">
      <w:pPr>
        <w:numPr>
          <w:ilvl w:val="1"/>
          <w:numId w:val="34"/>
        </w:numPr>
        <w:tabs>
          <w:tab w:val="left" w:pos="1440"/>
        </w:tabs>
        <w:overflowPunct/>
        <w:autoSpaceDE/>
        <w:autoSpaceDN/>
        <w:adjustRightInd/>
        <w:spacing w:after="240"/>
        <w:textAlignment w:val="auto"/>
        <w:rPr>
          <w:rFonts w:eastAsia="MS Mincho"/>
          <w:iCs/>
          <w:lang w:eastAsia="ja-JP"/>
        </w:rPr>
      </w:pPr>
      <w:r>
        <w:rPr>
          <w:rFonts w:eastAsia="MS Mincho"/>
          <w:iCs/>
          <w:lang w:eastAsia="ja-JP"/>
        </w:rPr>
        <w:t>FFS numerology specific X</w:t>
      </w:r>
    </w:p>
    <w:p w14:paraId="6F13A9B1" w14:textId="19D8528F" w:rsidR="00F32FE3" w:rsidRDefault="00F32FE3" w:rsidP="00F32FE3">
      <w:pPr>
        <w:jc w:val="both"/>
        <w:rPr>
          <w:szCs w:val="22"/>
        </w:rPr>
      </w:pPr>
      <w:r>
        <w:rPr>
          <w:szCs w:val="22"/>
        </w:rPr>
        <w:t xml:space="preserve">This contribution </w:t>
      </w:r>
      <w:r w:rsidR="001B3E73">
        <w:rPr>
          <w:szCs w:val="22"/>
        </w:rPr>
        <w:t xml:space="preserve">is motivated </w:t>
      </w:r>
      <w:r w:rsidR="005C3D94">
        <w:rPr>
          <w:szCs w:val="22"/>
        </w:rPr>
        <w:t xml:space="preserve">partially </w:t>
      </w:r>
      <w:r w:rsidR="001B3E73">
        <w:rPr>
          <w:szCs w:val="22"/>
        </w:rPr>
        <w:t xml:space="preserve">by </w:t>
      </w:r>
      <w:r>
        <w:rPr>
          <w:szCs w:val="22"/>
        </w:rPr>
        <w:t xml:space="preserve">UE power saving aspects related to PDCCH monitoring continuing from </w:t>
      </w:r>
      <w:r w:rsidR="005C3D94">
        <w:rPr>
          <w:szCs w:val="22"/>
        </w:rPr>
        <w:fldChar w:fldCharType="begin"/>
      </w:r>
      <w:r w:rsidR="005C3D94">
        <w:rPr>
          <w:szCs w:val="22"/>
        </w:rPr>
        <w:instrText xml:space="preserve"> REF _Ref492919811 \r \h </w:instrText>
      </w:r>
      <w:r w:rsidR="005C3D94">
        <w:rPr>
          <w:szCs w:val="22"/>
        </w:rPr>
      </w:r>
      <w:r w:rsidR="005C3D94">
        <w:rPr>
          <w:szCs w:val="22"/>
        </w:rPr>
        <w:fldChar w:fldCharType="separate"/>
      </w:r>
      <w:r w:rsidR="005C3D94">
        <w:rPr>
          <w:szCs w:val="22"/>
        </w:rPr>
        <w:t>[1]</w:t>
      </w:r>
      <w:r w:rsidR="005C3D94">
        <w:rPr>
          <w:szCs w:val="22"/>
        </w:rPr>
        <w:fldChar w:fldCharType="end"/>
      </w:r>
      <w:r>
        <w:rPr>
          <w:szCs w:val="22"/>
        </w:rPr>
        <w:t xml:space="preserve">, </w:t>
      </w:r>
      <w:r w:rsidR="001B3E73">
        <w:rPr>
          <w:szCs w:val="22"/>
        </w:rPr>
        <w:t xml:space="preserve">which discusses </w:t>
      </w:r>
      <w:r w:rsidR="002B4AC3">
        <w:rPr>
          <w:szCs w:val="22"/>
        </w:rPr>
        <w:t>reduction on PDCCH blind decoding hypotheses</w:t>
      </w:r>
      <w:r w:rsidR="00531C5A">
        <w:rPr>
          <w:szCs w:val="22"/>
        </w:rPr>
        <w:t xml:space="preserve">, dynamic BW </w:t>
      </w:r>
      <w:r w:rsidR="001A3F6A">
        <w:rPr>
          <w:szCs w:val="22"/>
        </w:rPr>
        <w:t xml:space="preserve">adaptation (or </w:t>
      </w:r>
      <w:r w:rsidR="00531C5A">
        <w:rPr>
          <w:szCs w:val="22"/>
        </w:rPr>
        <w:t>switching</w:t>
      </w:r>
      <w:r w:rsidR="001A3F6A">
        <w:rPr>
          <w:szCs w:val="22"/>
        </w:rPr>
        <w:t>)</w:t>
      </w:r>
      <w:r w:rsidR="00531C5A">
        <w:rPr>
          <w:szCs w:val="22"/>
        </w:rPr>
        <w:t xml:space="preserve"> with</w:t>
      </w:r>
      <w:r>
        <w:rPr>
          <w:szCs w:val="22"/>
        </w:rPr>
        <w:t xml:space="preserve"> cross slot scheduling and activation/deactivation of </w:t>
      </w:r>
      <w:r w:rsidR="000E251B">
        <w:rPr>
          <w:szCs w:val="22"/>
        </w:rPr>
        <w:t>BWP (bandwidth parts)</w:t>
      </w:r>
      <w:r>
        <w:rPr>
          <w:szCs w:val="22"/>
        </w:rPr>
        <w:t>.</w:t>
      </w:r>
    </w:p>
    <w:p w14:paraId="3BD06C7B" w14:textId="06942FEA" w:rsidR="002277AA" w:rsidRDefault="00A673C4" w:rsidP="00F32FE3">
      <w:pPr>
        <w:jc w:val="both"/>
        <w:rPr>
          <w:szCs w:val="22"/>
        </w:rPr>
      </w:pPr>
      <w:r>
        <w:rPr>
          <w:szCs w:val="22"/>
        </w:rPr>
        <w:t>T</w:t>
      </w:r>
      <w:r w:rsidR="008D0F91">
        <w:rPr>
          <w:szCs w:val="22"/>
        </w:rPr>
        <w:t>he concept of dynamic bandwidth adaptation has been agreed in NR and supported in the form of BWP</w:t>
      </w:r>
      <w:r>
        <w:rPr>
          <w:szCs w:val="22"/>
        </w:rPr>
        <w:t>.</w:t>
      </w:r>
      <w:r w:rsidR="00EC4C4A">
        <w:rPr>
          <w:szCs w:val="22"/>
        </w:rPr>
        <w:t xml:space="preserve"> Benefits of DCI based signaling over MAC-CE for BWP activation, and other alligned signaling such as CA activation/beam switch</w:t>
      </w:r>
      <w:r w:rsidR="008D0F91">
        <w:rPr>
          <w:szCs w:val="22"/>
        </w:rPr>
        <w:t xml:space="preserve"> </w:t>
      </w:r>
      <w:r w:rsidR="00EC4C4A">
        <w:rPr>
          <w:szCs w:val="22"/>
        </w:rPr>
        <w:t xml:space="preserve">are analyzed from a latency and robustness perspective. </w:t>
      </w:r>
      <w:r>
        <w:rPr>
          <w:szCs w:val="22"/>
        </w:rPr>
        <w:t>While</w:t>
      </w:r>
      <w:r w:rsidR="008D0F91">
        <w:rPr>
          <w:szCs w:val="22"/>
        </w:rPr>
        <w:t xml:space="preserve"> discussions on DCI contents and formats are </w:t>
      </w:r>
      <w:r w:rsidR="009D3117">
        <w:rPr>
          <w:szCs w:val="22"/>
        </w:rPr>
        <w:t>on-</w:t>
      </w:r>
      <w:r w:rsidR="008D0F91">
        <w:rPr>
          <w:szCs w:val="22"/>
        </w:rPr>
        <w:t>going, we should be reminded that reduction of PDCCH blind decoding hypotheses is still one of the important design goals.</w:t>
      </w:r>
    </w:p>
    <w:p w14:paraId="0B3BE98D" w14:textId="1B24A361" w:rsidR="0044173B" w:rsidRDefault="008D0F91" w:rsidP="0044173B">
      <w:pPr>
        <w:pStyle w:val="Heading1"/>
      </w:pPr>
      <w:r>
        <w:lastRenderedPageBreak/>
        <w:t>Discussion</w:t>
      </w:r>
    </w:p>
    <w:p w14:paraId="3B1492B0" w14:textId="00B7F244" w:rsidR="00E747D5" w:rsidRDefault="00E747D5" w:rsidP="00E747D5">
      <w:pPr>
        <w:pStyle w:val="Heading2"/>
      </w:pPr>
      <w:r>
        <w:t>DCI vs MAC-CE Signaling Considerations</w:t>
      </w:r>
    </w:p>
    <w:p w14:paraId="1F4C407B" w14:textId="325A6A3C" w:rsidR="00E747D5" w:rsidRPr="00820D02" w:rsidRDefault="00E747D5" w:rsidP="001924E7">
      <w:pPr>
        <w:spacing w:before="180"/>
        <w:jc w:val="both"/>
      </w:pPr>
      <w:r>
        <w:t>For use cases such as BWP/CA activation</w:t>
      </w:r>
      <w:r w:rsidR="000E251B">
        <w:t xml:space="preserve"> [4]</w:t>
      </w:r>
      <w:r>
        <w:t>, beam switch signaling,</w:t>
      </w:r>
      <w:r w:rsidR="000E251B">
        <w:t xml:space="preserve"> and</w:t>
      </w:r>
      <w:r>
        <w:t xml:space="preserve"> etc</w:t>
      </w:r>
      <w:r w:rsidR="000E251B">
        <w:t>.,</w:t>
      </w:r>
      <w:r>
        <w:t xml:space="preserve"> DCI and MAC-CE are candidate choices. In this section we compare and contrast the two forms of signaling. </w:t>
      </w:r>
    </w:p>
    <w:p w14:paraId="4B5280A8" w14:textId="77777777" w:rsidR="00E747D5" w:rsidRDefault="00E747D5" w:rsidP="00E747D5">
      <w:pPr>
        <w:pStyle w:val="Heading3"/>
      </w:pPr>
      <w:r>
        <w:t xml:space="preserve">Robustness </w:t>
      </w:r>
    </w:p>
    <w:p w14:paraId="371E7BEE" w14:textId="7E9421C4" w:rsidR="00E747D5" w:rsidRDefault="00E747D5" w:rsidP="00E747D5">
      <w:pPr>
        <w:spacing w:before="180"/>
        <w:jc w:val="both"/>
      </w:pPr>
      <w:r>
        <w:t>MAC-CE based control signaling is confirmed by the ACK of the PDSCH used to carry the MAC</w:t>
      </w:r>
      <w:r w:rsidR="000E251B">
        <w:t>-</w:t>
      </w:r>
      <w:r>
        <w:t>CE. For DCI based indication, there also exists reliable confirmation as listed below.</w:t>
      </w:r>
    </w:p>
    <w:p w14:paraId="27853D91" w14:textId="0C6B8469" w:rsidR="00E747D5" w:rsidRDefault="00E747D5" w:rsidP="00E747D5">
      <w:pPr>
        <w:numPr>
          <w:ilvl w:val="0"/>
          <w:numId w:val="36"/>
        </w:numPr>
        <w:tabs>
          <w:tab w:val="left" w:pos="360"/>
        </w:tabs>
        <w:overflowPunct/>
        <w:autoSpaceDE/>
        <w:autoSpaceDN/>
        <w:adjustRightInd/>
        <w:spacing w:after="0"/>
        <w:jc w:val="both"/>
        <w:textAlignment w:val="auto"/>
      </w:pPr>
      <w:r>
        <w:t xml:space="preserve">Dedicated </w:t>
      </w:r>
      <w:r w:rsidRPr="009B53CA">
        <w:t xml:space="preserve">DCI containing only </w:t>
      </w:r>
      <w:r w:rsidR="000E251B">
        <w:t>command</w:t>
      </w:r>
      <w:r w:rsidRPr="009B53CA">
        <w:t xml:space="preserve">: ACK alone to indicate </w:t>
      </w:r>
      <w:r w:rsidR="000E251B">
        <w:t>the reception</w:t>
      </w:r>
      <w:r w:rsidR="003433F7">
        <w:t xml:space="preserve"> of the DCI</w:t>
      </w:r>
      <w:r>
        <w:t xml:space="preserve"> </w:t>
      </w:r>
    </w:p>
    <w:p w14:paraId="3D97B0ED" w14:textId="1B786643" w:rsidR="00E747D5" w:rsidRDefault="00E747D5" w:rsidP="00E747D5">
      <w:pPr>
        <w:numPr>
          <w:ilvl w:val="0"/>
          <w:numId w:val="36"/>
        </w:numPr>
        <w:tabs>
          <w:tab w:val="left" w:pos="360"/>
        </w:tabs>
        <w:overflowPunct/>
        <w:autoSpaceDE/>
        <w:autoSpaceDN/>
        <w:adjustRightInd/>
        <w:spacing w:after="0"/>
        <w:jc w:val="both"/>
        <w:textAlignment w:val="auto"/>
      </w:pPr>
      <w:r w:rsidRPr="009B53CA">
        <w:t xml:space="preserve">DCI grant containing </w:t>
      </w:r>
      <w:r w:rsidR="003433F7">
        <w:t>a command</w:t>
      </w:r>
      <w:r w:rsidRPr="009B53CA">
        <w:t xml:space="preserve"> and DL allocation: ACK/NACK transmission for PDSCH. </w:t>
      </w:r>
      <w:r>
        <w:t xml:space="preserve"> </w:t>
      </w:r>
      <w:r w:rsidRPr="009B53CA">
        <w:t>gNB can</w:t>
      </w:r>
      <w:r>
        <w:t xml:space="preserve"> </w:t>
      </w:r>
      <w:r w:rsidRPr="009B53CA">
        <w:t xml:space="preserve">infer </w:t>
      </w:r>
      <w:r>
        <w:t xml:space="preserve">reception of </w:t>
      </w:r>
      <w:r w:rsidR="003433F7">
        <w:t>the DCI</w:t>
      </w:r>
      <w:r w:rsidRPr="009B53CA">
        <w:t xml:space="preserve"> from the reception of PDSCH ACK/NACK.</w:t>
      </w:r>
    </w:p>
    <w:p w14:paraId="7F6B5859" w14:textId="63F99735" w:rsidR="00E747D5" w:rsidRDefault="00E747D5" w:rsidP="00E747D5">
      <w:pPr>
        <w:numPr>
          <w:ilvl w:val="0"/>
          <w:numId w:val="36"/>
        </w:numPr>
        <w:tabs>
          <w:tab w:val="left" w:pos="360"/>
        </w:tabs>
        <w:overflowPunct/>
        <w:autoSpaceDE/>
        <w:autoSpaceDN/>
        <w:adjustRightInd/>
        <w:spacing w:after="0"/>
        <w:jc w:val="both"/>
        <w:textAlignment w:val="auto"/>
      </w:pPr>
      <w:r w:rsidRPr="00B77800">
        <w:t xml:space="preserve">DCI grant containing </w:t>
      </w:r>
      <w:r w:rsidR="003433F7">
        <w:t>a command</w:t>
      </w:r>
      <w:r w:rsidRPr="00B77800">
        <w:t xml:space="preserve"> and </w:t>
      </w:r>
      <w:r>
        <w:t>U</w:t>
      </w:r>
      <w:r w:rsidRPr="00B77800">
        <w:t>L allocation</w:t>
      </w:r>
      <w:r>
        <w:t xml:space="preserve">: PUSCH transmission. gNB can infer reception of </w:t>
      </w:r>
      <w:r w:rsidR="003433F7">
        <w:t>the DCI</w:t>
      </w:r>
      <w:r>
        <w:t xml:space="preserve"> from UL PUSCH transmission.</w:t>
      </w:r>
    </w:p>
    <w:p w14:paraId="54294FE2" w14:textId="77777777" w:rsidR="00E747D5" w:rsidRDefault="00E747D5" w:rsidP="00E747D5">
      <w:pPr>
        <w:tabs>
          <w:tab w:val="left" w:pos="360"/>
        </w:tabs>
        <w:overflowPunct/>
        <w:autoSpaceDE/>
        <w:autoSpaceDN/>
        <w:adjustRightInd/>
        <w:spacing w:after="0"/>
        <w:jc w:val="both"/>
        <w:textAlignment w:val="auto"/>
      </w:pPr>
    </w:p>
    <w:p w14:paraId="4FEA6D30" w14:textId="7A990F66" w:rsidR="00E747D5" w:rsidRDefault="00E747D5" w:rsidP="00E747D5">
      <w:pPr>
        <w:tabs>
          <w:tab w:val="left" w:pos="360"/>
        </w:tabs>
        <w:overflowPunct/>
        <w:autoSpaceDE/>
        <w:autoSpaceDN/>
        <w:adjustRightInd/>
        <w:spacing w:after="0"/>
        <w:jc w:val="both"/>
        <w:textAlignment w:val="auto"/>
      </w:pPr>
      <w:r>
        <w:t>It is instrumental in looking at some error cases for DCI based vs MAC-CE based signaling. Activation of control signaling (for e.g. BWP</w:t>
      </w:r>
      <w:r w:rsidR="000E251B">
        <w:t>/</w:t>
      </w:r>
      <w:r>
        <w:t xml:space="preserve">CA activation) can be performed </w:t>
      </w:r>
      <m:oMath>
        <m:r>
          <w:rPr>
            <w:rFonts w:ascii="Cambria Math" w:hAnsi="Cambria Math"/>
          </w:rPr>
          <m:t>m</m:t>
        </m:r>
      </m:oMath>
      <w:r>
        <w:t xml:space="preserve"> slots after transmission of confirmation from UE. We list below a few common error cases</w:t>
      </w:r>
      <w:r w:rsidR="000E251B">
        <w:t>.</w:t>
      </w:r>
    </w:p>
    <w:p w14:paraId="6F6BAD57" w14:textId="77777777" w:rsidR="00E747D5" w:rsidRDefault="00E747D5" w:rsidP="00E747D5">
      <w:pPr>
        <w:tabs>
          <w:tab w:val="left" w:pos="360"/>
        </w:tabs>
        <w:overflowPunct/>
        <w:autoSpaceDE/>
        <w:autoSpaceDN/>
        <w:adjustRightInd/>
        <w:spacing w:after="0"/>
        <w:jc w:val="both"/>
        <w:textAlignment w:val="auto"/>
      </w:pPr>
    </w:p>
    <w:p w14:paraId="10E5D9D2" w14:textId="77777777" w:rsidR="00E747D5" w:rsidRDefault="00E747D5" w:rsidP="00E747D5">
      <w:pPr>
        <w:tabs>
          <w:tab w:val="left" w:pos="360"/>
        </w:tabs>
        <w:overflowPunct/>
        <w:autoSpaceDE/>
        <w:autoSpaceDN/>
        <w:adjustRightInd/>
        <w:spacing w:after="0"/>
        <w:jc w:val="both"/>
        <w:textAlignment w:val="auto"/>
      </w:pPr>
      <w:r w:rsidRPr="003C6D90">
        <w:rPr>
          <w:b/>
        </w:rPr>
        <w:t>DCI Miss Error case:</w:t>
      </w:r>
      <w:r>
        <w:rPr>
          <w:b/>
        </w:rPr>
        <w:t xml:space="preserve"> </w:t>
      </w:r>
      <w:r w:rsidRPr="00FD137A">
        <w:t>For DCI based control signaling</w:t>
      </w:r>
      <w:r>
        <w:t>,</w:t>
      </w:r>
      <w:r>
        <w:rPr>
          <w:b/>
        </w:rPr>
        <w:t xml:space="preserve"> </w:t>
      </w:r>
      <w:r>
        <w:t>gNB can retransmit the DCI containing the control signaling, if it hasn’t received a confirmation from the UE, via an ACK/NACK.</w:t>
      </w:r>
    </w:p>
    <w:p w14:paraId="5CE20077" w14:textId="77777777" w:rsidR="00E747D5" w:rsidRPr="00FD137A" w:rsidRDefault="00E747D5" w:rsidP="00E747D5">
      <w:pPr>
        <w:tabs>
          <w:tab w:val="left" w:pos="360"/>
        </w:tabs>
        <w:overflowPunct/>
        <w:autoSpaceDE/>
        <w:autoSpaceDN/>
        <w:adjustRightInd/>
        <w:spacing w:after="0"/>
        <w:jc w:val="both"/>
        <w:textAlignment w:val="auto"/>
        <w:rPr>
          <w:b/>
        </w:rPr>
      </w:pPr>
    </w:p>
    <w:p w14:paraId="6538B164" w14:textId="60ED5C43" w:rsidR="00E747D5" w:rsidRDefault="00E747D5" w:rsidP="00E747D5">
      <w:pPr>
        <w:tabs>
          <w:tab w:val="left" w:pos="360"/>
        </w:tabs>
        <w:overflowPunct/>
        <w:autoSpaceDE/>
        <w:autoSpaceDN/>
        <w:adjustRightInd/>
        <w:spacing w:after="0"/>
        <w:jc w:val="both"/>
        <w:textAlignment w:val="auto"/>
      </w:pPr>
      <w:r w:rsidRPr="00FD137A">
        <w:rPr>
          <w:b/>
        </w:rPr>
        <w:t>UL ACK Miss case:</w:t>
      </w:r>
      <w:r>
        <w:rPr>
          <w:b/>
        </w:rPr>
        <w:t xml:space="preserve"> </w:t>
      </w:r>
      <w:r>
        <w:t xml:space="preserve">Suppose UE received the DCI, but the UL ACK was lost, then UE would be ready to switch its beam </w:t>
      </w:r>
      <m:oMath>
        <m:r>
          <w:rPr>
            <w:rFonts w:ascii="Cambria Math" w:hAnsi="Cambria Math"/>
          </w:rPr>
          <m:t>m</m:t>
        </m:r>
      </m:oMath>
      <w:r>
        <w:t xml:space="preserve"> slots after the UL ACK. However, </w:t>
      </w:r>
      <w:r w:rsidR="000E251B">
        <w:t>since</w:t>
      </w:r>
      <w:r>
        <w:t xml:space="preserve"> gNB didn’t receive the ACK, it can retransmit the control signaling before the end of </w:t>
      </w:r>
      <m:oMath>
        <m:r>
          <w:rPr>
            <w:rFonts w:ascii="Cambria Math" w:hAnsi="Cambria Math"/>
          </w:rPr>
          <m:t>m</m:t>
        </m:r>
      </m:oMath>
      <w:r>
        <w:t xml:space="preserve"> slots.  UE can receive the control signaling and reconfigure based on the new control signaling. </w:t>
      </w:r>
    </w:p>
    <w:p w14:paraId="4AFA3334" w14:textId="2D4221ED" w:rsidR="00E747D5" w:rsidRPr="001924E7" w:rsidRDefault="00E747D5" w:rsidP="00E747D5">
      <w:pPr>
        <w:spacing w:before="180"/>
        <w:jc w:val="both"/>
      </w:pPr>
      <w:r w:rsidRPr="001924E7">
        <w:rPr>
          <w:b/>
          <w:u w:val="single"/>
        </w:rPr>
        <w:t>Observation</w:t>
      </w:r>
      <w:r w:rsidR="006E13ED" w:rsidRPr="001924E7">
        <w:rPr>
          <w:b/>
          <w:u w:val="single"/>
        </w:rPr>
        <w:t xml:space="preserve"> 1</w:t>
      </w:r>
      <w:r w:rsidRPr="001924E7">
        <w:rPr>
          <w:b/>
          <w:u w:val="single"/>
        </w:rPr>
        <w:t>:</w:t>
      </w:r>
      <w:r w:rsidRPr="006E13ED">
        <w:t xml:space="preserve"> </w:t>
      </w:r>
      <w:r w:rsidRPr="001924E7">
        <w:t xml:space="preserve">DCI based </w:t>
      </w:r>
      <w:r w:rsidR="003433F7" w:rsidRPr="001924E7">
        <w:t>control signaling</w:t>
      </w:r>
      <w:r w:rsidRPr="001924E7">
        <w:t xml:space="preserve"> with ACK/NACK confirmation provides similar robustness as MAC</w:t>
      </w:r>
      <w:r w:rsidR="003433F7" w:rsidRPr="001924E7">
        <w:t>-</w:t>
      </w:r>
      <w:r w:rsidRPr="001924E7">
        <w:t xml:space="preserve">CE based indication. </w:t>
      </w:r>
    </w:p>
    <w:p w14:paraId="7B8B1E9D" w14:textId="77777777" w:rsidR="00E747D5" w:rsidRDefault="00E747D5" w:rsidP="00E747D5">
      <w:pPr>
        <w:pStyle w:val="Heading3"/>
      </w:pPr>
      <w:r>
        <w:t xml:space="preserve">Latency </w:t>
      </w:r>
    </w:p>
    <w:p w14:paraId="23226D3D" w14:textId="2A33EBEC" w:rsidR="00E747D5" w:rsidRDefault="00E747D5" w:rsidP="00E747D5">
      <w:pPr>
        <w:spacing w:before="180"/>
        <w:jc w:val="both"/>
      </w:pPr>
      <w:r>
        <w:t xml:space="preserve">For DCI based control signaling, the signaling latency is the time duration between the time of corresponding DL signal transmission and the earliest slot when the control signal can </w:t>
      </w:r>
      <w:r w:rsidR="003433F7">
        <w:t xml:space="preserve">be </w:t>
      </w:r>
      <w:r>
        <w:t xml:space="preserve">safely </w:t>
      </w:r>
      <w:r w:rsidR="003433F7">
        <w:t xml:space="preserve">applied </w:t>
      </w:r>
      <w:r>
        <w:t xml:space="preserve">at gNB/UE. To calculate signaling latency, following delays associated with receiving DL transmission and sending UL signal need to be considered:  </w:t>
      </w:r>
    </w:p>
    <w:p w14:paraId="7AC58EE7" w14:textId="77777777" w:rsidR="00E747D5" w:rsidRPr="001924E7" w:rsidRDefault="00E747D5" w:rsidP="00E747D5">
      <w:pPr>
        <w:pStyle w:val="ListParagraph"/>
        <w:numPr>
          <w:ilvl w:val="0"/>
          <w:numId w:val="37"/>
        </w:numPr>
        <w:spacing w:before="180"/>
        <w:jc w:val="both"/>
        <w:rPr>
          <w:sz w:val="20"/>
        </w:rPr>
      </w:pPr>
      <w:r w:rsidRPr="001924E7">
        <w:rPr>
          <w:sz w:val="20"/>
        </w:rPr>
        <w:t>K0: Delay in slots between DL grant and corresponding DL data (PDSCH) reception,</w:t>
      </w:r>
    </w:p>
    <w:p w14:paraId="08083AA5" w14:textId="6B74CF27" w:rsidR="00E747D5" w:rsidRPr="001924E7" w:rsidRDefault="00E747D5" w:rsidP="00E747D5">
      <w:pPr>
        <w:pStyle w:val="ListParagraph"/>
        <w:numPr>
          <w:ilvl w:val="0"/>
          <w:numId w:val="37"/>
        </w:numPr>
        <w:spacing w:before="180"/>
        <w:jc w:val="both"/>
        <w:rPr>
          <w:sz w:val="20"/>
        </w:rPr>
      </w:pPr>
      <w:r w:rsidRPr="001924E7">
        <w:rPr>
          <w:sz w:val="20"/>
        </w:rPr>
        <w:t>K1: Delay in slots between DL data (PDSCH) reception and corresponding ACK transmission on UL,</w:t>
      </w:r>
    </w:p>
    <w:p w14:paraId="3EBE6FD5" w14:textId="1E31C559" w:rsidR="00E747D5" w:rsidRPr="001924E7" w:rsidRDefault="00E747D5" w:rsidP="00E747D5">
      <w:pPr>
        <w:pStyle w:val="ListParagraph"/>
        <w:numPr>
          <w:ilvl w:val="0"/>
          <w:numId w:val="37"/>
        </w:numPr>
        <w:spacing w:before="180"/>
        <w:jc w:val="both"/>
        <w:rPr>
          <w:sz w:val="20"/>
        </w:rPr>
      </w:pPr>
      <w:r w:rsidRPr="001924E7">
        <w:rPr>
          <w:sz w:val="20"/>
        </w:rPr>
        <w:t>K2: Delay in slots between UL grant reception in DL and UL data (PUSCH) transmission, or between a dedicated DCI and corresponding ACK.</w:t>
      </w:r>
    </w:p>
    <w:p w14:paraId="2AD51872" w14:textId="77777777" w:rsidR="00E747D5" w:rsidRPr="001924E7" w:rsidRDefault="00E747D5" w:rsidP="00E747D5">
      <w:pPr>
        <w:pStyle w:val="ListParagraph"/>
        <w:numPr>
          <w:ilvl w:val="0"/>
          <w:numId w:val="37"/>
        </w:numPr>
        <w:spacing w:before="180"/>
        <w:jc w:val="both"/>
        <w:rPr>
          <w:sz w:val="20"/>
        </w:rPr>
      </w:pPr>
      <w:r w:rsidRPr="001924E7">
        <w:rPr>
          <w:sz w:val="20"/>
        </w:rPr>
        <w:t>K3: Delay in slots between A/N reception in UL and corresponding retransmission of data (PDSCH) on DL.</w:t>
      </w:r>
    </w:p>
    <w:p w14:paraId="4C178DA1" w14:textId="76776735" w:rsidR="00E747D5" w:rsidRDefault="00E747D5" w:rsidP="00E747D5">
      <w:pPr>
        <w:pStyle w:val="ListParagraph"/>
        <w:numPr>
          <w:ilvl w:val="0"/>
          <w:numId w:val="37"/>
        </w:numPr>
        <w:spacing w:before="180"/>
        <w:jc w:val="both"/>
        <w:rPr>
          <w:sz w:val="20"/>
        </w:rPr>
      </w:pPr>
      <w:r w:rsidRPr="001924E7">
        <w:rPr>
          <w:sz w:val="20"/>
        </w:rPr>
        <w:t>KL2: Processing time to interpret the MAC payload and configure the lower layers based on interpreted payload</w:t>
      </w:r>
    </w:p>
    <w:p w14:paraId="761D9263" w14:textId="77777777" w:rsidR="007B7E00" w:rsidRDefault="007B7E00" w:rsidP="007B7E00">
      <w:pPr>
        <w:keepNext/>
        <w:spacing w:before="180"/>
        <w:jc w:val="both"/>
      </w:pPr>
      <w:r>
        <w:t xml:space="preserve">The PDCCH and PDSCH processing at UE should be performed within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For MAC-CE there will be an additional processing time of </w:t>
      </w:r>
      <m:oMath>
        <m:r>
          <w:rPr>
            <w:rFonts w:ascii="Cambria Math" w:hAnsi="Cambria Math"/>
          </w:rPr>
          <m:t>KL2</m:t>
        </m:r>
      </m:oMath>
      <w:r>
        <w:t xml:space="preserve"> slots required for interpreting the MAC payload and configuring the lower layer based on the interpreted payload. This delay depends on UE implementation and could be 4 to 12 slots. </w:t>
      </w:r>
    </w:p>
    <w:p w14:paraId="6785CC62" w14:textId="77777777" w:rsidR="007B7E00" w:rsidRDefault="007B7E00" w:rsidP="007B7E00">
      <w:pPr>
        <w:keepNext/>
        <w:spacing w:before="180"/>
        <w:jc w:val="both"/>
      </w:pPr>
      <w:r>
        <w:t>A schematic of control signal operation using MAC-CE vs DCI is shown in Figure 2-1.</w:t>
      </w:r>
    </w:p>
    <w:p w14:paraId="5DBF5BEE" w14:textId="77777777" w:rsidR="007B7E00" w:rsidRPr="001924E7" w:rsidRDefault="007B7E00" w:rsidP="001924E7">
      <w:pPr>
        <w:spacing w:before="180"/>
        <w:jc w:val="both"/>
      </w:pPr>
    </w:p>
    <w:p w14:paraId="20507A4F" w14:textId="52752143" w:rsidR="007B7E00" w:rsidRDefault="007B7E00" w:rsidP="00E747D5">
      <w:pPr>
        <w:keepNext/>
        <w:spacing w:before="180"/>
        <w:jc w:val="both"/>
      </w:pPr>
    </w:p>
    <w:p w14:paraId="4BEE2286" w14:textId="0C606DF4" w:rsidR="00E747D5" w:rsidRDefault="00E747D5" w:rsidP="00E747D5">
      <w:pPr>
        <w:keepNext/>
        <w:spacing w:before="180"/>
        <w:jc w:val="both"/>
      </w:pPr>
      <w:r>
        <w:t xml:space="preserve"> </w:t>
      </w:r>
      <w:r w:rsidR="007B7E00" w:rsidRPr="009603C5">
        <w:rPr>
          <w:lang w:eastAsia="zh-CN"/>
        </w:rPr>
        <w:object w:dxaOrig="9635" w:dyaOrig="14713" w14:anchorId="6E2C786B">
          <v:shape id="_x0000_i1026" type="#_x0000_t75" style="width:481.5pt;height:591.5pt" o:ole="" o:allowoverlap="f">
            <v:imagedata r:id="rId12" o:title=""/>
          </v:shape>
          <o:OLEObject Type="Embed" ProgID="Visio.Drawing.11" ShapeID="_x0000_i1026" DrawAspect="Content" ObjectID="_1568489045" r:id="rId13"/>
        </w:object>
      </w:r>
    </w:p>
    <w:p w14:paraId="09AF4992" w14:textId="184F942F" w:rsidR="00E747D5" w:rsidRPr="000D40E9" w:rsidRDefault="00E747D5" w:rsidP="00E747D5">
      <w:pPr>
        <w:pStyle w:val="Caption"/>
        <w:jc w:val="both"/>
      </w:pPr>
      <w:r>
        <w:t xml:space="preserve">Figure </w:t>
      </w:r>
      <w:fldSimple w:instr=" STYLEREF 1 \s ">
        <w:r>
          <w:rPr>
            <w:noProof/>
          </w:rPr>
          <w:t>2</w:t>
        </w:r>
      </w:fldSimple>
      <w:r>
        <w:noBreakHyphen/>
      </w:r>
      <w:fldSimple w:instr=" SEQ Figure \* ARABIC \s 1 ">
        <w:r>
          <w:rPr>
            <w:noProof/>
          </w:rPr>
          <w:t>1</w:t>
        </w:r>
      </w:fldSimple>
      <w:r>
        <w:t xml:space="preserve"> Timeline of DCI and MAC</w:t>
      </w:r>
      <w:r w:rsidR="00397E61">
        <w:t>-</w:t>
      </w:r>
      <w:r>
        <w:t>CE based Ctrl Switching</w:t>
      </w:r>
    </w:p>
    <w:p w14:paraId="24A6262E" w14:textId="77D720AE" w:rsidR="00E747D5" w:rsidRDefault="00E747D5" w:rsidP="00E747D5">
      <w:pPr>
        <w:spacing w:before="180"/>
        <w:jc w:val="both"/>
      </w:pPr>
      <w:r>
        <w:t xml:space="preserve">The latency for DCI-Based Control signaling is </w:t>
      </w:r>
      <m:oMath>
        <m:r>
          <w:rPr>
            <w:rFonts w:ascii="Cambria Math" w:hAnsi="Cambria Math"/>
          </w:rPr>
          <m:t>T_DCI=</m:t>
        </m:r>
      </m:oMath>
      <w:r>
        <w:t xml:space="preserve"> </w:t>
      </w:r>
      <m:oMath>
        <m:r>
          <w:rPr>
            <w:rFonts w:ascii="Cambria Math" w:hAnsi="Cambria Math"/>
          </w:rPr>
          <m:t>(K0+K1+1)</m:t>
        </m:r>
      </m:oMath>
      <w:r>
        <w:t xml:space="preserve"> if the DCI carries grant or </w:t>
      </w:r>
      <m:oMath>
        <m:r>
          <w:rPr>
            <w:rFonts w:ascii="Cambria Math" w:hAnsi="Cambria Math"/>
          </w:rPr>
          <m:t>T_DCI=</m:t>
        </m:r>
      </m:oMath>
      <w:r>
        <w:t xml:space="preserve"> </w:t>
      </w:r>
      <m:oMath>
        <m:r>
          <w:rPr>
            <w:rFonts w:ascii="Cambria Math" w:hAnsi="Cambria Math"/>
          </w:rPr>
          <m:t>(K2+1)</m:t>
        </m:r>
      </m:oMath>
      <w:r>
        <w:t xml:space="preserve"> if the DCI does not carry DL/UL grant, where a 1 slot delay for control signaling after sending the ACK is assumed. The latency for MAC</w:t>
      </w:r>
      <w:r w:rsidR="00397E61">
        <w:t>-</w:t>
      </w:r>
      <w:r>
        <w:t xml:space="preserve">CE based indication is </w:t>
      </w:r>
      <m:oMath>
        <m:r>
          <w:rPr>
            <w:rFonts w:ascii="Cambria Math" w:hAnsi="Cambria Math"/>
          </w:rPr>
          <m:t>T_MAC_CE=(K0+K1+KL2)</m:t>
        </m:r>
      </m:oMath>
      <w:r>
        <w:t xml:space="preserve"> if the first transmission is successful or</w:t>
      </w:r>
      <w:r w:rsidR="007B7E00">
        <w:t xml:space="preserve"> </w:t>
      </w:r>
      <m:oMath>
        <m:r>
          <w:rPr>
            <w:rFonts w:ascii="Cambria Math" w:hAnsi="Cambria Math"/>
          </w:rPr>
          <m:t>T_MAC_CE_ReTx=(2</m:t>
        </m:r>
        <m:d>
          <m:dPr>
            <m:ctrlPr>
              <w:rPr>
                <w:rFonts w:ascii="Cambria Math" w:hAnsi="Cambria Math"/>
                <w:i/>
              </w:rPr>
            </m:ctrlPr>
          </m:dPr>
          <m:e>
            <m:r>
              <w:rPr>
                <w:rFonts w:ascii="Cambria Math" w:hAnsi="Cambria Math"/>
              </w:rPr>
              <m:t>K0+K1</m:t>
            </m:r>
          </m:e>
        </m:d>
        <m:r>
          <w:rPr>
            <w:rFonts w:ascii="Cambria Math" w:hAnsi="Cambria Math"/>
          </w:rPr>
          <m:t>+K3+KL2)</m:t>
        </m:r>
      </m:oMath>
      <w:r>
        <w:t xml:space="preserve"> if a retransmission is required. For simplicity, we have assumed that PDCCH+PDSCH CRC requires (K0+K1) slots. </w:t>
      </w:r>
    </w:p>
    <w:p w14:paraId="151378C6" w14:textId="2CDA40DB" w:rsidR="00E747D5" w:rsidRDefault="006E13ED" w:rsidP="00E747D5">
      <w:pPr>
        <w:spacing w:before="180"/>
        <w:jc w:val="both"/>
      </w:pPr>
      <w:r>
        <w:t xml:space="preserve">It should be noted </w:t>
      </w:r>
      <w:r w:rsidR="00E747D5">
        <w:t xml:space="preserve">that data channel has higher target BLER as compared to PDCCH and ACK. We compare the average latency below. For MAC-CE, the average delay taking into account retransmission and ignoring multiple retransmissions is </w:t>
      </w:r>
      <m:oMath>
        <m:r>
          <w:rPr>
            <w:rFonts w:ascii="Cambria Math" w:hAnsi="Cambria Math"/>
          </w:rPr>
          <m:t>≈</m:t>
        </m:r>
      </m:oMath>
      <w:r w:rsidR="00E747D5">
        <w:t xml:space="preserve"> </w:t>
      </w:r>
      <m:oMath>
        <m:r>
          <w:rPr>
            <w:rFonts w:ascii="Cambria Math" w:hAnsi="Cambria Math"/>
          </w:rPr>
          <m:t>Targe</m:t>
        </m:r>
        <m:sSub>
          <m:sSubPr>
            <m:ctrlPr>
              <w:rPr>
                <w:rFonts w:ascii="Cambria Math" w:hAnsi="Cambria Math"/>
                <w:i/>
              </w:rPr>
            </m:ctrlPr>
          </m:sSubPr>
          <m:e>
            <m:r>
              <w:rPr>
                <w:rFonts w:ascii="Cambria Math" w:hAnsi="Cambria Math"/>
              </w:rPr>
              <m:t>t</m:t>
            </m:r>
          </m:e>
          <m:sub>
            <m:r>
              <w:rPr>
                <w:rFonts w:ascii="Cambria Math" w:hAnsi="Cambria Math"/>
              </w:rPr>
              <m:t>BLER</m:t>
            </m:r>
          </m:sub>
        </m:sSub>
      </m:oMath>
      <w:r w:rsidR="00E747D5">
        <w:t>*</w:t>
      </w:r>
      <m:oMath>
        <m:r>
          <w:rPr>
            <w:rFonts w:ascii="Cambria Math" w:hAnsi="Cambria Math"/>
          </w:rPr>
          <m:t xml:space="preserve"> T_MAC_CE_ReTx</m:t>
        </m:r>
      </m:oMath>
      <w:r w:rsidR="00E747D5">
        <w:t xml:space="preserve"> + (1-</w:t>
      </w:r>
      <m:oMath>
        <m:r>
          <w:rPr>
            <w:rFonts w:ascii="Cambria Math" w:hAnsi="Cambria Math"/>
          </w:rPr>
          <m:t xml:space="preserve"> Targe</m:t>
        </m:r>
        <m:sSub>
          <m:sSubPr>
            <m:ctrlPr>
              <w:rPr>
                <w:rFonts w:ascii="Cambria Math" w:hAnsi="Cambria Math"/>
                <w:i/>
              </w:rPr>
            </m:ctrlPr>
          </m:sSubPr>
          <m:e>
            <m:r>
              <w:rPr>
                <w:rFonts w:ascii="Cambria Math" w:hAnsi="Cambria Math"/>
              </w:rPr>
              <m:t>t</m:t>
            </m:r>
          </m:e>
          <m:sub>
            <m:r>
              <w:rPr>
                <w:rFonts w:ascii="Cambria Math" w:hAnsi="Cambria Math"/>
              </w:rPr>
              <m:t>BLER</m:t>
            </m:r>
          </m:sub>
        </m:sSub>
        <m:r>
          <w:rPr>
            <w:rFonts w:ascii="Cambria Math" w:hAnsi="Cambria Math"/>
          </w:rPr>
          <m:t>)</m:t>
        </m:r>
      </m:oMath>
      <w:r w:rsidR="00E747D5">
        <w:t>*</w:t>
      </w:r>
      <m:oMath>
        <m:r>
          <w:rPr>
            <w:rFonts w:ascii="Cambria Math" w:hAnsi="Cambria Math"/>
          </w:rPr>
          <m:t>T_MAC_CE</m:t>
        </m:r>
      </m:oMath>
      <w:r w:rsidR="00E747D5">
        <w:t xml:space="preserve">. Similarly, for DCI based operation, the average latency is approximated by ignoring multiple retransmissions and assuming </w:t>
      </w:r>
      <w:r w:rsidR="00E747D5" w:rsidRPr="00210804">
        <w:rPr>
          <w:i/>
        </w:rPr>
        <w:t>Target</w:t>
      </w:r>
      <w:r w:rsidR="00E747D5" w:rsidRPr="00210804">
        <w:rPr>
          <w:i/>
          <w:vertAlign w:val="subscript"/>
        </w:rPr>
        <w:t>BLER</w:t>
      </w:r>
      <w:r w:rsidR="00E747D5">
        <w:t xml:space="preserve"> =1%. </w:t>
      </w:r>
    </w:p>
    <w:p w14:paraId="270CF10A" w14:textId="58A11375" w:rsidR="00E747D5" w:rsidRDefault="00E747D5" w:rsidP="00E747D5">
      <w:pPr>
        <w:pStyle w:val="Caption"/>
        <w:keepNext/>
      </w:pPr>
      <w:r>
        <w:t xml:space="preserve">Table </w:t>
      </w:r>
      <w:fldSimple w:instr=" SEQ Table \* ARABIC ">
        <w:r w:rsidR="006E13ED">
          <w:rPr>
            <w:noProof/>
          </w:rPr>
          <w:t>1</w:t>
        </w:r>
      </w:fldSimple>
      <w:r>
        <w:t>: Latency Comparison of MAC</w:t>
      </w:r>
      <w:r w:rsidR="006E13ED">
        <w:t>-</w:t>
      </w:r>
      <w:r>
        <w:t>CE vs DCI</w:t>
      </w:r>
    </w:p>
    <w:tbl>
      <w:tblPr>
        <w:tblStyle w:val="TableGrid"/>
        <w:tblW w:w="0" w:type="auto"/>
        <w:jc w:val="center"/>
        <w:tblLook w:val="04A0" w:firstRow="1" w:lastRow="0" w:firstColumn="1" w:lastColumn="0" w:noHBand="0" w:noVBand="1"/>
      </w:tblPr>
      <w:tblGrid>
        <w:gridCol w:w="1992"/>
        <w:gridCol w:w="1603"/>
        <w:gridCol w:w="2070"/>
        <w:gridCol w:w="2303"/>
        <w:gridCol w:w="1992"/>
      </w:tblGrid>
      <w:tr w:rsidR="00E747D5" w14:paraId="78DA706B" w14:textId="77777777" w:rsidTr="001642EC">
        <w:trPr>
          <w:jc w:val="center"/>
        </w:trPr>
        <w:tc>
          <w:tcPr>
            <w:tcW w:w="1992" w:type="dxa"/>
          </w:tcPr>
          <w:p w14:paraId="3687CD72" w14:textId="77777777" w:rsidR="00E747D5" w:rsidRDefault="00E747D5" w:rsidP="001642EC">
            <w:pPr>
              <w:spacing w:before="180"/>
            </w:pPr>
          </w:p>
        </w:tc>
        <w:tc>
          <w:tcPr>
            <w:tcW w:w="1603" w:type="dxa"/>
          </w:tcPr>
          <w:p w14:paraId="12E16CD4" w14:textId="77777777" w:rsidR="00E747D5" w:rsidRDefault="00E747D5" w:rsidP="001642EC">
            <w:pPr>
              <w:spacing w:before="180"/>
            </w:pPr>
            <w:r>
              <w:t>(K0+K1, K3, KL2, PDSCH Target Bler)</w:t>
            </w:r>
          </w:p>
        </w:tc>
        <w:tc>
          <w:tcPr>
            <w:tcW w:w="2070" w:type="dxa"/>
          </w:tcPr>
          <w:p w14:paraId="6D18AF65" w14:textId="71E5906F" w:rsidR="00E747D5" w:rsidRDefault="00E747D5" w:rsidP="001642EC">
            <w:pPr>
              <w:spacing w:before="180"/>
            </w:pPr>
            <w:r>
              <w:t>Average Latency for</w:t>
            </w:r>
            <w:bookmarkStart w:id="2" w:name="_GoBack"/>
            <w:bookmarkEnd w:id="2"/>
            <w:r>
              <w:t xml:space="preserve"> MAC</w:t>
            </w:r>
            <w:r w:rsidR="006E13ED">
              <w:t>-</w:t>
            </w:r>
            <w:r>
              <w:t>CE in slots</w:t>
            </w:r>
          </w:p>
        </w:tc>
        <w:tc>
          <w:tcPr>
            <w:tcW w:w="2303" w:type="dxa"/>
          </w:tcPr>
          <w:p w14:paraId="670DA03D" w14:textId="77777777" w:rsidR="00E747D5" w:rsidRDefault="00E747D5" w:rsidP="001642EC">
            <w:pPr>
              <w:spacing w:before="180"/>
            </w:pPr>
            <w:r>
              <w:t>Average Latency for DCI Based in slots (% Improvement w.r.t MAC -CE)</w:t>
            </w:r>
          </w:p>
          <w:p w14:paraId="10C92964" w14:textId="77777777" w:rsidR="00E747D5" w:rsidRDefault="00E747D5" w:rsidP="001642EC">
            <w:pPr>
              <w:spacing w:before="180"/>
            </w:pPr>
            <w:r w:rsidRPr="00F5127C">
              <w:rPr>
                <w:sz w:val="12"/>
              </w:rPr>
              <w:t>*Note K3</w:t>
            </w:r>
            <w:r>
              <w:rPr>
                <w:sz w:val="12"/>
              </w:rPr>
              <w:t>=2</w:t>
            </w:r>
          </w:p>
        </w:tc>
        <w:tc>
          <w:tcPr>
            <w:tcW w:w="1992" w:type="dxa"/>
          </w:tcPr>
          <w:p w14:paraId="1045A404" w14:textId="77777777" w:rsidR="00E747D5" w:rsidRDefault="00E747D5" w:rsidP="001642EC">
            <w:pPr>
              <w:spacing w:before="180"/>
            </w:pPr>
            <w:r>
              <w:t>Average Latency for Dedicated DCI in slots (% Improvement w.r.t MAC -CE)</w:t>
            </w:r>
          </w:p>
          <w:p w14:paraId="5AB1FA41" w14:textId="77777777" w:rsidR="00E747D5" w:rsidRDefault="00E747D5" w:rsidP="001642EC">
            <w:pPr>
              <w:spacing w:before="180"/>
            </w:pPr>
            <w:r w:rsidRPr="00F5127C">
              <w:rPr>
                <w:sz w:val="12"/>
              </w:rPr>
              <w:t xml:space="preserve">*Note K2 = 1, K3 </w:t>
            </w:r>
            <w:r>
              <w:rPr>
                <w:sz w:val="12"/>
              </w:rPr>
              <w:t>=2</w:t>
            </w:r>
            <w:r w:rsidRPr="00F5127C">
              <w:rPr>
                <w:sz w:val="12"/>
              </w:rPr>
              <w:t xml:space="preserve"> </w:t>
            </w:r>
          </w:p>
        </w:tc>
      </w:tr>
      <w:tr w:rsidR="00E747D5" w14:paraId="56D6F466" w14:textId="77777777" w:rsidTr="001642EC">
        <w:trPr>
          <w:jc w:val="center"/>
        </w:trPr>
        <w:tc>
          <w:tcPr>
            <w:tcW w:w="1992" w:type="dxa"/>
          </w:tcPr>
          <w:p w14:paraId="6F17ACC8" w14:textId="5F850B91" w:rsidR="00E747D5" w:rsidRDefault="00E747D5" w:rsidP="001642EC">
            <w:pPr>
              <w:spacing w:before="180"/>
            </w:pPr>
            <w:r>
              <w:t>Case 1: Nominal Operation with 10% Target BLER</w:t>
            </w:r>
          </w:p>
        </w:tc>
        <w:tc>
          <w:tcPr>
            <w:tcW w:w="1603" w:type="dxa"/>
          </w:tcPr>
          <w:p w14:paraId="7A4C74DB" w14:textId="77777777" w:rsidR="00E747D5" w:rsidRDefault="00E747D5" w:rsidP="001642EC">
            <w:pPr>
              <w:spacing w:before="180"/>
            </w:pPr>
            <w:r>
              <w:t>(4,4,8,10%)</w:t>
            </w:r>
          </w:p>
        </w:tc>
        <w:tc>
          <w:tcPr>
            <w:tcW w:w="2070" w:type="dxa"/>
          </w:tcPr>
          <w:p w14:paraId="622BEDAB" w14:textId="77777777" w:rsidR="00E747D5" w:rsidRDefault="00E747D5" w:rsidP="001642EC">
            <w:pPr>
              <w:spacing w:before="180"/>
              <w:jc w:val="center"/>
            </w:pPr>
            <w:r>
              <w:t>12.8</w:t>
            </w:r>
          </w:p>
        </w:tc>
        <w:tc>
          <w:tcPr>
            <w:tcW w:w="2303" w:type="dxa"/>
            <w:vAlign w:val="bottom"/>
          </w:tcPr>
          <w:p w14:paraId="4A49998E" w14:textId="77777777" w:rsidR="00E747D5" w:rsidRDefault="00E747D5" w:rsidP="001642EC">
            <w:pPr>
              <w:spacing w:before="180"/>
              <w:jc w:val="center"/>
            </w:pPr>
            <w:r>
              <w:rPr>
                <w:rFonts w:ascii="Calibri" w:hAnsi="Calibri"/>
                <w:color w:val="000000"/>
                <w:sz w:val="22"/>
                <w:szCs w:val="22"/>
              </w:rPr>
              <w:t>5.07(60%)</w:t>
            </w:r>
          </w:p>
        </w:tc>
        <w:tc>
          <w:tcPr>
            <w:tcW w:w="1992" w:type="dxa"/>
            <w:vAlign w:val="bottom"/>
          </w:tcPr>
          <w:p w14:paraId="0494ADAA" w14:textId="77777777" w:rsidR="00E747D5" w:rsidRDefault="00E747D5" w:rsidP="001642EC">
            <w:pPr>
              <w:spacing w:before="180"/>
              <w:jc w:val="center"/>
            </w:pPr>
            <w:r>
              <w:rPr>
                <w:rFonts w:ascii="Calibri" w:hAnsi="Calibri"/>
                <w:color w:val="000000"/>
                <w:sz w:val="22"/>
                <w:szCs w:val="22"/>
              </w:rPr>
              <w:t>2.04(84%)</w:t>
            </w:r>
          </w:p>
        </w:tc>
      </w:tr>
      <w:tr w:rsidR="00E747D5" w14:paraId="7BC4BF57" w14:textId="77777777" w:rsidTr="001642EC">
        <w:trPr>
          <w:jc w:val="center"/>
        </w:trPr>
        <w:tc>
          <w:tcPr>
            <w:tcW w:w="1992" w:type="dxa"/>
          </w:tcPr>
          <w:p w14:paraId="0F6ADC40" w14:textId="77777777" w:rsidR="00E747D5" w:rsidRDefault="00E747D5" w:rsidP="001642EC">
            <w:pPr>
              <w:spacing w:before="180"/>
            </w:pPr>
            <w:r>
              <w:t>Case 2: Lower L1 Processing Delay</w:t>
            </w:r>
          </w:p>
        </w:tc>
        <w:tc>
          <w:tcPr>
            <w:tcW w:w="1603" w:type="dxa"/>
          </w:tcPr>
          <w:p w14:paraId="11904C02" w14:textId="77777777" w:rsidR="00E747D5" w:rsidRDefault="00E747D5" w:rsidP="001642EC">
            <w:pPr>
              <w:spacing w:before="180"/>
            </w:pPr>
            <w:r>
              <w:t>(2,2,8,10%)</w:t>
            </w:r>
          </w:p>
        </w:tc>
        <w:tc>
          <w:tcPr>
            <w:tcW w:w="2070" w:type="dxa"/>
          </w:tcPr>
          <w:p w14:paraId="67C0AA83" w14:textId="77777777" w:rsidR="00E747D5" w:rsidRDefault="00E747D5" w:rsidP="001642EC">
            <w:pPr>
              <w:spacing w:before="180"/>
              <w:jc w:val="center"/>
            </w:pPr>
            <w:r>
              <w:t>10.4</w:t>
            </w:r>
          </w:p>
        </w:tc>
        <w:tc>
          <w:tcPr>
            <w:tcW w:w="2303" w:type="dxa"/>
            <w:vAlign w:val="bottom"/>
          </w:tcPr>
          <w:p w14:paraId="655A4FDC" w14:textId="77777777" w:rsidR="00E747D5" w:rsidRDefault="00E747D5" w:rsidP="001642EC">
            <w:pPr>
              <w:spacing w:before="180"/>
              <w:jc w:val="center"/>
            </w:pPr>
            <w:r>
              <w:rPr>
                <w:rFonts w:ascii="Calibri" w:hAnsi="Calibri"/>
                <w:color w:val="000000"/>
                <w:sz w:val="22"/>
                <w:szCs w:val="22"/>
              </w:rPr>
              <w:t>3.05(71%)</w:t>
            </w:r>
          </w:p>
        </w:tc>
        <w:tc>
          <w:tcPr>
            <w:tcW w:w="1992" w:type="dxa"/>
            <w:vAlign w:val="bottom"/>
          </w:tcPr>
          <w:p w14:paraId="54B696D1" w14:textId="77777777" w:rsidR="00E747D5" w:rsidRDefault="00E747D5" w:rsidP="001642EC">
            <w:pPr>
              <w:spacing w:before="180"/>
              <w:jc w:val="center"/>
            </w:pPr>
            <w:r>
              <w:rPr>
                <w:rFonts w:ascii="Calibri" w:hAnsi="Calibri"/>
                <w:color w:val="000000"/>
                <w:sz w:val="22"/>
                <w:szCs w:val="22"/>
              </w:rPr>
              <w:t>2.04(80%)</w:t>
            </w:r>
          </w:p>
        </w:tc>
      </w:tr>
      <w:tr w:rsidR="00E747D5" w14:paraId="7364B79B" w14:textId="77777777" w:rsidTr="001642EC">
        <w:trPr>
          <w:trHeight w:val="1034"/>
          <w:jc w:val="center"/>
        </w:trPr>
        <w:tc>
          <w:tcPr>
            <w:tcW w:w="1992" w:type="dxa"/>
          </w:tcPr>
          <w:p w14:paraId="45ED70A1" w14:textId="77777777" w:rsidR="00E747D5" w:rsidRDefault="00E747D5" w:rsidP="001642EC">
            <w:pPr>
              <w:spacing w:before="180"/>
            </w:pPr>
            <w:r>
              <w:t>Case 3: Scheduling constraint due to Analog BF (larger K3)</w:t>
            </w:r>
          </w:p>
        </w:tc>
        <w:tc>
          <w:tcPr>
            <w:tcW w:w="1603" w:type="dxa"/>
          </w:tcPr>
          <w:p w14:paraId="4106AC6D" w14:textId="77777777" w:rsidR="00E747D5" w:rsidRDefault="00E747D5" w:rsidP="001642EC">
            <w:pPr>
              <w:spacing w:before="180"/>
            </w:pPr>
            <w:r>
              <w:t>(4,12,8,10%)</w:t>
            </w:r>
          </w:p>
        </w:tc>
        <w:tc>
          <w:tcPr>
            <w:tcW w:w="2070" w:type="dxa"/>
          </w:tcPr>
          <w:p w14:paraId="3811A691" w14:textId="77777777" w:rsidR="00E747D5" w:rsidRDefault="00E747D5" w:rsidP="001642EC">
            <w:pPr>
              <w:spacing w:before="180"/>
              <w:jc w:val="center"/>
            </w:pPr>
            <w:r>
              <w:t>13.6</w:t>
            </w:r>
          </w:p>
        </w:tc>
        <w:tc>
          <w:tcPr>
            <w:tcW w:w="2303" w:type="dxa"/>
            <w:vAlign w:val="bottom"/>
          </w:tcPr>
          <w:p w14:paraId="182FE1C5" w14:textId="77777777" w:rsidR="00E747D5" w:rsidRDefault="00E747D5" w:rsidP="001642EC">
            <w:pPr>
              <w:spacing w:before="180"/>
              <w:jc w:val="center"/>
            </w:pPr>
            <w:r>
              <w:rPr>
                <w:rFonts w:ascii="Calibri" w:hAnsi="Calibri"/>
                <w:color w:val="000000"/>
                <w:sz w:val="22"/>
                <w:szCs w:val="22"/>
              </w:rPr>
              <w:t>5.07(63%)</w:t>
            </w:r>
          </w:p>
        </w:tc>
        <w:tc>
          <w:tcPr>
            <w:tcW w:w="1992" w:type="dxa"/>
            <w:vAlign w:val="bottom"/>
          </w:tcPr>
          <w:p w14:paraId="7FF4F4EA" w14:textId="77777777" w:rsidR="00E747D5" w:rsidRDefault="00E747D5" w:rsidP="001642EC">
            <w:pPr>
              <w:spacing w:before="180"/>
              <w:jc w:val="center"/>
            </w:pPr>
            <w:r>
              <w:rPr>
                <w:rFonts w:ascii="Calibri" w:hAnsi="Calibri"/>
                <w:color w:val="000000"/>
                <w:sz w:val="22"/>
                <w:szCs w:val="22"/>
              </w:rPr>
              <w:t>2.04(85%)</w:t>
            </w:r>
          </w:p>
        </w:tc>
      </w:tr>
      <w:tr w:rsidR="00E747D5" w14:paraId="25DE17A7" w14:textId="77777777" w:rsidTr="001642EC">
        <w:trPr>
          <w:jc w:val="center"/>
        </w:trPr>
        <w:tc>
          <w:tcPr>
            <w:tcW w:w="1992" w:type="dxa"/>
          </w:tcPr>
          <w:p w14:paraId="79E4A639" w14:textId="77777777" w:rsidR="00E747D5" w:rsidRDefault="00E747D5" w:rsidP="001642EC">
            <w:pPr>
              <w:spacing w:before="180"/>
              <w:jc w:val="left"/>
            </w:pPr>
            <w:r>
              <w:t>Case 4: Self-Contained Operation</w:t>
            </w:r>
          </w:p>
        </w:tc>
        <w:tc>
          <w:tcPr>
            <w:tcW w:w="1603" w:type="dxa"/>
          </w:tcPr>
          <w:p w14:paraId="53C9CEB8" w14:textId="77777777" w:rsidR="00E747D5" w:rsidRDefault="00E747D5" w:rsidP="001642EC">
            <w:pPr>
              <w:spacing w:before="180"/>
            </w:pPr>
            <w:r>
              <w:t>(1,1,4,10)</w:t>
            </w:r>
          </w:p>
        </w:tc>
        <w:tc>
          <w:tcPr>
            <w:tcW w:w="2070" w:type="dxa"/>
          </w:tcPr>
          <w:p w14:paraId="000C45FC" w14:textId="77777777" w:rsidR="00E747D5" w:rsidRDefault="00E747D5" w:rsidP="001642EC">
            <w:pPr>
              <w:spacing w:before="180"/>
              <w:jc w:val="center"/>
            </w:pPr>
            <w:r>
              <w:t>5.2</w:t>
            </w:r>
          </w:p>
        </w:tc>
        <w:tc>
          <w:tcPr>
            <w:tcW w:w="2303" w:type="dxa"/>
            <w:vAlign w:val="bottom"/>
          </w:tcPr>
          <w:p w14:paraId="71E57F8E" w14:textId="77777777" w:rsidR="00E747D5" w:rsidRDefault="00E747D5" w:rsidP="001642EC">
            <w:pPr>
              <w:spacing w:before="180"/>
              <w:jc w:val="center"/>
            </w:pPr>
            <w:r>
              <w:rPr>
                <w:rFonts w:ascii="Calibri" w:hAnsi="Calibri"/>
                <w:color w:val="000000"/>
                <w:sz w:val="22"/>
                <w:szCs w:val="22"/>
              </w:rPr>
              <w:t>2.04(61%)</w:t>
            </w:r>
          </w:p>
        </w:tc>
        <w:tc>
          <w:tcPr>
            <w:tcW w:w="1992" w:type="dxa"/>
          </w:tcPr>
          <w:p w14:paraId="0C5B4E78" w14:textId="77777777" w:rsidR="00E747D5" w:rsidRDefault="00E747D5" w:rsidP="001642EC">
            <w:pPr>
              <w:spacing w:before="180"/>
              <w:jc w:val="center"/>
            </w:pPr>
            <w:r>
              <w:rPr>
                <w:rFonts w:ascii="Calibri" w:hAnsi="Calibri"/>
                <w:color w:val="000000"/>
                <w:sz w:val="22"/>
                <w:szCs w:val="22"/>
              </w:rPr>
              <w:t>2.04(</w:t>
            </w:r>
            <w:r>
              <w:t>60%)</w:t>
            </w:r>
          </w:p>
        </w:tc>
      </w:tr>
    </w:tbl>
    <w:p w14:paraId="543E3523" w14:textId="4266EB14" w:rsidR="00E747D5" w:rsidRPr="004F2CD4" w:rsidRDefault="006E13ED" w:rsidP="00E747D5">
      <w:pPr>
        <w:spacing w:before="180"/>
        <w:jc w:val="both"/>
      </w:pPr>
      <w:r>
        <w:t>Table 1</w:t>
      </w:r>
      <w:r w:rsidR="00E747D5">
        <w:t xml:space="preserve"> indicates that latency improvement can be quite significant using DCI based switch compared to MAC</w:t>
      </w:r>
      <w:r>
        <w:t>-</w:t>
      </w:r>
      <w:r w:rsidR="00E747D5">
        <w:t>CE based Control signaling</w:t>
      </w:r>
      <w:r>
        <w:t xml:space="preserve"> considering retransmission due to different target BLER for PDCCH and PDSCH</w:t>
      </w:r>
      <w:r w:rsidR="00E747D5">
        <w:t xml:space="preserve">. With subcarrier spacing of 60 kHz, MAC-CE based signaling can have a latency more than 2 ms if a retransmission is required, which could be problematic in high-speed scenarios.   Based on the above discussions we have the following proposal. </w:t>
      </w:r>
      <w:bookmarkStart w:id="3" w:name="_Toc485453288"/>
    </w:p>
    <w:p w14:paraId="5F4BA54E" w14:textId="15DBF3C0" w:rsidR="00E14F56" w:rsidRPr="001924E7" w:rsidRDefault="00E747D5" w:rsidP="001924E7">
      <w:pPr>
        <w:rPr>
          <w:b/>
          <w:u w:val="single"/>
        </w:rPr>
      </w:pPr>
      <w:r w:rsidRPr="001924E7">
        <w:rPr>
          <w:b/>
          <w:u w:val="single"/>
        </w:rPr>
        <w:t xml:space="preserve">Proposal </w:t>
      </w:r>
      <w:r w:rsidR="006E13ED" w:rsidRPr="001924E7">
        <w:rPr>
          <w:b/>
          <w:u w:val="single"/>
        </w:rPr>
        <w:t>1</w:t>
      </w:r>
      <w:r w:rsidRPr="001924E7">
        <w:rPr>
          <w:b/>
          <w:u w:val="single"/>
        </w:rPr>
        <w:t>:</w:t>
      </w:r>
      <w:r w:rsidRPr="001924E7">
        <w:t xml:space="preserve"> Support DCI Based Control Signaling scenarios such as BWP/CA activation/deactivation and beam switching</w:t>
      </w:r>
      <w:r w:rsidR="006E13ED">
        <w:t xml:space="preserve"> for NR</w:t>
      </w:r>
      <w:r w:rsidRPr="001924E7">
        <w:t>.</w:t>
      </w:r>
      <w:r w:rsidRPr="001924E7">
        <w:rPr>
          <w:b/>
          <w:u w:val="single"/>
        </w:rPr>
        <w:t xml:space="preserve"> </w:t>
      </w:r>
      <w:bookmarkEnd w:id="3"/>
    </w:p>
    <w:p w14:paraId="0192DC82" w14:textId="6C07C167" w:rsidR="00E747D5" w:rsidRPr="00E14F56" w:rsidRDefault="00E747D5" w:rsidP="00E14F56">
      <w:pPr>
        <w:pStyle w:val="Observation"/>
        <w:ind w:left="36" w:hanging="36"/>
        <w:rPr>
          <w:b w:val="0"/>
          <w:i w:val="0"/>
        </w:rPr>
      </w:pPr>
      <w:r w:rsidRPr="00E14F56">
        <w:rPr>
          <w:b w:val="0"/>
          <w:i w:val="0"/>
        </w:rPr>
        <w:t>A few of the existing PDCCH payload formats could be repurposed to also transmit Control signaling information. To minimize specification impact a dedicated RNTI can be specified for carrying Control signaling. DCI based signaling can complement MAC-CE based switching for high mobility scenarios and for applications that require low</w:t>
      </w:r>
      <w:r w:rsidR="006E13ED">
        <w:rPr>
          <w:b w:val="0"/>
          <w:i w:val="0"/>
        </w:rPr>
        <w:t>er</w:t>
      </w:r>
      <w:r w:rsidRPr="00E14F56">
        <w:rPr>
          <w:b w:val="0"/>
          <w:i w:val="0"/>
        </w:rPr>
        <w:t xml:space="preserve"> latency.</w:t>
      </w:r>
    </w:p>
    <w:p w14:paraId="3B17EBC1" w14:textId="1DFC0E21" w:rsidR="00736CD8" w:rsidRDefault="00E747D5" w:rsidP="00736CD8">
      <w:pPr>
        <w:pStyle w:val="Heading2"/>
      </w:pPr>
      <w:r>
        <w:t>R</w:t>
      </w:r>
      <w:r w:rsidR="002B4AC3">
        <w:t xml:space="preserve">eduction on </w:t>
      </w:r>
      <w:r w:rsidR="00736CD8">
        <w:t xml:space="preserve">PDCCH </w:t>
      </w:r>
      <w:r w:rsidR="002B4AC3">
        <w:t>blind decoding</w:t>
      </w:r>
    </w:p>
    <w:p w14:paraId="1FBC2A59" w14:textId="3119AAED" w:rsidR="00736CD8" w:rsidRDefault="00736CD8" w:rsidP="00736CD8">
      <w:pPr>
        <w:jc w:val="both"/>
        <w:rPr>
          <w:szCs w:val="22"/>
        </w:rPr>
      </w:pPr>
      <w:r>
        <w:rPr>
          <w:szCs w:val="22"/>
        </w:rPr>
        <w:t xml:space="preserve">To further reduce the complexity for PDCCH decoding and improve the timeline, </w:t>
      </w:r>
      <w:r w:rsidR="002B4AC3">
        <w:rPr>
          <w:szCs w:val="22"/>
        </w:rPr>
        <w:t xml:space="preserve">companies </w:t>
      </w:r>
      <w:r>
        <w:rPr>
          <w:szCs w:val="22"/>
        </w:rPr>
        <w:t>consider fewer hypotheses of blind decoding for PDCCH.</w:t>
      </w:r>
    </w:p>
    <w:p w14:paraId="10B16D01" w14:textId="72B528AC" w:rsidR="00736CD8" w:rsidRDefault="00736CD8" w:rsidP="00736CD8">
      <w:pPr>
        <w:jc w:val="both"/>
        <w:rPr>
          <w:szCs w:val="22"/>
        </w:rPr>
      </w:pPr>
      <w:r>
        <w:rPr>
          <w:szCs w:val="22"/>
        </w:rPr>
        <w:t>In LTE, there are 44</w:t>
      </w:r>
      <w:r w:rsidR="0063473A">
        <w:rPr>
          <w:szCs w:val="22"/>
        </w:rPr>
        <w:t xml:space="preserve"> blind decodes hypotheses:</w:t>
      </w:r>
    </w:p>
    <w:p w14:paraId="01AF7C95" w14:textId="4EB49EDD" w:rsidR="00736CD8" w:rsidRPr="00F75671" w:rsidRDefault="00736CD8" w:rsidP="00736CD8">
      <w:pPr>
        <w:pStyle w:val="ListParagraph"/>
        <w:numPr>
          <w:ilvl w:val="0"/>
          <w:numId w:val="31"/>
        </w:numPr>
        <w:jc w:val="both"/>
        <w:rPr>
          <w:rFonts w:ascii="Times New Roman" w:hAnsi="Times New Roman"/>
          <w:sz w:val="20"/>
        </w:rPr>
      </w:pPr>
      <w:r w:rsidRPr="00F75671">
        <w:rPr>
          <w:rFonts w:ascii="Times New Roman" w:hAnsi="Times New Roman"/>
          <w:bCs/>
          <w:sz w:val="20"/>
        </w:rPr>
        <w:t>UE specific</w:t>
      </w:r>
      <w:r w:rsidRPr="00F75671">
        <w:rPr>
          <w:rFonts w:ascii="Times New Roman" w:hAnsi="Times New Roman"/>
          <w:sz w:val="20"/>
        </w:rPr>
        <w:t xml:space="preserve">: (6xAL1; 6xAL2; 2xAL4; 2xAL8) x (2 DCI </w:t>
      </w:r>
      <w:r w:rsidR="00DB057E">
        <w:rPr>
          <w:rFonts w:ascii="Times New Roman" w:hAnsi="Times New Roman"/>
          <w:sz w:val="20"/>
        </w:rPr>
        <w:t>size</w:t>
      </w:r>
      <w:r w:rsidR="003B463C">
        <w:rPr>
          <w:rFonts w:ascii="Times New Roman" w:hAnsi="Times New Roman"/>
          <w:sz w:val="20"/>
        </w:rPr>
        <w:t>s</w:t>
      </w:r>
      <w:r w:rsidRPr="00F75671">
        <w:rPr>
          <w:rFonts w:ascii="Times New Roman" w:hAnsi="Times New Roman"/>
          <w:sz w:val="20"/>
        </w:rPr>
        <w:t>) = 32</w:t>
      </w:r>
    </w:p>
    <w:p w14:paraId="444B22F7" w14:textId="023F5D4E" w:rsidR="00736CD8" w:rsidRPr="00F75671" w:rsidRDefault="00736CD8" w:rsidP="00F37583">
      <w:pPr>
        <w:pStyle w:val="ListParagraph"/>
        <w:numPr>
          <w:ilvl w:val="0"/>
          <w:numId w:val="31"/>
        </w:numPr>
        <w:spacing w:after="240"/>
        <w:jc w:val="both"/>
        <w:rPr>
          <w:rFonts w:ascii="Times New Roman" w:hAnsi="Times New Roman"/>
          <w:sz w:val="20"/>
        </w:rPr>
      </w:pPr>
      <w:r w:rsidRPr="00F75671">
        <w:rPr>
          <w:rFonts w:ascii="Times New Roman" w:hAnsi="Times New Roman"/>
          <w:bCs/>
          <w:sz w:val="20"/>
        </w:rPr>
        <w:t>Common</w:t>
      </w:r>
      <w:r w:rsidRPr="00F75671">
        <w:rPr>
          <w:rFonts w:ascii="Times New Roman" w:hAnsi="Times New Roman"/>
          <w:sz w:val="20"/>
        </w:rPr>
        <w:t xml:space="preserve">: (4xAL4; 2xAL8) x (2 DCI </w:t>
      </w:r>
      <w:r w:rsidR="00DB057E">
        <w:rPr>
          <w:rFonts w:ascii="Times New Roman" w:hAnsi="Times New Roman"/>
          <w:sz w:val="20"/>
        </w:rPr>
        <w:t>size</w:t>
      </w:r>
      <w:r w:rsidR="003B463C">
        <w:rPr>
          <w:rFonts w:ascii="Times New Roman" w:hAnsi="Times New Roman"/>
          <w:sz w:val="20"/>
        </w:rPr>
        <w:t>s</w:t>
      </w:r>
      <w:r w:rsidRPr="00F75671">
        <w:rPr>
          <w:rFonts w:ascii="Times New Roman" w:hAnsi="Times New Roman"/>
          <w:sz w:val="20"/>
        </w:rPr>
        <w:t>) = 12</w:t>
      </w:r>
    </w:p>
    <w:p w14:paraId="11893879" w14:textId="0370EFA4" w:rsidR="00736CD8" w:rsidRDefault="00736CD8" w:rsidP="00736CD8">
      <w:pPr>
        <w:jc w:val="both"/>
      </w:pPr>
      <w:r>
        <w:t>There could be multiple ways to reduce the number of hypotheses</w:t>
      </w:r>
      <w:r w:rsidR="0063473A">
        <w:t xml:space="preserve"> and/or the processing required for blind decoding:</w:t>
      </w:r>
    </w:p>
    <w:p w14:paraId="58484329" w14:textId="3F953334"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 xml:space="preserve">Limit the DCI </w:t>
      </w:r>
      <w:r w:rsidR="00D26674">
        <w:rPr>
          <w:rFonts w:ascii="Times New Roman" w:hAnsi="Times New Roman"/>
          <w:sz w:val="20"/>
        </w:rPr>
        <w:t>size</w:t>
      </w:r>
      <w:r w:rsidRPr="00F75671">
        <w:rPr>
          <w:rFonts w:ascii="Times New Roman" w:hAnsi="Times New Roman"/>
          <w:sz w:val="20"/>
        </w:rPr>
        <w:t xml:space="preserve"> options</w:t>
      </w:r>
    </w:p>
    <w:p w14:paraId="40BF009E" w14:textId="3B8FEA04"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be pursued once NR sub-features are settled and DCI contents are determined.</w:t>
      </w:r>
    </w:p>
    <w:p w14:paraId="6745677D" w14:textId="530BB6FF" w:rsidR="00736CD8" w:rsidRPr="00F75671" w:rsidRDefault="00736CD8" w:rsidP="00736CD8">
      <w:pPr>
        <w:pStyle w:val="ListParagraph"/>
        <w:numPr>
          <w:ilvl w:val="0"/>
          <w:numId w:val="30"/>
        </w:numPr>
        <w:jc w:val="both"/>
        <w:rPr>
          <w:rFonts w:ascii="Times New Roman" w:hAnsi="Times New Roman"/>
          <w:sz w:val="20"/>
        </w:rPr>
      </w:pPr>
      <w:r w:rsidRPr="00F75671">
        <w:rPr>
          <w:rFonts w:ascii="Times New Roman" w:hAnsi="Times New Roman"/>
          <w:sz w:val="20"/>
        </w:rPr>
        <w:t xml:space="preserve">Use nested search space for </w:t>
      </w:r>
      <w:r w:rsidR="002277AA">
        <w:rPr>
          <w:rFonts w:ascii="Times New Roman" w:hAnsi="Times New Roman"/>
          <w:sz w:val="20"/>
        </w:rPr>
        <w:t>aggregation level</w:t>
      </w:r>
      <w:r w:rsidR="00C34A25">
        <w:rPr>
          <w:rFonts w:ascii="Times New Roman" w:hAnsi="Times New Roman"/>
          <w:sz w:val="20"/>
        </w:rPr>
        <w:t>s</w:t>
      </w:r>
      <w:r w:rsidR="002277AA">
        <w:rPr>
          <w:rFonts w:ascii="Times New Roman" w:hAnsi="Times New Roman"/>
          <w:sz w:val="20"/>
        </w:rPr>
        <w:t xml:space="preserve"> within </w:t>
      </w:r>
      <w:r w:rsidRPr="00F75671">
        <w:rPr>
          <w:rFonts w:ascii="Times New Roman" w:hAnsi="Times New Roman"/>
          <w:sz w:val="20"/>
        </w:rPr>
        <w:t xml:space="preserve">each </w:t>
      </w:r>
      <w:r w:rsidR="00485DA5">
        <w:rPr>
          <w:rFonts w:ascii="Times New Roman" w:hAnsi="Times New Roman"/>
          <w:sz w:val="20"/>
        </w:rPr>
        <w:t>CORESET</w:t>
      </w:r>
    </w:p>
    <w:p w14:paraId="599D907E" w14:textId="03783E11" w:rsidR="002B4AC3" w:rsidRPr="00F75671" w:rsidRDefault="002B4AC3" w:rsidP="002B4AC3">
      <w:pPr>
        <w:pStyle w:val="ListParagraph"/>
        <w:numPr>
          <w:ilvl w:val="1"/>
          <w:numId w:val="30"/>
        </w:numPr>
        <w:jc w:val="both"/>
        <w:rPr>
          <w:rFonts w:ascii="Times New Roman" w:hAnsi="Times New Roman"/>
          <w:sz w:val="20"/>
        </w:rPr>
      </w:pPr>
      <w:r w:rsidRPr="00F75671">
        <w:rPr>
          <w:rFonts w:ascii="Times New Roman" w:hAnsi="Times New Roman"/>
          <w:sz w:val="20"/>
        </w:rPr>
        <w:t>This can help reducing UE processing for multiple AL hypotheses</w:t>
      </w:r>
    </w:p>
    <w:p w14:paraId="6CA02051" w14:textId="13CF9622" w:rsidR="00736CD8" w:rsidRDefault="00736CD8" w:rsidP="00F37583">
      <w:pPr>
        <w:pStyle w:val="ListParagraph"/>
        <w:numPr>
          <w:ilvl w:val="0"/>
          <w:numId w:val="30"/>
        </w:numPr>
        <w:spacing w:after="240"/>
        <w:jc w:val="both"/>
        <w:rPr>
          <w:rFonts w:ascii="Times New Roman" w:hAnsi="Times New Roman"/>
          <w:sz w:val="20"/>
        </w:rPr>
      </w:pPr>
      <w:r w:rsidRPr="00F75671">
        <w:rPr>
          <w:rFonts w:ascii="Times New Roman" w:hAnsi="Times New Roman"/>
          <w:sz w:val="20"/>
        </w:rPr>
        <w:t>Reduce the number of options for each aggregation level compared to LTE</w:t>
      </w:r>
      <w:r w:rsidR="002B4AC3" w:rsidRPr="00F75671">
        <w:rPr>
          <w:rFonts w:ascii="Times New Roman" w:hAnsi="Times New Roman"/>
          <w:sz w:val="20"/>
        </w:rPr>
        <w:t>.</w:t>
      </w:r>
    </w:p>
    <w:p w14:paraId="79431107" w14:textId="39C2F07E" w:rsidR="0063473A" w:rsidRPr="00C34A25" w:rsidRDefault="00A673C4" w:rsidP="00F37583">
      <w:pPr>
        <w:jc w:val="both"/>
      </w:pPr>
      <w:r>
        <w:t xml:space="preserve">In </w:t>
      </w:r>
      <w:r>
        <w:fldChar w:fldCharType="begin"/>
      </w:r>
      <w:r>
        <w:instrText xml:space="preserve"> REF _Ref492920134 \r \h </w:instrText>
      </w:r>
      <w:r>
        <w:fldChar w:fldCharType="separate"/>
      </w:r>
      <w:r>
        <w:t>[2]</w:t>
      </w:r>
      <w:r>
        <w:fldChar w:fldCharType="end"/>
      </w:r>
      <w:r>
        <w:t>, it has been proposed that UE blind decoding capability should be known by NW. Moreover, it has been proposed that the number of blind decoding can be reduced from LTE.</w:t>
      </w:r>
    </w:p>
    <w:p w14:paraId="49422958" w14:textId="117161EF" w:rsidR="00736CD8" w:rsidRDefault="00485DA5" w:rsidP="00736CD8">
      <w:r w:rsidRPr="00C17521">
        <w:rPr>
          <w:b/>
          <w:u w:val="single"/>
        </w:rPr>
        <w:t xml:space="preserve">Proposal </w:t>
      </w:r>
      <w:r w:rsidR="00602147">
        <w:rPr>
          <w:b/>
          <w:u w:val="single"/>
        </w:rPr>
        <w:t>2</w:t>
      </w:r>
      <w:r w:rsidRPr="00C17521">
        <w:rPr>
          <w:b/>
          <w:u w:val="single"/>
        </w:rPr>
        <w:t>:</w:t>
      </w:r>
      <w:r>
        <w:t xml:space="preserve"> </w:t>
      </w:r>
      <w:r w:rsidR="005C3D94">
        <w:t>RAN1 strives to introduce fewer blind decoding hypotheses for NR DL control channel relative to LTE.</w:t>
      </w:r>
    </w:p>
    <w:p w14:paraId="3AC68A1F" w14:textId="0D11C725" w:rsidR="00485DA5" w:rsidRDefault="00485DA5" w:rsidP="00736CD8">
      <w:r>
        <w:t>Use of nested search space (Option 2) has been discussed for NR</w:t>
      </w:r>
      <w:r w:rsidR="002277AA">
        <w:t xml:space="preserve"> and some progress has been made to at least make it feasible for a UE to reuse channel estimate obtained for one RE across multiple blind decodings </w:t>
      </w:r>
      <w:r w:rsidR="002277AA">
        <w:fldChar w:fldCharType="begin"/>
      </w:r>
      <w:r w:rsidR="002277AA">
        <w:instrText xml:space="preserve"> REF _Ref492921161 \r \h </w:instrText>
      </w:r>
      <w:r w:rsidR="002277AA">
        <w:fldChar w:fldCharType="separate"/>
      </w:r>
      <w:r w:rsidR="002277AA">
        <w:t>[3]</w:t>
      </w:r>
      <w:r w:rsidR="002277AA">
        <w:fldChar w:fldCharType="end"/>
      </w:r>
      <w:r>
        <w:t>.</w:t>
      </w:r>
      <w:r w:rsidR="002277AA">
        <w:t xml:space="preserve"> </w:t>
      </w:r>
      <w:r>
        <w:t xml:space="preserve"> </w:t>
      </w:r>
      <w:r w:rsidR="009921F1">
        <w:t>Also, r</w:t>
      </w:r>
      <w:r>
        <w:t xml:space="preserve">eduction of options for each aggregation level (Option 3) </w:t>
      </w:r>
      <w:r w:rsidR="00E47999">
        <w:t xml:space="preserve">could </w:t>
      </w:r>
      <w:r>
        <w:t xml:space="preserve">be considered during search space design. This contribution focuses on Option 1: Limiting the DCI </w:t>
      </w:r>
      <w:r w:rsidR="00D26674">
        <w:t>size</w:t>
      </w:r>
      <w:r>
        <w:t xml:space="preserve"> options.</w:t>
      </w:r>
      <w:r w:rsidR="00D26674">
        <w:t xml:space="preserve"> More specifically, we will introduce the concept of DCI size quantization.</w:t>
      </w:r>
    </w:p>
    <w:p w14:paraId="058E5E99" w14:textId="3DD7DDD0" w:rsidR="00A23603" w:rsidRDefault="00E747D5" w:rsidP="001010C7">
      <w:pPr>
        <w:pStyle w:val="Heading2"/>
      </w:pPr>
      <w:r>
        <w:t>D</w:t>
      </w:r>
      <w:r w:rsidR="00A23603">
        <w:t>CI Size Quantization</w:t>
      </w:r>
    </w:p>
    <w:p w14:paraId="23DCF7BA" w14:textId="77777777" w:rsidR="00A23603" w:rsidRDefault="00A23603" w:rsidP="00E14F56">
      <w:pPr>
        <w:jc w:val="both"/>
      </w:pPr>
      <w:r>
        <w:t>For LTE, DCI format and the DCI size (i.e. number of uncoded bits for PDCCH) are coupled, and the exact size is dependent on the number of RBs configured in the system (N</w:t>
      </w:r>
      <w:r w:rsidRPr="008429EF">
        <w:rPr>
          <w:vertAlign w:val="subscript"/>
        </w:rPr>
        <w:t>RB</w:t>
      </w:r>
      <w:r>
        <w:t>). For example, for N</w:t>
      </w:r>
      <w:r w:rsidRPr="008429EF">
        <w:rPr>
          <w:vertAlign w:val="subscript"/>
        </w:rPr>
        <w:t>RB</w:t>
      </w:r>
      <w:r>
        <w:t xml:space="preserve"> = 100 (i.e. 20MHz BW), DCI format 1A requires 53 bits for its content including CRC. However, depending on the transmission mode, the UE needs to monitor another DCI format which has a different size compared to 1A. For example, for TM9, Format 2C should be blindly decoded with a size equal to 75 bits including CRC. This results in two blind decodes, and this gets multiplied by the number of search spaces and the number of aggregation levels. For this example, it can be seen that at least for UE-specific search space, such multiple decodes can be avoided if UE coordinates with eNB that it only decodes for DCI with size 75 bits. In case Format 1A needs to be conveyed to this UE, there can be a format type identifier embedded in the payload to distinguish between Format 1A and 2C. Since Format 1A contains fewer bits than Format 2C, when 1A is transmitted this way, padding for 22 bits (75-53) can be used.</w:t>
      </w:r>
    </w:p>
    <w:p w14:paraId="6F186007" w14:textId="77777777" w:rsidR="00A23603" w:rsidRDefault="00A23603" w:rsidP="00E14F56">
      <w:pPr>
        <w:jc w:val="both"/>
      </w:pPr>
      <w:r>
        <w:t>The issue of multiple blind decodes due to multiple DCI size hypotheses presents a challenge for LTE as more features are added and extreme care has to be taken to “retrofit” new DCI formats into existing sizes to avoid incurring more blind decoding requirement on the UE.</w:t>
      </w:r>
    </w:p>
    <w:p w14:paraId="1528D4FF" w14:textId="77777777" w:rsidR="00A23603" w:rsidRDefault="00A23603" w:rsidP="00E14F56">
      <w:pPr>
        <w:jc w:val="both"/>
      </w:pPr>
      <w:r>
        <w:t>For NR, there is an alternative to the association between DCI format and DCI size hypotheses. We present a scheme where DCI format and DCI size could be loosely coupled.</w:t>
      </w:r>
    </w:p>
    <w:p w14:paraId="5A7FF634" w14:textId="77777777" w:rsidR="00A23603" w:rsidRDefault="00A23603" w:rsidP="00E14F56">
      <w:pPr>
        <w:jc w:val="both"/>
      </w:pPr>
      <w:r>
        <w:t>First, there could be a number of DCI size options (i.e. “quanta”) that is predefined in the spec. For example, 48 bits, 64 bits, 72 bits, and so on, or at even finer granularity.</w:t>
      </w:r>
    </w:p>
    <w:p w14:paraId="7A15123D" w14:textId="77777777" w:rsidR="00A23603" w:rsidRDefault="00A23603" w:rsidP="00E14F56">
      <w:pPr>
        <w:jc w:val="both"/>
      </w:pPr>
      <w:r>
        <w:t>Second, UE and gNB can agree on a subset of DCI sizes over which UE would perform blind decoding. Suppose the agreed blind decoding size hypotheses are L</w:t>
      </w:r>
      <w:r w:rsidRPr="00FE41B2">
        <w:rPr>
          <w:vertAlign w:val="subscript"/>
        </w:rPr>
        <w:t>1</w:t>
      </w:r>
      <w:r>
        <w:t xml:space="preserve"> and L</w:t>
      </w:r>
      <w:r w:rsidRPr="00FE41B2">
        <w:rPr>
          <w:vertAlign w:val="subscript"/>
        </w:rPr>
        <w:t>2</w:t>
      </w:r>
      <w:r>
        <w:t>, when gNB has a DCI (Format A) to transmit, it would pick the smallest L which can fit Format A, and pad the rest of the payload for encoding. The number of DCI formats that can be supported by UE’s blind decoding can increase significantly without incurring blind decoding complexity. DCI format identifier needs to be embedded in the DCI payload, similar to Format 0 and 1A flag in LTE. The number of bits required for the DCI format identifier would be log2(number of DCI formats to discern) at the minimum, and this can also be dependent on the actual number of DCI formats that UE has to support for its current mode of operation.</w:t>
      </w:r>
    </w:p>
    <w:p w14:paraId="156996D7" w14:textId="77777777" w:rsidR="00A23603" w:rsidRDefault="00A23603" w:rsidP="00E14F56">
      <w:pPr>
        <w:jc w:val="both"/>
      </w:pPr>
      <w:r>
        <w:t>Limiting to fewer DCI size options for hypotheses could result in spectral efficiency loss if significant number of padded bits are used. This is akin to more “quantization loss”. More DCI size options that closely tailor the actual DCI formats in operation would result in fewer padding and achieve higher spectral efficiency at the expense of more blind decoding. The DCI size options would be a tradeoff between spectral efficiency and UE blind decoding complexity.</w:t>
      </w:r>
    </w:p>
    <w:p w14:paraId="0ECC6025" w14:textId="77777777" w:rsidR="00A23603" w:rsidRDefault="00A23603" w:rsidP="00E14F56">
      <w:pPr>
        <w:jc w:val="both"/>
      </w:pPr>
      <w:r>
        <w:t>RAN1 should specify the DCI size options for NR considering the size of the largest and smallest DCI formats, and those in between, and consider leaving some margin for future extension.</w:t>
      </w:r>
    </w:p>
    <w:p w14:paraId="51911B18" w14:textId="730A27CA" w:rsidR="00A23603" w:rsidRDefault="00A23603" w:rsidP="00A23603">
      <w:r w:rsidRPr="00A740F2">
        <w:rPr>
          <w:b/>
          <w:u w:val="single"/>
        </w:rPr>
        <w:t xml:space="preserve">Proposal </w:t>
      </w:r>
      <w:r w:rsidR="00602147">
        <w:rPr>
          <w:b/>
          <w:u w:val="single"/>
        </w:rPr>
        <w:t>3</w:t>
      </w:r>
      <w:r>
        <w:t>: gNB configures a set of DCI size hypotheses for blind decoding at least for UE-specific search space, based on the DCI formats that the UE needs to support in current mode of operation</w:t>
      </w:r>
      <w:r w:rsidR="00602147">
        <w:t>.</w:t>
      </w:r>
    </w:p>
    <w:p w14:paraId="46C955A3" w14:textId="77F1289C" w:rsidR="00A23603" w:rsidRDefault="00A23603" w:rsidP="00A23603">
      <w:r w:rsidRPr="00A740F2">
        <w:rPr>
          <w:b/>
          <w:u w:val="single"/>
        </w:rPr>
        <w:t xml:space="preserve">Proposal </w:t>
      </w:r>
      <w:r w:rsidR="00602147">
        <w:rPr>
          <w:b/>
          <w:u w:val="single"/>
        </w:rPr>
        <w:t>4</w:t>
      </w:r>
      <w:r>
        <w:t>: All DCI formats are discerned by an identifier which is explicitly carried in the DCI payload</w:t>
      </w:r>
      <w:r w:rsidR="00602147">
        <w:t>.</w:t>
      </w:r>
    </w:p>
    <w:p w14:paraId="34E739F6" w14:textId="68E6C04D" w:rsidR="00A23603" w:rsidRDefault="00A23603" w:rsidP="00A23603">
      <w:r w:rsidRPr="00A740F2">
        <w:rPr>
          <w:b/>
          <w:u w:val="single"/>
        </w:rPr>
        <w:t xml:space="preserve">Proposal </w:t>
      </w:r>
      <w:r w:rsidR="00602147">
        <w:rPr>
          <w:b/>
          <w:u w:val="single"/>
        </w:rPr>
        <w:t>5</w:t>
      </w:r>
      <w:r>
        <w:t>: The number of bits and the enumeration of the DCI format identifier can be UE-specific based on the DCI formats in operation</w:t>
      </w:r>
      <w:r w:rsidR="00602147">
        <w:t>.</w:t>
      </w:r>
    </w:p>
    <w:p w14:paraId="25A773DA" w14:textId="77777777" w:rsidR="00A23603" w:rsidRDefault="00A23603" w:rsidP="00A23603">
      <w:r>
        <w:t>The proposed framework would be flexible and is a practical way to future-proof NR DCI format and blind decoding designs.</w:t>
      </w:r>
    </w:p>
    <w:p w14:paraId="39C34F11" w14:textId="6F723FC0" w:rsidR="00A23603" w:rsidRPr="00A23603" w:rsidRDefault="00A23603" w:rsidP="00A23603">
      <w:pPr>
        <w:rPr>
          <w:lang w:val="en-GB"/>
        </w:rPr>
      </w:pPr>
      <w:r w:rsidRPr="00A740F2">
        <w:rPr>
          <w:b/>
          <w:u w:val="single"/>
        </w:rPr>
        <w:t xml:space="preserve">Proposal </w:t>
      </w:r>
      <w:r w:rsidR="00602147">
        <w:rPr>
          <w:b/>
          <w:u w:val="single"/>
        </w:rPr>
        <w:t>6</w:t>
      </w:r>
      <w:r>
        <w:t>: RAN1 considers DCI quantization for NR.</w:t>
      </w:r>
    </w:p>
    <w:p w14:paraId="56D28D4B" w14:textId="26018A49" w:rsidR="00067CA8" w:rsidRPr="00226FE2" w:rsidRDefault="004503F9" w:rsidP="00067CA8">
      <w:pPr>
        <w:pStyle w:val="Heading1"/>
        <w:rPr>
          <w:lang w:eastAsia="zh-CN"/>
        </w:rPr>
      </w:pPr>
      <w:r>
        <w:rPr>
          <w:lang w:eastAsia="zh-CN"/>
        </w:rPr>
        <w:t>Conclusions</w:t>
      </w:r>
    </w:p>
    <w:p w14:paraId="104D2FA2" w14:textId="4FC76683" w:rsidR="00EF3FCB" w:rsidRDefault="00531C5A" w:rsidP="00531C5A">
      <w:pPr>
        <w:jc w:val="both"/>
        <w:rPr>
          <w:lang w:eastAsia="ja-JP"/>
        </w:rPr>
      </w:pPr>
      <w:r>
        <w:rPr>
          <w:szCs w:val="22"/>
        </w:rPr>
        <w:t xml:space="preserve">This contribution has discussed </w:t>
      </w:r>
      <w:r w:rsidR="00EC4C4A">
        <w:rPr>
          <w:szCs w:val="22"/>
        </w:rPr>
        <w:t xml:space="preserve">benefits of DCI based control signaling vs MAC-CE, </w:t>
      </w:r>
      <w:r>
        <w:rPr>
          <w:szCs w:val="22"/>
        </w:rPr>
        <w:t>reduction on PDCCH blind decoding hypotheses</w:t>
      </w:r>
      <w:r w:rsidR="00436617">
        <w:rPr>
          <w:szCs w:val="22"/>
        </w:rPr>
        <w:t xml:space="preserve"> and DCI quantization</w:t>
      </w:r>
      <w:r>
        <w:rPr>
          <w:szCs w:val="22"/>
        </w:rPr>
        <w:t>. The following proposals have been made:</w:t>
      </w:r>
    </w:p>
    <w:p w14:paraId="307F1BCC" w14:textId="77777777" w:rsidR="00602147" w:rsidRPr="00587607" w:rsidRDefault="00602147" w:rsidP="00602147">
      <w:pPr>
        <w:rPr>
          <w:b/>
          <w:u w:val="single"/>
        </w:rPr>
      </w:pPr>
      <w:r w:rsidRPr="00587607">
        <w:rPr>
          <w:b/>
          <w:u w:val="single"/>
        </w:rPr>
        <w:t>Proposal 1:</w:t>
      </w:r>
      <w:r w:rsidRPr="00587607">
        <w:t xml:space="preserve"> Support DCI Based Control Signaling scenarios such as BWP/CA activation/deactivation and beam switching</w:t>
      </w:r>
      <w:r>
        <w:t xml:space="preserve"> for NR</w:t>
      </w:r>
      <w:r w:rsidRPr="00587607">
        <w:t>.</w:t>
      </w:r>
      <w:r w:rsidRPr="00587607">
        <w:rPr>
          <w:b/>
          <w:u w:val="single"/>
        </w:rPr>
        <w:t xml:space="preserve"> </w:t>
      </w:r>
    </w:p>
    <w:p w14:paraId="7FE161AB" w14:textId="7A17B204" w:rsidR="00531C5A" w:rsidRDefault="00736CD8" w:rsidP="00602147">
      <w:r w:rsidRPr="00BA0646">
        <w:rPr>
          <w:b/>
          <w:u w:val="single"/>
        </w:rPr>
        <w:t xml:space="preserve">Proposal </w:t>
      </w:r>
      <w:r w:rsidR="00602147">
        <w:rPr>
          <w:b/>
          <w:u w:val="single"/>
        </w:rPr>
        <w:t>2</w:t>
      </w:r>
      <w:r w:rsidRPr="00BA0646">
        <w:rPr>
          <w:b/>
          <w:u w:val="single"/>
        </w:rPr>
        <w:t>:</w:t>
      </w:r>
      <w:r>
        <w:t xml:space="preserve"> </w:t>
      </w:r>
      <w:r w:rsidR="005C3D94">
        <w:t>RAN1 strives to introduce fewer blind decoding hypotheses for NR DL control channel relative to LTE.</w:t>
      </w:r>
    </w:p>
    <w:p w14:paraId="19B355D4" w14:textId="0A32E2B5" w:rsidR="00FD2F3B" w:rsidRDefault="00D41458" w:rsidP="00FD2F3B">
      <w:r w:rsidRPr="00A740F2">
        <w:rPr>
          <w:b/>
          <w:u w:val="single"/>
        </w:rPr>
        <w:t xml:space="preserve">Proposal </w:t>
      </w:r>
      <w:r w:rsidR="00602147">
        <w:rPr>
          <w:b/>
          <w:u w:val="single"/>
        </w:rPr>
        <w:t>3</w:t>
      </w:r>
      <w:r>
        <w:t>: gNB configures a set of DCI size hypotheses for blind decoding at least for UE-specific search space, based on the DCI formats that the UE needs to support in current mode of operation</w:t>
      </w:r>
      <w:r w:rsidR="00602147">
        <w:t>.</w:t>
      </w:r>
    </w:p>
    <w:p w14:paraId="0FF0572C" w14:textId="11B89B6E" w:rsidR="00FD2F3B" w:rsidRDefault="00FD2F3B" w:rsidP="00FD2F3B">
      <w:r w:rsidRPr="00A740F2">
        <w:rPr>
          <w:b/>
          <w:u w:val="single"/>
        </w:rPr>
        <w:t xml:space="preserve">Proposal </w:t>
      </w:r>
      <w:r w:rsidR="00602147">
        <w:rPr>
          <w:b/>
          <w:u w:val="single"/>
        </w:rPr>
        <w:t>4</w:t>
      </w:r>
      <w:r>
        <w:t xml:space="preserve">: </w:t>
      </w:r>
      <w:r w:rsidR="00F90376">
        <w:t xml:space="preserve">All </w:t>
      </w:r>
      <w:r>
        <w:t>DCI formats are discerned by an identifier which is explicitly carried in the DCI payload</w:t>
      </w:r>
      <w:r w:rsidR="00602147">
        <w:t>.</w:t>
      </w:r>
    </w:p>
    <w:p w14:paraId="5DA7166D" w14:textId="706482EB" w:rsidR="00FD2F3B" w:rsidRDefault="00FD2F3B" w:rsidP="00FD2F3B">
      <w:r w:rsidRPr="00A740F2">
        <w:rPr>
          <w:b/>
          <w:u w:val="single"/>
        </w:rPr>
        <w:t xml:space="preserve">Proposal </w:t>
      </w:r>
      <w:r w:rsidR="00602147">
        <w:rPr>
          <w:b/>
          <w:u w:val="single"/>
        </w:rPr>
        <w:t>5</w:t>
      </w:r>
      <w:r>
        <w:t>: The number of bits and the enumeration of the DCI format identifier can be UE-specific based on the DCI formats in operation</w:t>
      </w:r>
      <w:r w:rsidR="00602147">
        <w:t>.</w:t>
      </w:r>
    </w:p>
    <w:p w14:paraId="58E92B77" w14:textId="53327CF1" w:rsidR="00FD2F3B" w:rsidRDefault="00FD2F3B" w:rsidP="00FD2F3B">
      <w:r w:rsidRPr="00A740F2">
        <w:rPr>
          <w:b/>
          <w:u w:val="single"/>
        </w:rPr>
        <w:t xml:space="preserve">Proposal </w:t>
      </w:r>
      <w:r w:rsidR="00602147">
        <w:rPr>
          <w:b/>
          <w:u w:val="single"/>
        </w:rPr>
        <w:t>6</w:t>
      </w:r>
      <w:r>
        <w:t xml:space="preserve">: </w:t>
      </w:r>
      <w:r w:rsidR="00436617">
        <w:t>RAN1</w:t>
      </w:r>
      <w:r>
        <w:t xml:space="preserve"> </w:t>
      </w:r>
      <w:r w:rsidR="00F90376">
        <w:t>considers</w:t>
      </w:r>
      <w:r>
        <w:t xml:space="preserve"> DCI quantization </w:t>
      </w:r>
      <w:r w:rsidR="00D41458">
        <w:t>for NR</w:t>
      </w:r>
      <w:r w:rsidR="00602147">
        <w:t>.</w:t>
      </w:r>
    </w:p>
    <w:p w14:paraId="43B7F896" w14:textId="5D50D665" w:rsidR="00E523F3" w:rsidRPr="000A64D8" w:rsidRDefault="00E523F3" w:rsidP="00E523F3">
      <w:pPr>
        <w:pStyle w:val="Heading1"/>
        <w:rPr>
          <w:lang w:val="en-US"/>
        </w:rPr>
      </w:pPr>
      <w:r w:rsidRPr="000A64D8">
        <w:rPr>
          <w:lang w:val="en-US"/>
        </w:rPr>
        <w:t>References</w:t>
      </w:r>
    </w:p>
    <w:p w14:paraId="3AA40125" w14:textId="77777777" w:rsidR="001B3E73" w:rsidRPr="00396925" w:rsidRDefault="001B3E73" w:rsidP="00F37583">
      <w:pPr>
        <w:numPr>
          <w:ilvl w:val="0"/>
          <w:numId w:val="2"/>
        </w:numPr>
        <w:spacing w:before="120" w:after="120"/>
        <w:ind w:left="562" w:hanging="562"/>
        <w:rPr>
          <w:szCs w:val="22"/>
        </w:rPr>
      </w:pPr>
      <w:bookmarkStart w:id="4" w:name="_Ref4929198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3D3F1758" w14:textId="73786D0E" w:rsidR="005C3D94" w:rsidRDefault="005C3D94" w:rsidP="00F37583">
      <w:pPr>
        <w:numPr>
          <w:ilvl w:val="0"/>
          <w:numId w:val="2"/>
        </w:numPr>
        <w:spacing w:before="120" w:after="120"/>
        <w:ind w:left="562" w:hanging="562"/>
        <w:rPr>
          <w:szCs w:val="22"/>
        </w:rPr>
      </w:pPr>
      <w:bookmarkStart w:id="5" w:name="_Ref492920134"/>
      <w:r>
        <w:rPr>
          <w:szCs w:val="22"/>
        </w:rPr>
        <w:t>R1-1713427, “</w:t>
      </w:r>
      <w:r w:rsidRPr="005C3D94">
        <w:rPr>
          <w:szCs w:val="22"/>
        </w:rPr>
        <w:t>PDCCH blind decoding capability</w:t>
      </w:r>
      <w:r>
        <w:rPr>
          <w:szCs w:val="22"/>
        </w:rPr>
        <w:t>”, RAN1#90, Qualcomm</w:t>
      </w:r>
      <w:bookmarkEnd w:id="5"/>
    </w:p>
    <w:p w14:paraId="0C7DDD9B" w14:textId="75B2A9EF" w:rsidR="00396925" w:rsidRDefault="002277AA" w:rsidP="00F37583">
      <w:pPr>
        <w:pStyle w:val="Reference"/>
        <w:keepLines w:val="0"/>
        <w:numPr>
          <w:ilvl w:val="0"/>
          <w:numId w:val="2"/>
        </w:numPr>
        <w:suppressAutoHyphens w:val="0"/>
        <w:autoSpaceDN w:val="0"/>
        <w:adjustRightInd w:val="0"/>
        <w:spacing w:before="120" w:after="120"/>
        <w:ind w:left="562" w:hanging="562"/>
        <w:jc w:val="both"/>
      </w:pPr>
      <w:bookmarkStart w:id="6" w:name="_Ref485407476"/>
      <w:bookmarkStart w:id="7" w:name="_Ref485346913"/>
      <w:bookmarkStart w:id="8" w:name="_Ref492921161"/>
      <w:r>
        <w:t>Chairman’s Notes</w:t>
      </w:r>
      <w:r>
        <w:tab/>
        <w:t xml:space="preserve">3GPP TSG RAN WG1 </w:t>
      </w:r>
      <w:bookmarkEnd w:id="6"/>
      <w:r>
        <w:t>#</w:t>
      </w:r>
      <w:bookmarkEnd w:id="7"/>
      <w:r>
        <w:t>JanAH</w:t>
      </w:r>
      <w:bookmarkEnd w:id="8"/>
    </w:p>
    <w:p w14:paraId="622E39D9" w14:textId="45ED5C3C" w:rsidR="000E251B" w:rsidRPr="00396925" w:rsidRDefault="000E251B" w:rsidP="00994E9F">
      <w:pPr>
        <w:pStyle w:val="Reference"/>
        <w:keepLines w:val="0"/>
        <w:numPr>
          <w:ilvl w:val="0"/>
          <w:numId w:val="2"/>
        </w:numPr>
        <w:suppressAutoHyphens w:val="0"/>
        <w:autoSpaceDN w:val="0"/>
        <w:adjustRightInd w:val="0"/>
        <w:spacing w:before="120" w:after="120"/>
        <w:jc w:val="both"/>
      </w:pPr>
      <w:r>
        <w:t>R1-171</w:t>
      </w:r>
      <w:r w:rsidR="00994E9F" w:rsidRPr="00994E9F">
        <w:t>8581</w:t>
      </w:r>
      <w:r>
        <w:t xml:space="preserve">, “Open issues on CA”, </w:t>
      </w:r>
      <w:r w:rsidR="00994E9F">
        <w:t xml:space="preserve">RAN1#90bis, </w:t>
      </w:r>
      <w:r>
        <w:t>Qualcomm Incorporated</w:t>
      </w:r>
    </w:p>
    <w:sectPr w:rsidR="000E251B" w:rsidRPr="0039692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CC862" w14:textId="77777777" w:rsidR="00CD766A" w:rsidRDefault="00CD766A">
      <w:r>
        <w:separator/>
      </w:r>
    </w:p>
  </w:endnote>
  <w:endnote w:type="continuationSeparator" w:id="0">
    <w:p w14:paraId="0816E7E8" w14:textId="77777777" w:rsidR="00CD766A" w:rsidRDefault="00CD766A">
      <w:r>
        <w:continuationSeparator/>
      </w:r>
    </w:p>
  </w:endnote>
  <w:endnote w:type="continuationNotice" w:id="1">
    <w:p w14:paraId="237B93EF" w14:textId="77777777" w:rsidR="00CD766A" w:rsidRDefault="00CD7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18FEAE51"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15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58F">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D907A" w14:textId="77777777" w:rsidR="00CD766A" w:rsidRDefault="00CD766A">
      <w:r>
        <w:separator/>
      </w:r>
    </w:p>
  </w:footnote>
  <w:footnote w:type="continuationSeparator" w:id="0">
    <w:p w14:paraId="7A173608" w14:textId="77777777" w:rsidR="00CD766A" w:rsidRDefault="00CD766A">
      <w:r>
        <w:continuationSeparator/>
      </w:r>
    </w:p>
  </w:footnote>
  <w:footnote w:type="continuationNotice" w:id="1">
    <w:p w14:paraId="52DA7CD1" w14:textId="77777777" w:rsidR="00CD766A" w:rsidRDefault="00CD76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cs="Times New Roman" w:hint="default"/>
      </w:rPr>
    </w:lvl>
    <w:lvl w:ilvl="1" w:tplc="6582A392">
      <w:numFmt w:val="bullet"/>
      <w:lvlText w:val="–"/>
      <w:lvlJc w:val="left"/>
      <w:pPr>
        <w:tabs>
          <w:tab w:val="num" w:pos="1080"/>
        </w:tabs>
        <w:ind w:left="1080" w:hanging="360"/>
      </w:pPr>
      <w:rPr>
        <w:rFonts w:ascii="Arial" w:hAnsi="Arial" w:cs="Times New Roman" w:hint="default"/>
      </w:rPr>
    </w:lvl>
    <w:lvl w:ilvl="2" w:tplc="BE94BA26">
      <w:numFmt w:val="bullet"/>
      <w:lvlText w:val="•"/>
      <w:lvlJc w:val="left"/>
      <w:pPr>
        <w:tabs>
          <w:tab w:val="num" w:pos="1800"/>
        </w:tabs>
        <w:ind w:left="1800" w:hanging="360"/>
      </w:pPr>
      <w:rPr>
        <w:rFonts w:ascii="Arial" w:hAnsi="Arial" w:cs="Times New Roman" w:hint="default"/>
      </w:rPr>
    </w:lvl>
    <w:lvl w:ilvl="3" w:tplc="F90871B2">
      <w:start w:val="1"/>
      <w:numFmt w:val="bullet"/>
      <w:lvlText w:val="•"/>
      <w:lvlJc w:val="left"/>
      <w:pPr>
        <w:tabs>
          <w:tab w:val="num" w:pos="2520"/>
        </w:tabs>
        <w:ind w:left="2520" w:hanging="360"/>
      </w:pPr>
      <w:rPr>
        <w:rFonts w:ascii="Arial" w:hAnsi="Arial" w:cs="Times New Roman" w:hint="default"/>
      </w:rPr>
    </w:lvl>
    <w:lvl w:ilvl="4" w:tplc="3DFEB37C">
      <w:start w:val="1"/>
      <w:numFmt w:val="bullet"/>
      <w:lvlText w:val="•"/>
      <w:lvlJc w:val="left"/>
      <w:pPr>
        <w:tabs>
          <w:tab w:val="num" w:pos="3240"/>
        </w:tabs>
        <w:ind w:left="3240" w:hanging="360"/>
      </w:pPr>
      <w:rPr>
        <w:rFonts w:ascii="Arial" w:hAnsi="Arial" w:cs="Times New Roman" w:hint="default"/>
      </w:rPr>
    </w:lvl>
    <w:lvl w:ilvl="5" w:tplc="409605CA">
      <w:start w:val="1"/>
      <w:numFmt w:val="bullet"/>
      <w:lvlText w:val="•"/>
      <w:lvlJc w:val="left"/>
      <w:pPr>
        <w:tabs>
          <w:tab w:val="num" w:pos="3960"/>
        </w:tabs>
        <w:ind w:left="3960" w:hanging="360"/>
      </w:pPr>
      <w:rPr>
        <w:rFonts w:ascii="Arial" w:hAnsi="Arial" w:cs="Times New Roman" w:hint="default"/>
      </w:rPr>
    </w:lvl>
    <w:lvl w:ilvl="6" w:tplc="969A36EA">
      <w:start w:val="1"/>
      <w:numFmt w:val="bullet"/>
      <w:lvlText w:val="•"/>
      <w:lvlJc w:val="left"/>
      <w:pPr>
        <w:tabs>
          <w:tab w:val="num" w:pos="4680"/>
        </w:tabs>
        <w:ind w:left="4680" w:hanging="360"/>
      </w:pPr>
      <w:rPr>
        <w:rFonts w:ascii="Arial" w:hAnsi="Arial" w:cs="Times New Roman" w:hint="default"/>
      </w:rPr>
    </w:lvl>
    <w:lvl w:ilvl="7" w:tplc="266A0DAA">
      <w:start w:val="1"/>
      <w:numFmt w:val="bullet"/>
      <w:lvlText w:val="•"/>
      <w:lvlJc w:val="left"/>
      <w:pPr>
        <w:tabs>
          <w:tab w:val="num" w:pos="5400"/>
        </w:tabs>
        <w:ind w:left="5400" w:hanging="360"/>
      </w:pPr>
      <w:rPr>
        <w:rFonts w:ascii="Arial" w:hAnsi="Arial" w:cs="Times New Roman" w:hint="default"/>
      </w:rPr>
    </w:lvl>
    <w:lvl w:ilvl="8" w:tplc="A380D870">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cs="Times New Roman" w:hint="default"/>
      </w:rPr>
    </w:lvl>
    <w:lvl w:ilvl="1" w:tplc="D75CA794">
      <w:start w:val="4017"/>
      <w:numFmt w:val="bullet"/>
      <w:lvlText w:val="–"/>
      <w:lvlJc w:val="left"/>
      <w:pPr>
        <w:tabs>
          <w:tab w:val="num" w:pos="1440"/>
        </w:tabs>
        <w:ind w:left="1440" w:hanging="360"/>
      </w:pPr>
      <w:rPr>
        <w:rFonts w:ascii="Arial" w:hAnsi="Arial" w:cs="Times New Roman" w:hint="default"/>
      </w:rPr>
    </w:lvl>
    <w:lvl w:ilvl="2" w:tplc="82EE4356">
      <w:start w:val="1"/>
      <w:numFmt w:val="bullet"/>
      <w:lvlText w:val="•"/>
      <w:lvlJc w:val="left"/>
      <w:pPr>
        <w:tabs>
          <w:tab w:val="num" w:pos="2160"/>
        </w:tabs>
        <w:ind w:left="2160" w:hanging="360"/>
      </w:pPr>
      <w:rPr>
        <w:rFonts w:ascii="Arial" w:hAnsi="Arial" w:cs="Times New Roman" w:hint="default"/>
      </w:rPr>
    </w:lvl>
    <w:lvl w:ilvl="3" w:tplc="AE6AB7DA">
      <w:start w:val="1"/>
      <w:numFmt w:val="bullet"/>
      <w:lvlText w:val="•"/>
      <w:lvlJc w:val="left"/>
      <w:pPr>
        <w:tabs>
          <w:tab w:val="num" w:pos="2880"/>
        </w:tabs>
        <w:ind w:left="2880" w:hanging="360"/>
      </w:pPr>
      <w:rPr>
        <w:rFonts w:ascii="Arial" w:hAnsi="Arial" w:cs="Times New Roman" w:hint="default"/>
      </w:rPr>
    </w:lvl>
    <w:lvl w:ilvl="4" w:tplc="CC7E86CE">
      <w:start w:val="1"/>
      <w:numFmt w:val="bullet"/>
      <w:lvlText w:val="•"/>
      <w:lvlJc w:val="left"/>
      <w:pPr>
        <w:tabs>
          <w:tab w:val="num" w:pos="3600"/>
        </w:tabs>
        <w:ind w:left="3600" w:hanging="360"/>
      </w:pPr>
      <w:rPr>
        <w:rFonts w:ascii="Arial" w:hAnsi="Arial" w:cs="Times New Roman" w:hint="default"/>
      </w:rPr>
    </w:lvl>
    <w:lvl w:ilvl="5" w:tplc="FAD2F68E">
      <w:start w:val="1"/>
      <w:numFmt w:val="bullet"/>
      <w:lvlText w:val="•"/>
      <w:lvlJc w:val="left"/>
      <w:pPr>
        <w:tabs>
          <w:tab w:val="num" w:pos="4320"/>
        </w:tabs>
        <w:ind w:left="4320" w:hanging="360"/>
      </w:pPr>
      <w:rPr>
        <w:rFonts w:ascii="Arial" w:hAnsi="Arial" w:cs="Times New Roman" w:hint="default"/>
      </w:rPr>
    </w:lvl>
    <w:lvl w:ilvl="6" w:tplc="5B0C337E">
      <w:start w:val="1"/>
      <w:numFmt w:val="bullet"/>
      <w:lvlText w:val="•"/>
      <w:lvlJc w:val="left"/>
      <w:pPr>
        <w:tabs>
          <w:tab w:val="num" w:pos="5040"/>
        </w:tabs>
        <w:ind w:left="5040" w:hanging="360"/>
      </w:pPr>
      <w:rPr>
        <w:rFonts w:ascii="Arial" w:hAnsi="Arial" w:cs="Times New Roman" w:hint="default"/>
      </w:rPr>
    </w:lvl>
    <w:lvl w:ilvl="7" w:tplc="F8C652A0">
      <w:start w:val="1"/>
      <w:numFmt w:val="bullet"/>
      <w:lvlText w:val="•"/>
      <w:lvlJc w:val="left"/>
      <w:pPr>
        <w:tabs>
          <w:tab w:val="num" w:pos="5760"/>
        </w:tabs>
        <w:ind w:left="5760" w:hanging="360"/>
      </w:pPr>
      <w:rPr>
        <w:rFonts w:ascii="Arial" w:hAnsi="Arial" w:cs="Times New Roman" w:hint="default"/>
      </w:rPr>
    </w:lvl>
    <w:lvl w:ilvl="8" w:tplc="5792D6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AFA1F73"/>
    <w:multiLevelType w:val="hybridMultilevel"/>
    <w:tmpl w:val="8274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042DF6"/>
    <w:multiLevelType w:val="hybridMultilevel"/>
    <w:tmpl w:val="E4BA674E"/>
    <w:lvl w:ilvl="0" w:tplc="BFBE5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47050"/>
    <w:multiLevelType w:val="hybridMultilevel"/>
    <w:tmpl w:val="FC9ED8D4"/>
    <w:lvl w:ilvl="0" w:tplc="04090001">
      <w:start w:val="1"/>
      <w:numFmt w:val="bullet"/>
      <w:lvlText w:val=""/>
      <w:lvlJc w:val="left"/>
      <w:pPr>
        <w:ind w:left="1872" w:hanging="360"/>
      </w:pPr>
      <w:rPr>
        <w:rFonts w:ascii="Symbol" w:hAnsi="Symbol" w:hint="default"/>
      </w:rPr>
    </w:lvl>
    <w:lvl w:ilvl="1" w:tplc="04090003">
      <w:start w:val="1"/>
      <w:numFmt w:val="bullet"/>
      <w:lvlText w:val="o"/>
      <w:lvlJc w:val="left"/>
      <w:pPr>
        <w:ind w:left="2592" w:hanging="360"/>
      </w:pPr>
      <w:rPr>
        <w:rFonts w:ascii="Courier New" w:hAnsi="Courier New" w:cs="Courier New" w:hint="default"/>
      </w:rPr>
    </w:lvl>
    <w:lvl w:ilvl="2" w:tplc="04090005">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926F13"/>
    <w:multiLevelType w:val="hybridMultilevel"/>
    <w:tmpl w:val="EE4EC480"/>
    <w:lvl w:ilvl="0" w:tplc="BFBE59AE">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20"/>
  </w:num>
  <w:num w:numId="5">
    <w:abstractNumId w:val="5"/>
  </w:num>
  <w:num w:numId="6">
    <w:abstractNumId w:val="11"/>
  </w:num>
  <w:num w:numId="7">
    <w:abstractNumId w:val="13"/>
  </w:num>
  <w:num w:numId="8">
    <w:abstractNumId w:val="1"/>
  </w:num>
  <w:num w:numId="9">
    <w:abstractNumId w:val="33"/>
    <w:lvlOverride w:ilvl="0">
      <w:startOverride w:val="1"/>
    </w:lvlOverride>
  </w:num>
  <w:num w:numId="10">
    <w:abstractNumId w:val="22"/>
  </w:num>
  <w:num w:numId="11">
    <w:abstractNumId w:val="26"/>
  </w:num>
  <w:num w:numId="12">
    <w:abstractNumId w:val="27"/>
  </w:num>
  <w:num w:numId="13">
    <w:abstractNumId w:val="17"/>
  </w:num>
  <w:num w:numId="14">
    <w:abstractNumId w:val="25"/>
  </w:num>
  <w:num w:numId="15">
    <w:abstractNumId w:val="8"/>
  </w:num>
  <w:num w:numId="16">
    <w:abstractNumId w:val="19"/>
  </w:num>
  <w:num w:numId="17">
    <w:abstractNumId w:val="15"/>
  </w:num>
  <w:num w:numId="18">
    <w:abstractNumId w:val="30"/>
  </w:num>
  <w:num w:numId="19">
    <w:abstractNumId w:val="36"/>
  </w:num>
  <w:num w:numId="20">
    <w:abstractNumId w:val="14"/>
  </w:num>
  <w:num w:numId="21">
    <w:abstractNumId w:val="29"/>
  </w:num>
  <w:num w:numId="22">
    <w:abstractNumId w:val="3"/>
  </w:num>
  <w:num w:numId="23">
    <w:abstractNumId w:val="16"/>
  </w:num>
  <w:num w:numId="24">
    <w:abstractNumId w:val="12"/>
  </w:num>
  <w:num w:numId="25">
    <w:abstractNumId w:val="7"/>
  </w:num>
  <w:num w:numId="26">
    <w:abstractNumId w:val="24"/>
  </w:num>
  <w:num w:numId="27">
    <w:abstractNumId w:val="28"/>
  </w:num>
  <w:num w:numId="28">
    <w:abstractNumId w:val="21"/>
  </w:num>
  <w:num w:numId="29">
    <w:abstractNumId w:val="31"/>
  </w:num>
  <w:num w:numId="30">
    <w:abstractNumId w:val="35"/>
  </w:num>
  <w:num w:numId="31">
    <w:abstractNumId w:val="2"/>
  </w:num>
  <w:num w:numId="32">
    <w:abstractNumId w:val="23"/>
  </w:num>
  <w:num w:numId="33">
    <w:abstractNumId w:val="6"/>
  </w:num>
  <w:num w:numId="34">
    <w:abstractNumId w:val="9"/>
  </w:num>
  <w:num w:numId="35">
    <w:abstractNumId w:val="20"/>
    <w:lvlOverride w:ilvl="0">
      <w:startOverride w:val="1"/>
    </w:lvlOverride>
  </w:num>
  <w:num w:numId="36">
    <w:abstractNumId w:val="34"/>
  </w:num>
  <w:num w:numId="37">
    <w:abstractNumId w:val="10"/>
  </w:num>
  <w:num w:numId="38">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B1"/>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12"/>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706"/>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51B"/>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4E7"/>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6A"/>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E73"/>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7E1"/>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7AA"/>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900"/>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6CF"/>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1E3D"/>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3F7"/>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3F3"/>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CA"/>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732"/>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97E61"/>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63C"/>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B1A"/>
    <w:rsid w:val="003C6CCB"/>
    <w:rsid w:val="003C6D90"/>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17"/>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DA5"/>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C0"/>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31D"/>
    <w:rsid w:val="00527489"/>
    <w:rsid w:val="00527860"/>
    <w:rsid w:val="00527A58"/>
    <w:rsid w:val="0053012B"/>
    <w:rsid w:val="0053037A"/>
    <w:rsid w:val="0053066C"/>
    <w:rsid w:val="005306C5"/>
    <w:rsid w:val="00530AFD"/>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D94"/>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3F5"/>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FF"/>
    <w:rsid w:val="005F7CC1"/>
    <w:rsid w:val="006004DE"/>
    <w:rsid w:val="00600AAB"/>
    <w:rsid w:val="00600B6C"/>
    <w:rsid w:val="00601072"/>
    <w:rsid w:val="00601097"/>
    <w:rsid w:val="0060144E"/>
    <w:rsid w:val="00601FCD"/>
    <w:rsid w:val="00602147"/>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3A"/>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4F9"/>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CE0"/>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3ED"/>
    <w:rsid w:val="006E1469"/>
    <w:rsid w:val="006E176F"/>
    <w:rsid w:val="006E1C34"/>
    <w:rsid w:val="006E1E45"/>
    <w:rsid w:val="006E22CC"/>
    <w:rsid w:val="006E3D3A"/>
    <w:rsid w:val="006E3E26"/>
    <w:rsid w:val="006E4646"/>
    <w:rsid w:val="006E512D"/>
    <w:rsid w:val="006E5477"/>
    <w:rsid w:val="006E554E"/>
    <w:rsid w:val="006E5AFE"/>
    <w:rsid w:val="006E696A"/>
    <w:rsid w:val="006E6C33"/>
    <w:rsid w:val="006E6F03"/>
    <w:rsid w:val="006E71A8"/>
    <w:rsid w:val="006E7496"/>
    <w:rsid w:val="006E76AF"/>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00"/>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42D"/>
    <w:rsid w:val="007C7578"/>
    <w:rsid w:val="007C779D"/>
    <w:rsid w:val="007C7EF3"/>
    <w:rsid w:val="007D020B"/>
    <w:rsid w:val="007D02A6"/>
    <w:rsid w:val="007D0645"/>
    <w:rsid w:val="007D098C"/>
    <w:rsid w:val="007D11B6"/>
    <w:rsid w:val="007D149C"/>
    <w:rsid w:val="007D158F"/>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E64"/>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9EF"/>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D75"/>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DA8"/>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AC1"/>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0F91"/>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9E9"/>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1F1"/>
    <w:rsid w:val="00992624"/>
    <w:rsid w:val="009927C4"/>
    <w:rsid w:val="00992A4E"/>
    <w:rsid w:val="00993075"/>
    <w:rsid w:val="009930C0"/>
    <w:rsid w:val="0099324C"/>
    <w:rsid w:val="00993627"/>
    <w:rsid w:val="0099367D"/>
    <w:rsid w:val="009936F0"/>
    <w:rsid w:val="00994D59"/>
    <w:rsid w:val="00994E9F"/>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117"/>
    <w:rsid w:val="009D394E"/>
    <w:rsid w:val="009D39A0"/>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98B"/>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603"/>
    <w:rsid w:val="00A23919"/>
    <w:rsid w:val="00A23921"/>
    <w:rsid w:val="00A23E0D"/>
    <w:rsid w:val="00A24002"/>
    <w:rsid w:val="00A2470A"/>
    <w:rsid w:val="00A2481C"/>
    <w:rsid w:val="00A24CCF"/>
    <w:rsid w:val="00A25296"/>
    <w:rsid w:val="00A253C6"/>
    <w:rsid w:val="00A2585A"/>
    <w:rsid w:val="00A25BF3"/>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3C4"/>
    <w:rsid w:val="00A6743F"/>
    <w:rsid w:val="00A677C1"/>
    <w:rsid w:val="00A67A8E"/>
    <w:rsid w:val="00A67AC6"/>
    <w:rsid w:val="00A70A35"/>
    <w:rsid w:val="00A7141F"/>
    <w:rsid w:val="00A71D6B"/>
    <w:rsid w:val="00A71F00"/>
    <w:rsid w:val="00A7215E"/>
    <w:rsid w:val="00A726A3"/>
    <w:rsid w:val="00A726DE"/>
    <w:rsid w:val="00A73242"/>
    <w:rsid w:val="00A73873"/>
    <w:rsid w:val="00A739AB"/>
    <w:rsid w:val="00A73D4C"/>
    <w:rsid w:val="00A740F2"/>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1F53"/>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3AC"/>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48C"/>
    <w:rsid w:val="00B71A5D"/>
    <w:rsid w:val="00B7273B"/>
    <w:rsid w:val="00B727B8"/>
    <w:rsid w:val="00B73453"/>
    <w:rsid w:val="00B737C7"/>
    <w:rsid w:val="00B73E00"/>
    <w:rsid w:val="00B73E31"/>
    <w:rsid w:val="00B7460C"/>
    <w:rsid w:val="00B74A0D"/>
    <w:rsid w:val="00B74EC0"/>
    <w:rsid w:val="00B75493"/>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AF9"/>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820"/>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A25"/>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CC0"/>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36D0"/>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5F07"/>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66A"/>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52"/>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674"/>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A26"/>
    <w:rsid w:val="00D36C8E"/>
    <w:rsid w:val="00D36D5A"/>
    <w:rsid w:val="00D37A26"/>
    <w:rsid w:val="00D37C2D"/>
    <w:rsid w:val="00D404CE"/>
    <w:rsid w:val="00D40D79"/>
    <w:rsid w:val="00D40E25"/>
    <w:rsid w:val="00D40E78"/>
    <w:rsid w:val="00D40F5C"/>
    <w:rsid w:val="00D41009"/>
    <w:rsid w:val="00D41458"/>
    <w:rsid w:val="00D414A1"/>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4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57E"/>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A2C"/>
    <w:rsid w:val="00DF4DEA"/>
    <w:rsid w:val="00DF4F19"/>
    <w:rsid w:val="00DF5002"/>
    <w:rsid w:val="00DF5270"/>
    <w:rsid w:val="00DF5588"/>
    <w:rsid w:val="00DF5B4C"/>
    <w:rsid w:val="00DF5C89"/>
    <w:rsid w:val="00DF6014"/>
    <w:rsid w:val="00DF6531"/>
    <w:rsid w:val="00DF6824"/>
    <w:rsid w:val="00DF69A9"/>
    <w:rsid w:val="00DF6A83"/>
    <w:rsid w:val="00DF7226"/>
    <w:rsid w:val="00DF787E"/>
    <w:rsid w:val="00DF7BB2"/>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56"/>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09"/>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99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7D5"/>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C4A"/>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583"/>
    <w:rsid w:val="00F377A2"/>
    <w:rsid w:val="00F37922"/>
    <w:rsid w:val="00F37AEF"/>
    <w:rsid w:val="00F37DC6"/>
    <w:rsid w:val="00F37E7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671"/>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76"/>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37A"/>
    <w:rsid w:val="00FD235B"/>
    <w:rsid w:val="00FD2804"/>
    <w:rsid w:val="00FD282A"/>
    <w:rsid w:val="00FD2A71"/>
    <w:rsid w:val="00FD2F3B"/>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1B2"/>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ReferenceChar">
    <w:name w:val="Reference Char"/>
    <w:link w:val="Reference"/>
    <w:rsid w:val="002277AA"/>
    <w:rPr>
      <w:rFonts w:ascii="Times New Roman" w:hAnsi="Times New Roman"/>
      <w:lang w:eastAsia="ar-SA"/>
    </w:rPr>
  </w:style>
  <w:style w:type="paragraph" w:customStyle="1" w:styleId="Observation">
    <w:name w:val="Observation"/>
    <w:basedOn w:val="Normal"/>
    <w:link w:val="ObservationChar"/>
    <w:qFormat/>
    <w:rsid w:val="00A23603"/>
    <w:pPr>
      <w:spacing w:before="180"/>
      <w:jc w:val="both"/>
    </w:pPr>
    <w:rPr>
      <w:rFonts w:eastAsia="MS Mincho"/>
      <w:b/>
      <w:i/>
      <w:lang w:eastAsia="ja-JP"/>
    </w:rPr>
  </w:style>
  <w:style w:type="character" w:customStyle="1" w:styleId="ObservationChar">
    <w:name w:val="Observation Char"/>
    <w:basedOn w:val="DefaultParagraphFont"/>
    <w:link w:val="Observation"/>
    <w:rsid w:val="00A23603"/>
    <w:rPr>
      <w:rFonts w:ascii="Times New Roman" w:eastAsia="MS Mincho" w:hAnsi="Times New Roman"/>
      <w:b/>
      <w: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16379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615475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HR33RHYHUWRF-4-5853</_dlc_DocId>
    <_dlc_DocIdUrl xmlns="c06861ca-3f08-4d07-bff7-bb15bac121f4">
      <Url>https://projects.qualcomm.com/sites/pentari/_layouts/15/DocIdRedir.aspx?ID=HR33RHYHUWRF-4-5853</Url>
      <Description>HR33RHYHUWRF-4-5853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dcmitype/"/>
    <ds:schemaRef ds:uri="http://purl.org/dc/terms/"/>
    <ds:schemaRef ds:uri="http://www.w3.org/XML/1998/namespace"/>
    <ds:schemaRef ds:uri="http://purl.org/dc/elements/1.1/"/>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5A24B30E-C561-455A-A6CF-797F453C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2146</Words>
  <Characters>12234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DCI</vt:lpstr>
    </vt:vector>
  </TitlesOfParts>
  <Company>Qualcomm Inc.</Company>
  <LinksUpToDate>false</LinksUpToDate>
  <CharactersWithSpaces>14352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DCI</dc:title>
  <dc:subject/>
  <dc:creator>Qualcomm Inc.</dc:creator>
  <cp:keywords/>
  <cp:lastModifiedBy>Heechoon Lee</cp:lastModifiedBy>
  <cp:revision>2</cp:revision>
  <cp:lastPrinted>2014-11-07T05:38:00Z</cp:lastPrinted>
  <dcterms:created xsi:type="dcterms:W3CDTF">2017-10-03T05:35:00Z</dcterms:created>
  <dcterms:modified xsi:type="dcterms:W3CDTF">2017-10-03T05:35:00Z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493a099d-c60b-4f68-976f-bdd8c2b383d2</vt:lpwstr>
  </property>
  <property fmtid="{D5CDD505-2E9C-101B-9397-08002B2CF9AE}" pid="4" name="_AdHocReviewCycleID">
    <vt:i4>939187194</vt:i4>
  </property>
  <property fmtid="{D5CDD505-2E9C-101B-9397-08002B2CF9AE}" pid="5" name="_NewReviewCycle">
    <vt:lpwstr/>
  </property>
  <property fmtid="{D5CDD505-2E9C-101B-9397-08002B2CF9AE}" pid="6" name="_EmailSubject">
    <vt:lpwstr>Control channel contributions for RAN1#87</vt:lpwstr>
  </property>
  <property fmtid="{D5CDD505-2E9C-101B-9397-08002B2CF9AE}" pid="7" name="_AuthorEmail">
    <vt:lpwstr>jingsun@qti.qualcomm.com</vt:lpwstr>
  </property>
  <property fmtid="{D5CDD505-2E9C-101B-9397-08002B2CF9AE}" pid="8" name="_AuthorEmailDisplayName">
    <vt:lpwstr>Sun, Jing</vt:lpwstr>
  </property>
  <property fmtid="{D5CDD505-2E9C-101B-9397-08002B2CF9AE}" pid="9" name="_ReviewingToolsShownOnce">
    <vt:lpwstr/>
  </property>
</Properties>
</file>