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4EEC41AF"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D864CF">
        <w:rPr>
          <w:rFonts w:ascii="Arial" w:hAnsi="Arial" w:cs="Arial"/>
          <w:b/>
          <w:bCs/>
          <w:kern w:val="0"/>
          <w:sz w:val="28"/>
          <w:lang w:val="en-GB"/>
        </w:rPr>
        <w:t>9</w:t>
      </w:r>
      <w:r w:rsidR="006C5DD2">
        <w:rPr>
          <w:rFonts w:ascii="Arial" w:hAnsi="Arial" w:cs="Arial"/>
          <w:b/>
          <w:bCs/>
          <w:kern w:val="0"/>
          <w:sz w:val="28"/>
          <w:lang w:val="en-GB"/>
        </w:rPr>
        <w:t>0</w:t>
      </w:r>
      <w:r w:rsidR="006E07CC">
        <w:rPr>
          <w:rFonts w:ascii="Arial" w:hAnsi="Arial" w:cs="Arial"/>
          <w:b/>
          <w:bCs/>
          <w:kern w:val="0"/>
          <w:sz w:val="28"/>
          <w:lang w:val="en-GB"/>
        </w:rPr>
        <w:t>bis</w:t>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A815E8" w:rsidRPr="00A815E8">
        <w:rPr>
          <w:rFonts w:ascii="Arial" w:hAnsi="Arial" w:cs="Arial"/>
          <w:b/>
          <w:bCs/>
          <w:kern w:val="0"/>
          <w:sz w:val="28"/>
          <w:lang w:val="en-GB"/>
        </w:rPr>
        <w:t>R1-1</w:t>
      </w:r>
      <w:r w:rsidR="00A4397C">
        <w:rPr>
          <w:rFonts w:ascii="Arial" w:hAnsi="Arial" w:cs="Arial"/>
          <w:b/>
          <w:bCs/>
          <w:kern w:val="0"/>
          <w:sz w:val="28"/>
          <w:lang w:val="en-GB"/>
        </w:rPr>
        <w:t>7</w:t>
      </w:r>
      <w:r w:rsidR="007168DB">
        <w:rPr>
          <w:rFonts w:ascii="Arial" w:hAnsi="Arial" w:cs="Arial"/>
          <w:b/>
          <w:bCs/>
          <w:kern w:val="0"/>
          <w:sz w:val="28"/>
          <w:lang w:val="en-GB"/>
        </w:rPr>
        <w:t>18149</w:t>
      </w:r>
    </w:p>
    <w:p w14:paraId="5E28362B" w14:textId="616E679B" w:rsidR="003A1AFA" w:rsidRPr="000946EF" w:rsidRDefault="006C5DD2" w:rsidP="003A1AFA">
      <w:pPr>
        <w:tabs>
          <w:tab w:val="center" w:pos="4536"/>
          <w:tab w:val="right" w:pos="9072"/>
        </w:tabs>
        <w:jc w:val="left"/>
        <w:rPr>
          <w:rFonts w:ascii="Arial" w:hAnsi="Arial" w:cs="Arial"/>
          <w:b/>
          <w:bCs/>
          <w:kern w:val="0"/>
          <w:sz w:val="28"/>
        </w:rPr>
      </w:pPr>
      <w:r>
        <w:rPr>
          <w:rFonts w:ascii="Arial" w:hAnsi="Arial" w:cs="Arial"/>
          <w:b/>
          <w:bCs/>
          <w:kern w:val="0"/>
          <w:sz w:val="28"/>
        </w:rPr>
        <w:t>Prague</w:t>
      </w:r>
      <w:r w:rsidR="00CD5FBC">
        <w:rPr>
          <w:rFonts w:ascii="Arial" w:hAnsi="Arial" w:cs="Arial"/>
          <w:b/>
          <w:bCs/>
          <w:kern w:val="0"/>
          <w:sz w:val="28"/>
        </w:rPr>
        <w:t xml:space="preserve">, </w:t>
      </w:r>
      <w:r>
        <w:rPr>
          <w:rFonts w:ascii="Arial" w:hAnsi="Arial" w:cs="Arial"/>
          <w:b/>
          <w:bCs/>
          <w:kern w:val="0"/>
          <w:sz w:val="28"/>
        </w:rPr>
        <w:t>Czech</w:t>
      </w:r>
      <w:r w:rsidR="007A7E18">
        <w:rPr>
          <w:rFonts w:ascii="Arial" w:hAnsi="Arial" w:cs="Arial"/>
          <w:b/>
          <w:bCs/>
          <w:kern w:val="0"/>
          <w:sz w:val="28"/>
        </w:rPr>
        <w:t>ia</w:t>
      </w:r>
      <w:r w:rsidR="00A622BD">
        <w:rPr>
          <w:rFonts w:ascii="Arial" w:hAnsi="Arial" w:cs="Arial"/>
          <w:b/>
          <w:bCs/>
          <w:kern w:val="0"/>
          <w:sz w:val="28"/>
        </w:rPr>
        <w:t xml:space="preserve">, </w:t>
      </w:r>
      <w:r w:rsidR="006E07CC">
        <w:rPr>
          <w:rFonts w:ascii="Arial" w:hAnsi="Arial" w:cs="Arial"/>
          <w:b/>
          <w:bCs/>
          <w:kern w:val="0"/>
          <w:sz w:val="28"/>
        </w:rPr>
        <w:t>9</w:t>
      </w:r>
      <w:r w:rsidR="00D864CF" w:rsidRPr="00A622BD">
        <w:rPr>
          <w:rFonts w:ascii="Arial" w:hAnsi="Arial" w:cs="Arial"/>
          <w:b/>
          <w:bCs/>
          <w:kern w:val="0"/>
          <w:sz w:val="28"/>
          <w:vertAlign w:val="superscript"/>
        </w:rPr>
        <w:t>th</w:t>
      </w:r>
      <w:r w:rsidR="00CD5FBC">
        <w:rPr>
          <w:rFonts w:ascii="Arial" w:hAnsi="Arial" w:cs="Arial"/>
          <w:b/>
          <w:bCs/>
          <w:kern w:val="0"/>
          <w:sz w:val="28"/>
        </w:rPr>
        <w:t xml:space="preserve"> </w:t>
      </w:r>
      <w:r w:rsidR="00A622BD">
        <w:rPr>
          <w:rFonts w:ascii="Arial" w:hAnsi="Arial" w:cs="Arial"/>
          <w:b/>
          <w:bCs/>
          <w:kern w:val="0"/>
          <w:sz w:val="28"/>
        </w:rPr>
        <w:t xml:space="preserve">– </w:t>
      </w:r>
      <w:r w:rsidR="006E07CC">
        <w:rPr>
          <w:rFonts w:ascii="Arial" w:hAnsi="Arial" w:cs="Arial"/>
          <w:b/>
          <w:bCs/>
          <w:kern w:val="0"/>
          <w:sz w:val="28"/>
        </w:rPr>
        <w:t>13</w:t>
      </w:r>
      <w:r w:rsidR="00CD5FBC" w:rsidRPr="00A622BD">
        <w:rPr>
          <w:rFonts w:ascii="Arial" w:hAnsi="Arial" w:cs="Arial"/>
          <w:b/>
          <w:bCs/>
          <w:kern w:val="0"/>
          <w:sz w:val="28"/>
          <w:vertAlign w:val="superscript"/>
        </w:rPr>
        <w:t>th</w:t>
      </w:r>
      <w:r w:rsidR="00CD5FBC">
        <w:rPr>
          <w:rFonts w:ascii="Arial" w:hAnsi="Arial" w:cs="Arial"/>
          <w:b/>
          <w:bCs/>
          <w:kern w:val="0"/>
          <w:sz w:val="28"/>
        </w:rPr>
        <w:t xml:space="preserve"> </w:t>
      </w:r>
      <w:r w:rsidR="006E07CC">
        <w:rPr>
          <w:rFonts w:ascii="Arial" w:hAnsi="Arial" w:cs="Arial"/>
          <w:b/>
          <w:bCs/>
          <w:kern w:val="0"/>
          <w:sz w:val="28"/>
        </w:rPr>
        <w:t>October</w:t>
      </w:r>
      <w:r w:rsidR="00CD5FBC" w:rsidRPr="000946EF">
        <w:rPr>
          <w:rFonts w:ascii="Arial" w:hAnsi="Arial" w:cs="Arial"/>
          <w:b/>
          <w:bCs/>
          <w:kern w:val="0"/>
          <w:sz w:val="28"/>
        </w:rPr>
        <w:t xml:space="preserve"> </w:t>
      </w:r>
      <w:r w:rsidR="00CD5FBC">
        <w:rPr>
          <w:rFonts w:ascii="Arial" w:hAnsi="Arial" w:cs="Arial"/>
          <w:b/>
          <w:bCs/>
          <w:kern w:val="0"/>
          <w:sz w:val="28"/>
        </w:rPr>
        <w:t>2017</w:t>
      </w:r>
    </w:p>
    <w:p w14:paraId="47B2F466" w14:textId="77777777" w:rsidR="003A1AFA" w:rsidRPr="000946EF" w:rsidRDefault="003A1AFA" w:rsidP="003A1AFA">
      <w:pPr>
        <w:widowControl/>
        <w:tabs>
          <w:tab w:val="right" w:pos="9630"/>
        </w:tabs>
        <w:wordWrap/>
        <w:autoSpaceDE/>
        <w:autoSpaceDN/>
        <w:jc w:val="left"/>
        <w:rPr>
          <w:rFonts w:ascii="Arial" w:eastAsia="宋体" w:hAnsi="Arial" w:cs="Arial"/>
          <w:b/>
          <w:kern w:val="0"/>
          <w:sz w:val="24"/>
          <w:lang w:eastAsia="en-US"/>
        </w:rPr>
      </w:pPr>
    </w:p>
    <w:p w14:paraId="3756D2A9" w14:textId="12DC6CF3"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E07CC">
        <w:rPr>
          <w:rFonts w:ascii="Arial" w:hAnsi="Arial" w:cs="Arial"/>
          <w:snapToGrid w:val="0"/>
          <w:sz w:val="24"/>
        </w:rPr>
        <w:t>6</w:t>
      </w:r>
      <w:r w:rsidR="00C93E79">
        <w:rPr>
          <w:rFonts w:ascii="Arial" w:hAnsi="Arial" w:cs="Arial"/>
          <w:snapToGrid w:val="0"/>
          <w:sz w:val="24"/>
        </w:rPr>
        <w:t>.2.</w:t>
      </w:r>
      <w:r w:rsidR="006E07CC">
        <w:rPr>
          <w:rFonts w:ascii="Arial" w:hAnsi="Arial" w:cs="Arial"/>
          <w:snapToGrid w:val="0"/>
          <w:sz w:val="24"/>
        </w:rPr>
        <w:t>6</w:t>
      </w:r>
      <w:r w:rsidR="004E4DA6">
        <w:rPr>
          <w:rFonts w:ascii="Arial" w:hAnsi="Arial" w:cs="Arial"/>
          <w:snapToGrid w:val="0"/>
          <w:sz w:val="24"/>
        </w:rPr>
        <w:t>.</w:t>
      </w:r>
      <w:r w:rsidR="00DF471D">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宋体" w:hAnsi="Arial" w:cs="Arial" w:hint="eastAsia"/>
          <w:snapToGrid w:val="0"/>
          <w:sz w:val="24"/>
          <w:lang w:eastAsia="zh-CN"/>
        </w:rPr>
        <w:t xml:space="preserve"> </w:t>
      </w:r>
      <w:r w:rsidRPr="000946EF">
        <w:rPr>
          <w:rFonts w:ascii="Arial" w:hAnsi="Arial"/>
          <w:sz w:val="24"/>
        </w:rPr>
        <w:t>Incorporated</w:t>
      </w:r>
    </w:p>
    <w:p w14:paraId="58D7B882" w14:textId="4465113B"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A2473">
        <w:rPr>
          <w:rFonts w:ascii="Arial" w:hAnsi="Arial" w:cs="Arial"/>
          <w:snapToGrid w:val="0"/>
          <w:sz w:val="24"/>
        </w:rPr>
        <w:t>Coexistence</w:t>
      </w:r>
      <w:r w:rsidR="00547961" w:rsidRPr="00547961">
        <w:rPr>
          <w:rFonts w:ascii="Arial" w:hAnsi="Arial" w:cs="Arial"/>
          <w:snapToGrid w:val="0"/>
          <w:sz w:val="24"/>
        </w:rPr>
        <w:t xml:space="preserve"> </w:t>
      </w:r>
      <w:r w:rsidR="00AA2473">
        <w:rPr>
          <w:rFonts w:ascii="Arial" w:hAnsi="Arial" w:cs="Arial"/>
          <w:snapToGrid w:val="0"/>
          <w:sz w:val="24"/>
        </w:rPr>
        <w:t>with NR</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宋体"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25C5CAC9" w14:textId="242C63A3"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907F58">
        <w:rPr>
          <w:rFonts w:ascii="Times New Roman"/>
          <w:snapToGrid w:val="0"/>
          <w:sz w:val="22"/>
          <w:szCs w:val="22"/>
          <w:lang w:val="en-GB"/>
        </w:rPr>
        <w:t>6</w:t>
      </w:r>
      <w:r w:rsidRPr="000A7AA6">
        <w:rPr>
          <w:rFonts w:ascii="Times New Roman"/>
          <w:snapToGrid w:val="0"/>
          <w:sz w:val="22"/>
          <w:szCs w:val="22"/>
          <w:lang w:val="en-GB"/>
        </w:rPr>
        <w:t xml:space="preserve"> </w:t>
      </w:r>
      <w:r w:rsidR="00C02922">
        <w:rPr>
          <w:rFonts w:ascii="Times New Roman"/>
          <w:snapToGrid w:val="0"/>
          <w:sz w:val="22"/>
          <w:szCs w:val="22"/>
          <w:lang w:val="en-GB"/>
        </w:rPr>
        <w:t xml:space="preserve">a </w:t>
      </w:r>
      <w:r w:rsidR="00907F58">
        <w:rPr>
          <w:rFonts w:ascii="Times New Roman"/>
          <w:snapToGrid w:val="0"/>
          <w:sz w:val="22"/>
          <w:szCs w:val="22"/>
          <w:lang w:val="en-GB"/>
        </w:rPr>
        <w:t xml:space="preserve">revised WID of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w:t>
      </w:r>
      <w:r w:rsidR="00907F58">
        <w:rPr>
          <w:rFonts w:ascii="Times New Roman"/>
          <w:snapToGrid w:val="0"/>
          <w:sz w:val="22"/>
          <w:szCs w:val="22"/>
          <w:lang w:val="en-GB"/>
        </w:rPr>
        <w:t xml:space="preserve">approved with the objective to support TDD for in-band, guard-band and standalone operation modes of NB-IoT. The </w:t>
      </w:r>
      <w:r w:rsidR="00AB439D">
        <w:rPr>
          <w:rFonts w:ascii="Times New Roman"/>
          <w:snapToGrid w:val="0"/>
          <w:sz w:val="22"/>
          <w:szCs w:val="22"/>
          <w:lang w:val="en-GB"/>
        </w:rPr>
        <w:t xml:space="preserve">agreed </w:t>
      </w:r>
      <w:r w:rsidR="00907F58">
        <w:rPr>
          <w:rFonts w:ascii="Times New Roman"/>
          <w:snapToGrid w:val="0"/>
          <w:sz w:val="22"/>
          <w:szCs w:val="22"/>
          <w:lang w:val="en-GB"/>
        </w:rPr>
        <w:t>work scope says the baseline design for NB-IoT TDD is Rel-13:</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012D40CE" w14:textId="6B7F761C" w:rsidR="00907F58" w:rsidRPr="0049668E" w:rsidRDefault="00907F58" w:rsidP="00907F58">
      <w:pPr>
        <w:widowControl/>
        <w:wordWrap/>
        <w:overflowPunct w:val="0"/>
        <w:adjustRightInd w:val="0"/>
        <w:jc w:val="left"/>
        <w:textAlignment w:val="baseline"/>
        <w:rPr>
          <w:bCs/>
          <w:u w:val="single"/>
        </w:rPr>
      </w:pPr>
      <w:r w:rsidRPr="00907F58">
        <w:rPr>
          <w:rFonts w:ascii="Times New Roman" w:eastAsia="宋体"/>
          <w:b/>
          <w:bCs/>
          <w:kern w:val="0"/>
          <w:szCs w:val="20"/>
          <w:u w:val="single"/>
          <w:lang w:eastAsia="en-US"/>
        </w:rPr>
        <w:t>Support for TDD [RAN1, RAN2, RAN4]</w:t>
      </w:r>
      <w:r>
        <w:rPr>
          <w:rFonts w:ascii="Times New Roman" w:eastAsia="宋体"/>
          <w:b/>
          <w:bCs/>
          <w:kern w:val="0"/>
          <w:szCs w:val="20"/>
          <w:u w:val="single"/>
          <w:lang w:eastAsia="en-US"/>
        </w:rPr>
        <w:t>:</w:t>
      </w:r>
    </w:p>
    <w:p w14:paraId="401BC6C6" w14:textId="77777777" w:rsidR="00907F58" w:rsidRPr="0049668E" w:rsidRDefault="00907F58" w:rsidP="00907F58">
      <w:pPr>
        <w:rPr>
          <w:bCs/>
        </w:rPr>
      </w:pPr>
    </w:p>
    <w:p w14:paraId="04A56CA8" w14:textId="77777777" w:rsidR="00907F58" w:rsidRPr="00907F58" w:rsidRDefault="00907F58" w:rsidP="00907F58">
      <w:pPr>
        <w:overflowPunct w:val="0"/>
        <w:adjustRightInd w:val="0"/>
        <w:spacing w:after="120"/>
        <w:contextualSpacing/>
        <w:textAlignment w:val="baseline"/>
        <w:rPr>
          <w:rFonts w:ascii="Times New Roman"/>
          <w:snapToGrid w:val="0"/>
          <w:sz w:val="22"/>
          <w:szCs w:val="22"/>
          <w:lang w:val="en-GB"/>
        </w:rPr>
      </w:pPr>
      <w:r w:rsidRPr="00907F58">
        <w:rPr>
          <w:rFonts w:ascii="Times New Roman"/>
          <w:snapToGrid w:val="0"/>
          <w:sz w:val="22"/>
          <w:szCs w:val="22"/>
          <w:lang w:val="en-GB"/>
        </w:rPr>
        <w:t xml:space="preserve">Specify TDD support for in-band, guard-band, and standalone operation modes of NB-IoT. The design shall assume no UL compensation gaps are needed by UE, and strive towards a common design among the deployment modes. </w:t>
      </w:r>
    </w:p>
    <w:p w14:paraId="594615FD" w14:textId="77777777" w:rsidR="00907F58" w:rsidRPr="0049668E" w:rsidRDefault="00907F58" w:rsidP="00907F58">
      <w:pPr>
        <w:widowControl/>
        <w:numPr>
          <w:ilvl w:val="0"/>
          <w:numId w:val="44"/>
        </w:numPr>
        <w:wordWrap/>
        <w:overflowPunct w:val="0"/>
        <w:adjustRightInd w:val="0"/>
        <w:jc w:val="left"/>
        <w:textAlignment w:val="baseline"/>
        <w:rPr>
          <w:bCs/>
        </w:rPr>
      </w:pPr>
      <w:r w:rsidRPr="00907F58">
        <w:rPr>
          <w:rFonts w:ascii="Times New Roman"/>
          <w:snapToGrid w:val="0"/>
          <w:sz w:val="22"/>
          <w:szCs w:val="22"/>
          <w:lang w:val="en-GB"/>
        </w:rPr>
        <w:t>Relaxations of MCL and/or latency and/or capacity targets to be considered by RAN1</w:t>
      </w:r>
      <w:r w:rsidRPr="0049668E">
        <w:rPr>
          <w:bCs/>
        </w:rPr>
        <w:t>.</w:t>
      </w:r>
    </w:p>
    <w:p w14:paraId="70C66426" w14:textId="77777777" w:rsidR="00907F58" w:rsidRPr="00907F58" w:rsidRDefault="00907F58" w:rsidP="00907F58">
      <w:pPr>
        <w:widowControl/>
        <w:numPr>
          <w:ilvl w:val="0"/>
          <w:numId w:val="44"/>
        </w:numPr>
        <w:wordWrap/>
        <w:overflowPunct w:val="0"/>
        <w:adjustRightInd w:val="0"/>
        <w:jc w:val="left"/>
        <w:textAlignment w:val="baseline"/>
        <w:rPr>
          <w:rFonts w:ascii="Times New Roman"/>
          <w:snapToGrid w:val="0"/>
          <w:sz w:val="22"/>
          <w:szCs w:val="22"/>
          <w:lang w:val="en-GB"/>
        </w:rPr>
      </w:pPr>
      <w:r w:rsidRPr="00907F58">
        <w:rPr>
          <w:rFonts w:ascii="Times New Roman"/>
          <w:snapToGrid w:val="0"/>
          <w:sz w:val="22"/>
          <w:szCs w:val="22"/>
          <w:lang w:val="en-GB"/>
        </w:rPr>
        <w:t>Baseline is to support the same features as Rel-13 NB-IoT, additionally considering small-cells scenarios</w:t>
      </w:r>
    </w:p>
    <w:p w14:paraId="514DCBF6" w14:textId="77777777" w:rsidR="006C5DD2" w:rsidRPr="00907F58" w:rsidRDefault="006C5DD2" w:rsidP="006C5DD2">
      <w:pPr>
        <w:widowControl/>
        <w:wordWrap/>
        <w:autoSpaceDE/>
        <w:autoSpaceDN/>
        <w:jc w:val="left"/>
        <w:rPr>
          <w:rFonts w:ascii="Times New Roman" w:eastAsia="MS Mincho"/>
          <w:sz w:val="22"/>
          <w:szCs w:val="22"/>
          <w:lang w:eastAsia="ja-JP"/>
        </w:rPr>
      </w:pPr>
    </w:p>
    <w:p w14:paraId="0E5A0566" w14:textId="772C05F8"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C866A5">
        <w:rPr>
          <w:rFonts w:ascii="Times New Roman"/>
          <w:snapToGrid w:val="0"/>
          <w:sz w:val="22"/>
          <w:szCs w:val="22"/>
          <w:lang w:val="en-GB"/>
        </w:rPr>
        <w:t>will discuss the aspects of facilitating close coexistence of NB-IoT TDD with NR</w:t>
      </w:r>
      <w:r>
        <w:rPr>
          <w:rFonts w:ascii="Times New Roman"/>
          <w:snapToGrid w:val="0"/>
          <w:sz w:val="22"/>
          <w:szCs w:val="22"/>
          <w:lang w:val="en-GB"/>
        </w:rPr>
        <w:t xml:space="preserve">. </w:t>
      </w:r>
    </w:p>
    <w:p w14:paraId="13C64BB0" w14:textId="41DDCE90" w:rsidR="006C5DD2" w:rsidRPr="00C866A5"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1F7383C9" w:rsidR="004A42D0" w:rsidRDefault="00907F58"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Discussion</w:t>
      </w:r>
      <w:r w:rsidR="000C5232">
        <w:rPr>
          <w:rFonts w:ascii="Arial" w:hAnsi="Arial" w:cs="Arial"/>
          <w:lang w:val="en-US"/>
        </w:rPr>
        <w:t xml:space="preserve"> </w:t>
      </w:r>
    </w:p>
    <w:p w14:paraId="79B12EB4" w14:textId="3DF91F8F" w:rsidR="00AA5E4F" w:rsidRDefault="00BF3106" w:rsidP="006434A2">
      <w:pPr>
        <w:overflowPunct w:val="0"/>
        <w:adjustRightInd w:val="0"/>
        <w:spacing w:after="120"/>
        <w:contextualSpacing/>
        <w:textAlignment w:val="baseline"/>
        <w:rPr>
          <w:rFonts w:ascii="Times New Roman"/>
          <w:snapToGrid w:val="0"/>
          <w:sz w:val="22"/>
          <w:szCs w:val="22"/>
          <w:lang w:val="en-GB"/>
        </w:rPr>
      </w:pPr>
      <w:r w:rsidRPr="006434A2">
        <w:rPr>
          <w:rFonts w:ascii="Times New Roman"/>
          <w:snapToGrid w:val="0"/>
          <w:sz w:val="22"/>
          <w:szCs w:val="22"/>
          <w:lang w:val="en-GB"/>
        </w:rPr>
        <w:t xml:space="preserve">To ensure good co-existence between NR and LTE is an important </w:t>
      </w:r>
      <w:r w:rsidR="006434A2">
        <w:rPr>
          <w:rFonts w:ascii="Times New Roman"/>
          <w:snapToGrid w:val="0"/>
          <w:sz w:val="22"/>
          <w:szCs w:val="22"/>
          <w:lang w:val="en-GB"/>
        </w:rPr>
        <w:t xml:space="preserve">NR </w:t>
      </w:r>
      <w:r w:rsidRPr="006434A2">
        <w:rPr>
          <w:rFonts w:ascii="Times New Roman"/>
          <w:snapToGrid w:val="0"/>
          <w:sz w:val="22"/>
          <w:szCs w:val="22"/>
          <w:lang w:val="en-GB"/>
        </w:rPr>
        <w:t xml:space="preserve">requirement since LTE and NR may be deployed with frequency-overlapping carriers as well as frequency adjacent non-overlapping carriers. </w:t>
      </w:r>
      <w:r w:rsidR="005D6313" w:rsidRPr="006434A2">
        <w:rPr>
          <w:rFonts w:ascii="Times New Roman"/>
          <w:snapToGrid w:val="0"/>
          <w:sz w:val="22"/>
          <w:szCs w:val="22"/>
          <w:lang w:val="en-GB"/>
        </w:rPr>
        <w:t xml:space="preserve">Recently, there are also proposals to support eMTC/NB-IoT inband within an NR carrier </w:t>
      </w:r>
      <w:r w:rsidR="006434A2">
        <w:rPr>
          <w:rFonts w:ascii="Times New Roman"/>
          <w:snapToGrid w:val="0"/>
          <w:sz w:val="22"/>
          <w:szCs w:val="22"/>
          <w:lang w:val="en-GB"/>
        </w:rPr>
        <w:t xml:space="preserve">as discussed in </w:t>
      </w:r>
      <w:r w:rsidR="005D6313" w:rsidRPr="006434A2">
        <w:rPr>
          <w:rFonts w:ascii="Times New Roman"/>
          <w:snapToGrid w:val="0"/>
          <w:sz w:val="22"/>
          <w:szCs w:val="22"/>
          <w:lang w:val="en-GB"/>
        </w:rPr>
        <w:t xml:space="preserve">[2] </w:t>
      </w:r>
      <w:r w:rsidR="006434A2">
        <w:rPr>
          <w:rFonts w:ascii="Times New Roman"/>
          <w:snapToGrid w:val="0"/>
          <w:sz w:val="22"/>
          <w:szCs w:val="22"/>
          <w:lang w:val="en-GB"/>
        </w:rPr>
        <w:t xml:space="preserve">and </w:t>
      </w:r>
      <w:r w:rsidR="005D6313" w:rsidRPr="006434A2">
        <w:rPr>
          <w:rFonts w:ascii="Times New Roman"/>
          <w:snapToGrid w:val="0"/>
          <w:sz w:val="22"/>
          <w:szCs w:val="22"/>
          <w:lang w:val="en-GB"/>
        </w:rPr>
        <w:t xml:space="preserve">[3]. The motivation is to allow the operator to update the existing eMTC/NB-IoT enabled network to NR while continuing serving the deployed IoT devices </w:t>
      </w:r>
      <w:r w:rsidR="006434A2" w:rsidRPr="006434A2">
        <w:rPr>
          <w:rFonts w:ascii="Times New Roman"/>
          <w:snapToGrid w:val="0"/>
          <w:sz w:val="22"/>
          <w:szCs w:val="22"/>
          <w:lang w:val="en-GB"/>
        </w:rPr>
        <w:t>given the expected long</w:t>
      </w:r>
      <w:r w:rsidR="006434A2">
        <w:rPr>
          <w:rFonts w:ascii="Times New Roman"/>
          <w:snapToGrid w:val="0"/>
          <w:sz w:val="22"/>
          <w:szCs w:val="22"/>
          <w:lang w:val="en-GB"/>
        </w:rPr>
        <w:t xml:space="preserve"> lifetime</w:t>
      </w:r>
      <w:r w:rsidR="006434A2" w:rsidRPr="006434A2">
        <w:rPr>
          <w:rFonts w:ascii="Times New Roman"/>
          <w:snapToGrid w:val="0"/>
          <w:sz w:val="22"/>
          <w:szCs w:val="22"/>
          <w:lang w:val="en-GB"/>
        </w:rPr>
        <w:t xml:space="preserve"> </w:t>
      </w:r>
      <w:r w:rsidR="005D6313" w:rsidRPr="006434A2">
        <w:rPr>
          <w:rFonts w:ascii="Times New Roman"/>
          <w:snapToGrid w:val="0"/>
          <w:sz w:val="22"/>
          <w:szCs w:val="22"/>
          <w:lang w:val="en-GB"/>
        </w:rPr>
        <w:t xml:space="preserve">[4]. </w:t>
      </w:r>
      <w:r w:rsidR="006434A2" w:rsidRPr="006434A2">
        <w:rPr>
          <w:rFonts w:ascii="Times New Roman"/>
          <w:snapToGrid w:val="0"/>
          <w:sz w:val="22"/>
          <w:szCs w:val="22"/>
          <w:lang w:val="en-GB"/>
        </w:rPr>
        <w:t>Therefore</w:t>
      </w:r>
      <w:r w:rsidR="006434A2">
        <w:rPr>
          <w:rFonts w:ascii="Times New Roman"/>
          <w:snapToGrid w:val="0"/>
          <w:sz w:val="22"/>
          <w:szCs w:val="22"/>
          <w:lang w:val="en-GB"/>
        </w:rPr>
        <w:t>,</w:t>
      </w:r>
      <w:r w:rsidR="006434A2" w:rsidRPr="006434A2">
        <w:rPr>
          <w:rFonts w:ascii="Times New Roman"/>
          <w:snapToGrid w:val="0"/>
          <w:sz w:val="22"/>
          <w:szCs w:val="22"/>
          <w:lang w:val="en-GB"/>
        </w:rPr>
        <w:t xml:space="preserve"> </w:t>
      </w:r>
      <w:r w:rsidR="006434A2">
        <w:rPr>
          <w:rFonts w:ascii="Times New Roman"/>
          <w:snapToGrid w:val="0"/>
          <w:sz w:val="22"/>
          <w:szCs w:val="22"/>
          <w:lang w:val="en-GB"/>
        </w:rPr>
        <w:t>it is desirable that eMTC/NB-IoT can be able to operate within an NR carrier.</w:t>
      </w:r>
      <w:r w:rsidR="006434A2" w:rsidRPr="006434A2">
        <w:rPr>
          <w:rFonts w:ascii="Times New Roman"/>
          <w:snapToGrid w:val="0"/>
          <w:sz w:val="22"/>
          <w:szCs w:val="22"/>
          <w:lang w:val="en-GB"/>
        </w:rPr>
        <w:t xml:space="preserve"> </w:t>
      </w:r>
    </w:p>
    <w:p w14:paraId="193C90A3" w14:textId="51AE52DE" w:rsidR="006434A2" w:rsidRDefault="006434A2" w:rsidP="006434A2">
      <w:pPr>
        <w:overflowPunct w:val="0"/>
        <w:adjustRightInd w:val="0"/>
        <w:spacing w:after="120"/>
        <w:contextualSpacing/>
        <w:textAlignment w:val="baseline"/>
        <w:rPr>
          <w:rFonts w:ascii="Times New Roman"/>
          <w:snapToGrid w:val="0"/>
          <w:sz w:val="22"/>
          <w:szCs w:val="22"/>
          <w:lang w:val="en-GB"/>
        </w:rPr>
      </w:pPr>
    </w:p>
    <w:p w14:paraId="27ADE831" w14:textId="62EA064B" w:rsidR="006434A2" w:rsidRDefault="006434A2" w:rsidP="006434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The issues of supporting eMTC/NB-IoT inband within an NR carrier ha</w:t>
      </w:r>
      <w:r w:rsidR="00D00D68">
        <w:rPr>
          <w:rFonts w:ascii="Times New Roman"/>
          <w:snapToGrid w:val="0"/>
          <w:sz w:val="22"/>
          <w:szCs w:val="22"/>
          <w:lang w:val="en-GB"/>
        </w:rPr>
        <w:t>ve</w:t>
      </w:r>
      <w:r>
        <w:rPr>
          <w:rFonts w:ascii="Times New Roman"/>
          <w:snapToGrid w:val="0"/>
          <w:sz w:val="22"/>
          <w:szCs w:val="22"/>
          <w:lang w:val="en-GB"/>
        </w:rPr>
        <w:t xml:space="preserve"> been considered in [2] and [3]</w:t>
      </w:r>
      <w:r w:rsidR="00D00D68">
        <w:rPr>
          <w:rFonts w:ascii="Times New Roman"/>
          <w:snapToGrid w:val="0"/>
          <w:sz w:val="22"/>
          <w:szCs w:val="22"/>
          <w:lang w:val="en-GB"/>
        </w:rPr>
        <w:t>. A concept of re</w:t>
      </w:r>
      <w:r>
        <w:rPr>
          <w:rFonts w:ascii="Times New Roman"/>
          <w:snapToGrid w:val="0"/>
          <w:sz w:val="22"/>
          <w:szCs w:val="22"/>
          <w:lang w:val="en-GB"/>
        </w:rPr>
        <w:t xml:space="preserve">served resources </w:t>
      </w:r>
      <w:r w:rsidR="00D00D68">
        <w:rPr>
          <w:rFonts w:ascii="Times New Roman"/>
          <w:snapToGrid w:val="0"/>
          <w:sz w:val="22"/>
          <w:szCs w:val="22"/>
          <w:lang w:val="en-GB"/>
        </w:rPr>
        <w:t xml:space="preserve">is proposed to support NR coexistence with LTE eMTC and NB-IoT. </w:t>
      </w:r>
      <w:r w:rsidR="008A3441">
        <w:rPr>
          <w:rFonts w:ascii="Times New Roman"/>
          <w:snapToGrid w:val="0"/>
          <w:sz w:val="22"/>
          <w:szCs w:val="22"/>
          <w:lang w:val="en-GB"/>
        </w:rPr>
        <w:t xml:space="preserve">A reserved resource is a set of NR resource elements configured not to be transmitted, and NR UEs may puncture or rate match around the reserved resources. Therefore, </w:t>
      </w:r>
      <w:r w:rsidR="00D00D68">
        <w:rPr>
          <w:rFonts w:ascii="Times New Roman"/>
          <w:snapToGrid w:val="0"/>
          <w:sz w:val="22"/>
          <w:szCs w:val="22"/>
          <w:lang w:val="en-GB"/>
        </w:rPr>
        <w:t>the NR resource</w:t>
      </w:r>
      <w:r w:rsidR="00FB51F0">
        <w:rPr>
          <w:rFonts w:ascii="Times New Roman"/>
          <w:snapToGrid w:val="0"/>
          <w:sz w:val="22"/>
          <w:szCs w:val="22"/>
          <w:lang w:val="en-GB"/>
        </w:rPr>
        <w:t>s</w:t>
      </w:r>
      <w:r w:rsidR="008A3441">
        <w:rPr>
          <w:rFonts w:ascii="Times New Roman"/>
          <w:snapToGrid w:val="0"/>
          <w:sz w:val="22"/>
          <w:szCs w:val="22"/>
          <w:lang w:val="en-GB"/>
        </w:rPr>
        <w:t xml:space="preserve"> </w:t>
      </w:r>
      <w:r w:rsidR="00D00D68">
        <w:rPr>
          <w:rFonts w:ascii="Times New Roman"/>
          <w:snapToGrid w:val="0"/>
          <w:sz w:val="22"/>
          <w:szCs w:val="22"/>
          <w:lang w:val="en-GB"/>
        </w:rPr>
        <w:t>overlapping with critical eMTC and NB-IoT transmissions (e.g., PSS/SSS/PBCH/SIB1) will be configured as reserved resources thus allowing for blanking NR transmission without breaking eMTC/NB-IoT</w:t>
      </w:r>
      <w:r>
        <w:rPr>
          <w:rFonts w:ascii="Times New Roman"/>
          <w:snapToGrid w:val="0"/>
          <w:sz w:val="22"/>
          <w:szCs w:val="22"/>
          <w:lang w:val="en-GB"/>
        </w:rPr>
        <w:t xml:space="preserve">. </w:t>
      </w:r>
      <w:r w:rsidR="00D00D68">
        <w:rPr>
          <w:rFonts w:ascii="Times New Roman"/>
          <w:snapToGrid w:val="0"/>
          <w:sz w:val="22"/>
          <w:szCs w:val="22"/>
          <w:lang w:val="en-GB"/>
        </w:rPr>
        <w:t xml:space="preserve">However, </w:t>
      </w:r>
      <w:r w:rsidR="00D643B5">
        <w:rPr>
          <w:rFonts w:ascii="Times New Roman"/>
          <w:snapToGrid w:val="0"/>
          <w:sz w:val="22"/>
          <w:szCs w:val="22"/>
          <w:lang w:val="en-GB"/>
        </w:rPr>
        <w:t xml:space="preserve">it shall be noted that </w:t>
      </w:r>
      <w:r w:rsidR="00D00D68">
        <w:rPr>
          <w:rFonts w:ascii="Times New Roman"/>
          <w:snapToGrid w:val="0"/>
          <w:sz w:val="22"/>
          <w:szCs w:val="22"/>
          <w:lang w:val="en-GB"/>
        </w:rPr>
        <w:t>the solutions are mainly from NR perspective since it is assumed that an eMTC/NB-IoT UE</w:t>
      </w:r>
      <w:r w:rsidR="00D643B5">
        <w:rPr>
          <w:rFonts w:ascii="Times New Roman"/>
          <w:snapToGrid w:val="0"/>
          <w:sz w:val="22"/>
          <w:szCs w:val="22"/>
          <w:lang w:val="en-GB"/>
        </w:rPr>
        <w:t xml:space="preserve"> is unware that it is </w:t>
      </w:r>
      <w:r w:rsidR="00FB51F0">
        <w:rPr>
          <w:rFonts w:ascii="Times New Roman"/>
          <w:snapToGrid w:val="0"/>
          <w:sz w:val="22"/>
          <w:szCs w:val="22"/>
          <w:lang w:val="en-GB"/>
        </w:rPr>
        <w:t xml:space="preserve">operating </w:t>
      </w:r>
      <w:r w:rsidR="00D643B5">
        <w:rPr>
          <w:rFonts w:ascii="Times New Roman"/>
          <w:snapToGrid w:val="0"/>
          <w:sz w:val="22"/>
          <w:szCs w:val="22"/>
          <w:lang w:val="en-GB"/>
        </w:rPr>
        <w:t>in an NR carrier rather than LTE.</w:t>
      </w:r>
    </w:p>
    <w:p w14:paraId="1B16A20C" w14:textId="01A7F29F" w:rsidR="006434A2" w:rsidRPr="00D643B5" w:rsidRDefault="006434A2" w:rsidP="006434A2">
      <w:pPr>
        <w:overflowPunct w:val="0"/>
        <w:adjustRightInd w:val="0"/>
        <w:spacing w:after="120"/>
        <w:contextualSpacing/>
        <w:textAlignment w:val="baseline"/>
        <w:rPr>
          <w:rFonts w:ascii="Times New Roman"/>
          <w:snapToGrid w:val="0"/>
          <w:sz w:val="22"/>
          <w:szCs w:val="22"/>
          <w:lang w:val="en-GB"/>
        </w:rPr>
      </w:pPr>
    </w:p>
    <w:p w14:paraId="6FC3923B" w14:textId="4F674CEE" w:rsidR="00D643B5" w:rsidRPr="0068319D" w:rsidRDefault="00D643B5" w:rsidP="00D643B5">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The concept of reserved resource</w:t>
      </w:r>
      <w:r w:rsidR="008A3441">
        <w:rPr>
          <w:sz w:val="22"/>
          <w:szCs w:val="22"/>
        </w:rPr>
        <w:t xml:space="preserve">s for supporting </w:t>
      </w:r>
      <w:r>
        <w:rPr>
          <w:sz w:val="22"/>
          <w:szCs w:val="22"/>
        </w:rPr>
        <w:t xml:space="preserve">for coexistence with eMTC/NB-IoT is mainly </w:t>
      </w:r>
      <w:r w:rsidR="008A3441">
        <w:rPr>
          <w:sz w:val="22"/>
          <w:szCs w:val="22"/>
        </w:rPr>
        <w:t xml:space="preserve">considered </w:t>
      </w:r>
      <w:r>
        <w:rPr>
          <w:sz w:val="22"/>
          <w:szCs w:val="22"/>
        </w:rPr>
        <w:t xml:space="preserve">from NR perspective. </w:t>
      </w:r>
    </w:p>
    <w:p w14:paraId="23135EF5" w14:textId="4700477C" w:rsidR="00D643B5" w:rsidRPr="008A3441" w:rsidRDefault="008A3441" w:rsidP="006434A2">
      <w:pPr>
        <w:overflowPunct w:val="0"/>
        <w:adjustRightInd w:val="0"/>
        <w:spacing w:after="120"/>
        <w:contextualSpacing/>
        <w:textAlignment w:val="baseline"/>
        <w:rPr>
          <w:rFonts w:ascii="Times New Roman"/>
          <w:snapToGrid w:val="0"/>
          <w:sz w:val="22"/>
          <w:szCs w:val="22"/>
          <w:lang w:val="en-GB"/>
        </w:rPr>
      </w:pPr>
      <w:r w:rsidRPr="008A3441">
        <w:rPr>
          <w:rFonts w:ascii="Times New Roman" w:hint="eastAsia"/>
          <w:snapToGrid w:val="0"/>
          <w:sz w:val="22"/>
          <w:szCs w:val="22"/>
          <w:lang w:val="en-GB"/>
        </w:rPr>
        <w:t xml:space="preserve">For NR, one subframe has a fixed length of 1ms </w:t>
      </w:r>
      <w:r>
        <w:rPr>
          <w:rFonts w:ascii="Times New Roman"/>
          <w:snapToGrid w:val="0"/>
          <w:sz w:val="22"/>
          <w:szCs w:val="22"/>
          <w:lang w:val="en-GB"/>
        </w:rPr>
        <w:t xml:space="preserve">same </w:t>
      </w:r>
      <w:r w:rsidRPr="008A3441">
        <w:rPr>
          <w:rFonts w:ascii="Times New Roman" w:hint="eastAsia"/>
          <w:snapToGrid w:val="0"/>
          <w:sz w:val="22"/>
          <w:szCs w:val="22"/>
          <w:lang w:val="en-GB"/>
        </w:rPr>
        <w:t>as LTE</w:t>
      </w:r>
      <w:r>
        <w:rPr>
          <w:rFonts w:ascii="Times New Roman"/>
          <w:snapToGrid w:val="0"/>
          <w:sz w:val="22"/>
          <w:szCs w:val="22"/>
          <w:lang w:val="en-GB"/>
        </w:rPr>
        <w:t>. A subframe may</w:t>
      </w:r>
      <w:r w:rsidRPr="008A3441">
        <w:rPr>
          <w:rFonts w:ascii="Times New Roman"/>
          <w:snapToGrid w:val="0"/>
          <w:sz w:val="22"/>
          <w:szCs w:val="22"/>
          <w:lang w:val="en-GB"/>
        </w:rPr>
        <w:t xml:space="preserve"> c</w:t>
      </w:r>
      <w:r w:rsidRPr="008A3441">
        <w:rPr>
          <w:rFonts w:ascii="Times New Roman" w:hint="eastAsia"/>
          <w:snapToGrid w:val="0"/>
          <w:sz w:val="22"/>
          <w:szCs w:val="22"/>
          <w:lang w:val="en-GB"/>
        </w:rPr>
        <w:t xml:space="preserve">onsist of one or multiple slots dependent </w:t>
      </w:r>
      <w:r w:rsidRPr="008A3441">
        <w:rPr>
          <w:rFonts w:ascii="Times New Roman"/>
          <w:snapToGrid w:val="0"/>
          <w:sz w:val="22"/>
          <w:szCs w:val="22"/>
          <w:lang w:val="en-GB"/>
        </w:rPr>
        <w:t>on the</w:t>
      </w:r>
      <w:r w:rsidRPr="008A3441">
        <w:rPr>
          <w:rFonts w:ascii="Times New Roman" w:hint="eastAsia"/>
          <w:snapToGrid w:val="0"/>
          <w:sz w:val="22"/>
          <w:szCs w:val="22"/>
          <w:lang w:val="en-GB"/>
        </w:rPr>
        <w:t xml:space="preserve"> subcarrier spacing. </w:t>
      </w:r>
      <w:r>
        <w:rPr>
          <w:rFonts w:ascii="Times New Roman"/>
          <w:snapToGrid w:val="0"/>
          <w:sz w:val="22"/>
          <w:szCs w:val="22"/>
          <w:lang w:val="en-GB"/>
        </w:rPr>
        <w:t>That is, for 15KHz subcarrier spacing one subframe contain</w:t>
      </w:r>
      <w:r w:rsidR="00080046">
        <w:rPr>
          <w:rFonts w:ascii="Times New Roman"/>
          <w:snapToGrid w:val="0"/>
          <w:sz w:val="22"/>
          <w:szCs w:val="22"/>
          <w:lang w:val="en-GB"/>
        </w:rPr>
        <w:t>s</w:t>
      </w:r>
      <w:r>
        <w:rPr>
          <w:rFonts w:ascii="Times New Roman"/>
          <w:snapToGrid w:val="0"/>
          <w:sz w:val="22"/>
          <w:szCs w:val="22"/>
          <w:lang w:val="en-GB"/>
        </w:rPr>
        <w:t xml:space="preserve"> only one slot, and for non-15KHz subcarrier </w:t>
      </w:r>
      <w:r w:rsidR="00080046">
        <w:rPr>
          <w:rFonts w:ascii="Times New Roman"/>
          <w:snapToGrid w:val="0"/>
          <w:sz w:val="22"/>
          <w:szCs w:val="22"/>
          <w:lang w:val="en-GB"/>
        </w:rPr>
        <w:t xml:space="preserve">there could be 2 or more slots in each subframe. Different from LTE, </w:t>
      </w:r>
      <w:r>
        <w:rPr>
          <w:rFonts w:ascii="Times New Roman"/>
          <w:snapToGrid w:val="0"/>
          <w:sz w:val="22"/>
          <w:szCs w:val="22"/>
          <w:lang w:val="en-GB"/>
        </w:rPr>
        <w:t>a</w:t>
      </w:r>
      <w:r w:rsidRPr="008A3441">
        <w:rPr>
          <w:rFonts w:ascii="Times New Roman"/>
          <w:snapToGrid w:val="0"/>
          <w:sz w:val="22"/>
          <w:szCs w:val="22"/>
          <w:lang w:val="en-GB"/>
        </w:rPr>
        <w:t xml:space="preserve"> slot </w:t>
      </w:r>
      <w:r>
        <w:rPr>
          <w:rFonts w:ascii="Times New Roman"/>
          <w:snapToGrid w:val="0"/>
          <w:sz w:val="22"/>
          <w:szCs w:val="22"/>
          <w:lang w:val="en-GB"/>
        </w:rPr>
        <w:t>may contain all DL, all UL or {at least one DL part and at least UL part}</w:t>
      </w:r>
      <w:r w:rsidR="00080046">
        <w:rPr>
          <w:rFonts w:ascii="Times New Roman"/>
          <w:snapToGrid w:val="0"/>
          <w:sz w:val="22"/>
          <w:szCs w:val="22"/>
          <w:lang w:val="en-GB"/>
        </w:rPr>
        <w:t xml:space="preserve">. For </w:t>
      </w:r>
      <w:r w:rsidR="00B03436">
        <w:rPr>
          <w:rFonts w:ascii="Times New Roman"/>
          <w:snapToGrid w:val="0"/>
          <w:sz w:val="22"/>
          <w:szCs w:val="22"/>
          <w:lang w:val="en-GB"/>
        </w:rPr>
        <w:t xml:space="preserve">the latter one, a few number of </w:t>
      </w:r>
      <w:r w:rsidR="00080046">
        <w:rPr>
          <w:rFonts w:ascii="Times New Roman"/>
          <w:snapToGrid w:val="0"/>
          <w:sz w:val="22"/>
          <w:szCs w:val="22"/>
          <w:lang w:val="en-GB"/>
        </w:rPr>
        <w:t xml:space="preserve">OFDM symbols </w:t>
      </w:r>
      <w:r w:rsidR="00B03436">
        <w:rPr>
          <w:rFonts w:ascii="Times New Roman"/>
          <w:snapToGrid w:val="0"/>
          <w:sz w:val="22"/>
          <w:szCs w:val="22"/>
          <w:lang w:val="en-GB"/>
        </w:rPr>
        <w:t xml:space="preserve">at the beginning of the </w:t>
      </w:r>
      <w:r w:rsidR="00080046">
        <w:rPr>
          <w:rFonts w:ascii="Times New Roman"/>
          <w:snapToGrid w:val="0"/>
          <w:sz w:val="22"/>
          <w:szCs w:val="22"/>
          <w:lang w:val="en-GB"/>
        </w:rPr>
        <w:t xml:space="preserve">slot </w:t>
      </w:r>
      <w:r w:rsidR="00B03436">
        <w:rPr>
          <w:rFonts w:ascii="Times New Roman"/>
          <w:snapToGrid w:val="0"/>
          <w:sz w:val="22"/>
          <w:szCs w:val="22"/>
          <w:lang w:val="en-GB"/>
        </w:rPr>
        <w:t xml:space="preserve">is used </w:t>
      </w:r>
      <w:r w:rsidR="00080046">
        <w:rPr>
          <w:rFonts w:ascii="Times New Roman"/>
          <w:snapToGrid w:val="0"/>
          <w:sz w:val="22"/>
          <w:szCs w:val="22"/>
          <w:lang w:val="en-GB"/>
        </w:rPr>
        <w:t xml:space="preserve">for DL control and </w:t>
      </w:r>
      <w:r w:rsidR="00B03436">
        <w:rPr>
          <w:rFonts w:ascii="Times New Roman"/>
          <w:snapToGrid w:val="0"/>
          <w:sz w:val="22"/>
          <w:szCs w:val="22"/>
          <w:lang w:val="en-GB"/>
        </w:rPr>
        <w:t xml:space="preserve">a few number of OFDM symbols at the end of the </w:t>
      </w:r>
      <w:r w:rsidR="00080046">
        <w:rPr>
          <w:rFonts w:ascii="Times New Roman"/>
          <w:snapToGrid w:val="0"/>
          <w:sz w:val="22"/>
          <w:szCs w:val="22"/>
          <w:lang w:val="en-GB"/>
        </w:rPr>
        <w:t xml:space="preserve">slot </w:t>
      </w:r>
      <w:r w:rsidR="00B03436">
        <w:rPr>
          <w:rFonts w:ascii="Times New Roman"/>
          <w:snapToGrid w:val="0"/>
          <w:sz w:val="22"/>
          <w:szCs w:val="22"/>
          <w:lang w:val="en-GB"/>
        </w:rPr>
        <w:t xml:space="preserve">is used </w:t>
      </w:r>
      <w:r w:rsidR="00080046">
        <w:rPr>
          <w:rFonts w:ascii="Times New Roman"/>
          <w:snapToGrid w:val="0"/>
          <w:sz w:val="22"/>
          <w:szCs w:val="22"/>
          <w:lang w:val="en-GB"/>
        </w:rPr>
        <w:t xml:space="preserve">for UL control and the other parts can be </w:t>
      </w:r>
      <w:r w:rsidR="00B03436">
        <w:rPr>
          <w:rFonts w:ascii="Times New Roman"/>
          <w:snapToGrid w:val="0"/>
          <w:sz w:val="22"/>
          <w:szCs w:val="22"/>
          <w:lang w:val="en-GB"/>
        </w:rPr>
        <w:t xml:space="preserve">configured for </w:t>
      </w:r>
      <w:r w:rsidR="00AB26A2">
        <w:rPr>
          <w:rFonts w:ascii="Times New Roman"/>
          <w:snapToGrid w:val="0"/>
          <w:sz w:val="22"/>
          <w:szCs w:val="22"/>
          <w:lang w:val="en-GB"/>
        </w:rPr>
        <w:t>DL or UL or gap</w:t>
      </w:r>
      <w:r w:rsidR="00080046">
        <w:rPr>
          <w:rFonts w:ascii="Times New Roman"/>
          <w:snapToGrid w:val="0"/>
          <w:sz w:val="22"/>
          <w:szCs w:val="22"/>
          <w:lang w:val="en-GB"/>
        </w:rPr>
        <w:t xml:space="preserve"> as shown in Figure 1 below.</w:t>
      </w:r>
      <w:r>
        <w:rPr>
          <w:rFonts w:ascii="Times New Roman"/>
          <w:snapToGrid w:val="0"/>
          <w:sz w:val="22"/>
          <w:szCs w:val="22"/>
          <w:lang w:val="en-GB"/>
        </w:rPr>
        <w:t xml:space="preserve"> </w:t>
      </w:r>
      <w:r w:rsidR="00AB26A2">
        <w:rPr>
          <w:rFonts w:ascii="Times New Roman"/>
          <w:snapToGrid w:val="0"/>
          <w:sz w:val="22"/>
          <w:szCs w:val="22"/>
          <w:lang w:val="en-GB"/>
        </w:rPr>
        <w:t xml:space="preserve">It can be seen that when </w:t>
      </w:r>
      <w:r w:rsidR="00B03436">
        <w:rPr>
          <w:rFonts w:ascii="Times New Roman"/>
          <w:snapToGrid w:val="0"/>
          <w:sz w:val="22"/>
          <w:szCs w:val="22"/>
          <w:lang w:val="en-GB"/>
        </w:rPr>
        <w:t>co-exist</w:t>
      </w:r>
      <w:r w:rsidR="00AB26A2">
        <w:rPr>
          <w:rFonts w:ascii="Times New Roman"/>
          <w:snapToGrid w:val="0"/>
          <w:sz w:val="22"/>
          <w:szCs w:val="22"/>
          <w:lang w:val="en-GB"/>
        </w:rPr>
        <w:t xml:space="preserve">ing </w:t>
      </w:r>
      <w:r w:rsidR="00B03436">
        <w:rPr>
          <w:rFonts w:ascii="Times New Roman"/>
          <w:snapToGrid w:val="0"/>
          <w:sz w:val="22"/>
          <w:szCs w:val="22"/>
          <w:lang w:val="en-GB"/>
        </w:rPr>
        <w:t xml:space="preserve">with </w:t>
      </w:r>
      <w:r w:rsidR="00104CC5">
        <w:rPr>
          <w:rFonts w:ascii="Times New Roman"/>
          <w:snapToGrid w:val="0"/>
          <w:sz w:val="22"/>
          <w:szCs w:val="22"/>
          <w:lang w:val="en-GB"/>
        </w:rPr>
        <w:t xml:space="preserve">LTE </w:t>
      </w:r>
      <w:r w:rsidR="00B03436">
        <w:rPr>
          <w:rFonts w:ascii="Times New Roman"/>
          <w:snapToGrid w:val="0"/>
          <w:sz w:val="22"/>
          <w:szCs w:val="22"/>
          <w:lang w:val="en-GB"/>
        </w:rPr>
        <w:t xml:space="preserve">eMTC/NB-IoT, </w:t>
      </w:r>
      <w:r w:rsidR="00104CC5">
        <w:rPr>
          <w:rFonts w:ascii="Times New Roman"/>
          <w:snapToGrid w:val="0"/>
          <w:sz w:val="22"/>
          <w:szCs w:val="22"/>
          <w:lang w:val="en-GB"/>
        </w:rPr>
        <w:lastRenderedPageBreak/>
        <w:t>t</w:t>
      </w:r>
      <w:r w:rsidR="00B03436">
        <w:rPr>
          <w:rFonts w:ascii="Times New Roman"/>
          <w:snapToGrid w:val="0"/>
          <w:sz w:val="22"/>
          <w:szCs w:val="22"/>
          <w:lang w:val="en-GB"/>
        </w:rPr>
        <w:t xml:space="preserve">he slot format with mixed DL/UL </w:t>
      </w:r>
      <w:r w:rsidR="00E155A2">
        <w:rPr>
          <w:rFonts w:ascii="Times New Roman"/>
          <w:snapToGrid w:val="0"/>
          <w:sz w:val="22"/>
          <w:szCs w:val="22"/>
          <w:lang w:val="en-GB"/>
        </w:rPr>
        <w:t>may</w:t>
      </w:r>
      <w:r w:rsidR="00B03436">
        <w:rPr>
          <w:rFonts w:ascii="Times New Roman"/>
          <w:snapToGrid w:val="0"/>
          <w:sz w:val="22"/>
          <w:szCs w:val="22"/>
          <w:lang w:val="en-GB"/>
        </w:rPr>
        <w:t xml:space="preserve"> not </w:t>
      </w:r>
      <w:r w:rsidR="00E155A2">
        <w:rPr>
          <w:rFonts w:ascii="Times New Roman"/>
          <w:snapToGrid w:val="0"/>
          <w:sz w:val="22"/>
          <w:szCs w:val="22"/>
          <w:lang w:val="en-GB"/>
        </w:rPr>
        <w:t xml:space="preserve">be </w:t>
      </w:r>
      <w:r w:rsidR="00B03436">
        <w:rPr>
          <w:rFonts w:ascii="Times New Roman"/>
          <w:snapToGrid w:val="0"/>
          <w:sz w:val="22"/>
          <w:szCs w:val="22"/>
          <w:lang w:val="en-GB"/>
        </w:rPr>
        <w:t xml:space="preserve">allowed to use in the subframe overlapping with eMTC/NB-IoT. This </w:t>
      </w:r>
      <w:r w:rsidR="00AB26A2">
        <w:rPr>
          <w:rFonts w:ascii="Times New Roman"/>
          <w:snapToGrid w:val="0"/>
          <w:sz w:val="22"/>
          <w:szCs w:val="22"/>
          <w:lang w:val="en-GB"/>
        </w:rPr>
        <w:t xml:space="preserve">would </w:t>
      </w:r>
      <w:r w:rsidR="00E155A2">
        <w:rPr>
          <w:rFonts w:ascii="Times New Roman"/>
          <w:snapToGrid w:val="0"/>
          <w:sz w:val="22"/>
          <w:szCs w:val="22"/>
          <w:lang w:val="en-GB"/>
        </w:rPr>
        <w:t xml:space="preserve">limit the flexibility for NR </w:t>
      </w:r>
      <w:r w:rsidR="00AB26A2">
        <w:rPr>
          <w:rFonts w:ascii="Times New Roman"/>
          <w:snapToGrid w:val="0"/>
          <w:sz w:val="22"/>
          <w:szCs w:val="22"/>
          <w:lang w:val="en-GB"/>
        </w:rPr>
        <w:t>on</w:t>
      </w:r>
      <w:r w:rsidR="00E155A2">
        <w:rPr>
          <w:rFonts w:ascii="Times New Roman"/>
          <w:snapToGrid w:val="0"/>
          <w:sz w:val="22"/>
          <w:szCs w:val="22"/>
          <w:lang w:val="en-GB"/>
        </w:rPr>
        <w:t xml:space="preserve"> dynamic chang</w:t>
      </w:r>
      <w:r w:rsidR="00AB26A2">
        <w:rPr>
          <w:rFonts w:ascii="Times New Roman"/>
          <w:snapToGrid w:val="0"/>
          <w:sz w:val="22"/>
          <w:szCs w:val="22"/>
          <w:lang w:val="en-GB"/>
        </w:rPr>
        <w:t>ing</w:t>
      </w:r>
      <w:r w:rsidR="00E155A2">
        <w:rPr>
          <w:rFonts w:ascii="Times New Roman"/>
          <w:snapToGrid w:val="0"/>
          <w:sz w:val="22"/>
          <w:szCs w:val="22"/>
          <w:lang w:val="en-GB"/>
        </w:rPr>
        <w:t xml:space="preserve"> the slot formats based on traffic and latency requirements </w:t>
      </w:r>
      <w:r w:rsidR="00B03436">
        <w:rPr>
          <w:rFonts w:ascii="Times New Roman"/>
          <w:snapToGrid w:val="0"/>
          <w:sz w:val="22"/>
          <w:szCs w:val="22"/>
          <w:lang w:val="en-GB"/>
        </w:rPr>
        <w:t xml:space="preserve">especially </w:t>
      </w:r>
      <w:r w:rsidR="00E155A2">
        <w:rPr>
          <w:rFonts w:ascii="Times New Roman"/>
          <w:snapToGrid w:val="0"/>
          <w:sz w:val="22"/>
          <w:szCs w:val="22"/>
          <w:lang w:val="en-GB"/>
        </w:rPr>
        <w:t xml:space="preserve">when </w:t>
      </w:r>
      <w:r w:rsidR="00B03436">
        <w:rPr>
          <w:rFonts w:ascii="Times New Roman"/>
          <w:snapToGrid w:val="0"/>
          <w:sz w:val="22"/>
          <w:szCs w:val="22"/>
          <w:lang w:val="en-GB"/>
        </w:rPr>
        <w:t>the NR bandwidth</w:t>
      </w:r>
      <w:r w:rsidR="00104CC5">
        <w:rPr>
          <w:rFonts w:ascii="Times New Roman"/>
          <w:snapToGrid w:val="0"/>
          <w:sz w:val="22"/>
          <w:szCs w:val="22"/>
          <w:lang w:val="en-GB"/>
        </w:rPr>
        <w:t xml:space="preserve"> is </w:t>
      </w:r>
      <w:r w:rsidR="007168DB">
        <w:rPr>
          <w:rFonts w:ascii="Times New Roman"/>
          <w:snapToGrid w:val="0"/>
          <w:sz w:val="22"/>
          <w:szCs w:val="22"/>
          <w:lang w:val="en-GB"/>
        </w:rPr>
        <w:t xml:space="preserve">sufficiently </w:t>
      </w:r>
      <w:r w:rsidR="00104CC5">
        <w:rPr>
          <w:rFonts w:ascii="Times New Roman"/>
          <w:snapToGrid w:val="0"/>
          <w:sz w:val="22"/>
          <w:szCs w:val="22"/>
          <w:lang w:val="en-GB"/>
        </w:rPr>
        <w:t xml:space="preserve">large and the eMTC/NB-IoT in-band carrier is relatively small. </w:t>
      </w:r>
      <w:r w:rsidR="00B03436">
        <w:rPr>
          <w:rFonts w:ascii="Times New Roman"/>
          <w:snapToGrid w:val="0"/>
          <w:sz w:val="22"/>
          <w:szCs w:val="22"/>
          <w:lang w:val="en-GB"/>
        </w:rPr>
        <w:t xml:space="preserve">  </w:t>
      </w:r>
    </w:p>
    <w:p w14:paraId="56FF584F" w14:textId="7DA445B1" w:rsidR="008A3441" w:rsidRDefault="00104CC5" w:rsidP="00080046">
      <w:pPr>
        <w:pStyle w:val="LGTdoc1"/>
        <w:spacing w:beforeLines="0" w:before="120" w:after="220" w:afterAutospacing="0"/>
        <w:jc w:val="center"/>
      </w:pPr>
      <w:r>
        <w:object w:dxaOrig="7125" w:dyaOrig="1359" w14:anchorId="395B4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67.95pt" o:ole="">
            <v:imagedata r:id="rId14" o:title=""/>
          </v:shape>
          <o:OLEObject Type="Embed" ProgID="Visio.Drawing.11" ShapeID="_x0000_i1025" DrawAspect="Content" ObjectID="_1568239773" r:id="rId15"/>
        </w:object>
      </w:r>
    </w:p>
    <w:p w14:paraId="4E98AE1C" w14:textId="35860324" w:rsidR="00080046" w:rsidRPr="00080046" w:rsidRDefault="00080046" w:rsidP="00080046">
      <w:pPr>
        <w:pStyle w:val="LGTdoc1"/>
        <w:spacing w:beforeLines="0" w:before="120" w:after="220" w:afterAutospacing="0"/>
        <w:jc w:val="center"/>
        <w:rPr>
          <w:b w:val="0"/>
          <w:kern w:val="2"/>
          <w:sz w:val="22"/>
          <w:szCs w:val="22"/>
        </w:rPr>
      </w:pPr>
      <w:r w:rsidRPr="00080046">
        <w:rPr>
          <w:b w:val="0"/>
          <w:kern w:val="2"/>
          <w:sz w:val="22"/>
          <w:szCs w:val="22"/>
        </w:rPr>
        <w:t xml:space="preserve">Figure 1: </w:t>
      </w:r>
      <w:r>
        <w:rPr>
          <w:b w:val="0"/>
          <w:kern w:val="2"/>
          <w:sz w:val="22"/>
          <w:szCs w:val="22"/>
        </w:rPr>
        <w:t>Example of different slot formats in NR</w:t>
      </w:r>
    </w:p>
    <w:p w14:paraId="7ED86A64" w14:textId="47364D83" w:rsidR="00B03436" w:rsidRPr="0068319D" w:rsidRDefault="00B03436" w:rsidP="00B03436">
      <w:pPr>
        <w:pStyle w:val="LGTdoc1"/>
        <w:spacing w:beforeLines="0" w:before="120" w:after="220" w:afterAutospacing="0"/>
        <w:rPr>
          <w:sz w:val="22"/>
          <w:szCs w:val="22"/>
        </w:rPr>
      </w:pPr>
      <w:r>
        <w:rPr>
          <w:sz w:val="22"/>
          <w:szCs w:val="22"/>
          <w:u w:val="single"/>
        </w:rPr>
        <w:t>Observation 2</w:t>
      </w:r>
      <w:r w:rsidRPr="0068319D">
        <w:rPr>
          <w:sz w:val="22"/>
          <w:szCs w:val="22"/>
          <w:u w:val="single"/>
        </w:rPr>
        <w:t>:</w:t>
      </w:r>
      <w:r w:rsidRPr="0068319D">
        <w:rPr>
          <w:sz w:val="22"/>
          <w:szCs w:val="22"/>
        </w:rPr>
        <w:t xml:space="preserve"> </w:t>
      </w:r>
      <w:r>
        <w:rPr>
          <w:sz w:val="22"/>
          <w:szCs w:val="22"/>
        </w:rPr>
        <w:t>The</w:t>
      </w:r>
      <w:r w:rsidR="00AB26A2">
        <w:rPr>
          <w:sz w:val="22"/>
          <w:szCs w:val="22"/>
        </w:rPr>
        <w:t>re is a restriction on the applied slot format when multiplexing eMTC/NB-IOT and NR in the same subframe</w:t>
      </w:r>
      <w:r>
        <w:rPr>
          <w:sz w:val="22"/>
          <w:szCs w:val="22"/>
        </w:rPr>
        <w:t xml:space="preserve">. </w:t>
      </w:r>
    </w:p>
    <w:p w14:paraId="27AF986D" w14:textId="70C32A86" w:rsidR="00AB26A2" w:rsidRPr="008A3441" w:rsidRDefault="00AB26A2" w:rsidP="00AB26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For NB-IoT TDD, since it is developed from scratch </w:t>
      </w:r>
      <w:r w:rsidR="00FB51F0">
        <w:rPr>
          <w:rFonts w:ascii="Times New Roman"/>
          <w:snapToGrid w:val="0"/>
          <w:sz w:val="22"/>
          <w:szCs w:val="22"/>
          <w:lang w:val="en-GB"/>
        </w:rPr>
        <w:t xml:space="preserve">in Rel-15 </w:t>
      </w:r>
      <w:r>
        <w:rPr>
          <w:rFonts w:ascii="Times New Roman"/>
          <w:snapToGrid w:val="0"/>
          <w:sz w:val="22"/>
          <w:szCs w:val="22"/>
          <w:lang w:val="en-GB"/>
        </w:rPr>
        <w:t xml:space="preserve">it is possible to introduce some mechanisms </w:t>
      </w:r>
      <w:r w:rsidR="001D24D3">
        <w:rPr>
          <w:rFonts w:ascii="Times New Roman"/>
          <w:snapToGrid w:val="0"/>
          <w:sz w:val="22"/>
          <w:szCs w:val="22"/>
          <w:lang w:val="en-GB"/>
        </w:rPr>
        <w:t xml:space="preserve">to enable general forward compatibility and </w:t>
      </w:r>
      <w:r w:rsidR="001D24D3" w:rsidRPr="001D24D3">
        <w:rPr>
          <w:rFonts w:ascii="Times New Roman"/>
          <w:snapToGrid w:val="0"/>
          <w:sz w:val="22"/>
          <w:szCs w:val="22"/>
          <w:lang w:val="en-GB"/>
        </w:rPr>
        <w:t>facilitate</w:t>
      </w:r>
      <w:r w:rsidR="001D24D3">
        <w:rPr>
          <w:rFonts w:ascii="Times New Roman"/>
          <w:snapToGrid w:val="0"/>
          <w:sz w:val="22"/>
          <w:szCs w:val="22"/>
          <w:lang w:val="en-GB"/>
        </w:rPr>
        <w:t xml:space="preserve"> good coexistence with NR without breaking NR key features. The concept of reserved resources can also be considered for NB-IoT TDD to ensure good coexistence with NR. </w:t>
      </w:r>
      <w:r w:rsidR="009F32EB">
        <w:rPr>
          <w:rFonts w:ascii="Times New Roman"/>
          <w:snapToGrid w:val="0"/>
          <w:sz w:val="22"/>
          <w:szCs w:val="22"/>
          <w:lang w:val="en-GB"/>
        </w:rPr>
        <w:t xml:space="preserve">The reserved resources can be configured on per-OFDM symbol basis. </w:t>
      </w:r>
      <w:r w:rsidR="001D24D3">
        <w:rPr>
          <w:rFonts w:ascii="Times New Roman"/>
          <w:snapToGrid w:val="0"/>
          <w:sz w:val="22"/>
          <w:szCs w:val="22"/>
          <w:lang w:val="en-GB"/>
        </w:rPr>
        <w:t xml:space="preserve">Simply speaking, for DL subframes, the resources overlapping with NR UL control region could be </w:t>
      </w:r>
      <w:r w:rsidR="00FB51F0">
        <w:rPr>
          <w:rFonts w:ascii="Times New Roman"/>
          <w:snapToGrid w:val="0"/>
          <w:sz w:val="22"/>
          <w:szCs w:val="22"/>
          <w:lang w:val="en-GB"/>
        </w:rPr>
        <w:t xml:space="preserve">semi-statically </w:t>
      </w:r>
      <w:r w:rsidR="001D24D3">
        <w:rPr>
          <w:rFonts w:ascii="Times New Roman"/>
          <w:snapToGrid w:val="0"/>
          <w:sz w:val="22"/>
          <w:szCs w:val="22"/>
          <w:lang w:val="en-GB"/>
        </w:rPr>
        <w:t>configured as reserved resources for NB-IoT TDD thus allowing for symbol level blanking. Similarly</w:t>
      </w:r>
      <w:r w:rsidR="009F32EB">
        <w:rPr>
          <w:rFonts w:ascii="Times New Roman"/>
          <w:snapToGrid w:val="0"/>
          <w:sz w:val="22"/>
          <w:szCs w:val="22"/>
          <w:lang w:val="en-GB"/>
        </w:rPr>
        <w:t>,</w:t>
      </w:r>
      <w:r w:rsidR="001D24D3">
        <w:rPr>
          <w:rFonts w:ascii="Times New Roman"/>
          <w:snapToGrid w:val="0"/>
          <w:sz w:val="22"/>
          <w:szCs w:val="22"/>
          <w:lang w:val="en-GB"/>
        </w:rPr>
        <w:t xml:space="preserve"> for UL subframes the </w:t>
      </w:r>
      <w:r w:rsidR="009F32EB">
        <w:rPr>
          <w:rFonts w:ascii="Times New Roman"/>
          <w:snapToGrid w:val="0"/>
          <w:sz w:val="22"/>
          <w:szCs w:val="22"/>
          <w:lang w:val="en-GB"/>
        </w:rPr>
        <w:t>symbols</w:t>
      </w:r>
      <w:r w:rsidR="001D24D3">
        <w:rPr>
          <w:rFonts w:ascii="Times New Roman"/>
          <w:snapToGrid w:val="0"/>
          <w:sz w:val="22"/>
          <w:szCs w:val="22"/>
          <w:lang w:val="en-GB"/>
        </w:rPr>
        <w:t xml:space="preserve"> overlapping with NR DL control region can be configured as reserved resources </w:t>
      </w:r>
      <w:r w:rsidR="009F32EB">
        <w:rPr>
          <w:rFonts w:ascii="Times New Roman"/>
          <w:snapToGrid w:val="0"/>
          <w:sz w:val="22"/>
          <w:szCs w:val="22"/>
          <w:lang w:val="en-GB"/>
        </w:rPr>
        <w:t xml:space="preserve">to be not transmitted </w:t>
      </w:r>
      <w:r w:rsidR="001D24D3">
        <w:rPr>
          <w:rFonts w:ascii="Times New Roman"/>
          <w:snapToGrid w:val="0"/>
          <w:sz w:val="22"/>
          <w:szCs w:val="22"/>
          <w:lang w:val="en-GB"/>
        </w:rPr>
        <w:t>for NB-IoT TDD</w:t>
      </w:r>
      <w:r w:rsidR="009F32EB">
        <w:rPr>
          <w:rFonts w:ascii="Times New Roman"/>
          <w:snapToGrid w:val="0"/>
          <w:sz w:val="22"/>
          <w:szCs w:val="22"/>
          <w:lang w:val="en-GB"/>
        </w:rPr>
        <w:t xml:space="preserve">. Alternatively, we can extend the special subframe configuration to normal DL and UL subframe. </w:t>
      </w:r>
      <w:r w:rsidR="007168DB">
        <w:rPr>
          <w:rFonts w:ascii="Times New Roman"/>
          <w:snapToGrid w:val="0"/>
          <w:sz w:val="22"/>
          <w:szCs w:val="22"/>
          <w:lang w:val="en-GB"/>
        </w:rPr>
        <w:t>A</w:t>
      </w:r>
      <w:r w:rsidR="009F32EB">
        <w:rPr>
          <w:rFonts w:ascii="Times New Roman"/>
          <w:snapToGrid w:val="0"/>
          <w:sz w:val="22"/>
          <w:szCs w:val="22"/>
          <w:lang w:val="en-GB"/>
        </w:rPr>
        <w:t xml:space="preserve">ny subframe in NB-IoT TDD can be configured as special subframe to support </w:t>
      </w:r>
      <w:r w:rsidR="007168DB">
        <w:rPr>
          <w:rFonts w:ascii="Times New Roman"/>
          <w:snapToGrid w:val="0"/>
          <w:sz w:val="22"/>
          <w:szCs w:val="22"/>
          <w:lang w:val="en-GB"/>
        </w:rPr>
        <w:t xml:space="preserve">inband with </w:t>
      </w:r>
      <w:r w:rsidR="009F32EB">
        <w:rPr>
          <w:rFonts w:ascii="Times New Roman"/>
          <w:snapToGrid w:val="0"/>
          <w:sz w:val="22"/>
          <w:szCs w:val="22"/>
          <w:lang w:val="en-GB"/>
        </w:rPr>
        <w:t>NR</w:t>
      </w:r>
      <w:r w:rsidR="007168DB">
        <w:rPr>
          <w:rFonts w:ascii="Times New Roman"/>
          <w:snapToGrid w:val="0"/>
          <w:sz w:val="22"/>
          <w:szCs w:val="22"/>
          <w:lang w:val="en-GB"/>
        </w:rPr>
        <w:t xml:space="preserve"> frame structure</w:t>
      </w:r>
      <w:r w:rsidR="009F32EB">
        <w:rPr>
          <w:rFonts w:ascii="Times New Roman"/>
          <w:snapToGrid w:val="0"/>
          <w:sz w:val="22"/>
          <w:szCs w:val="22"/>
          <w:lang w:val="en-GB"/>
        </w:rPr>
        <w:t xml:space="preserve">.  </w:t>
      </w:r>
    </w:p>
    <w:p w14:paraId="11A84469" w14:textId="03EDC4D0" w:rsidR="00FE4911" w:rsidRPr="0068319D" w:rsidRDefault="00AD6C0B" w:rsidP="00FE4911">
      <w:pPr>
        <w:pStyle w:val="LGTdoc1"/>
        <w:spacing w:beforeLines="0" w:before="120" w:after="220" w:afterAutospacing="0"/>
        <w:rPr>
          <w:sz w:val="22"/>
          <w:szCs w:val="22"/>
        </w:rPr>
      </w:pPr>
      <w:r>
        <w:rPr>
          <w:sz w:val="22"/>
          <w:szCs w:val="22"/>
          <w:u w:val="single"/>
        </w:rPr>
        <w:t>Proposal 1</w:t>
      </w:r>
      <w:r w:rsidR="0068319D" w:rsidRPr="0068319D">
        <w:rPr>
          <w:sz w:val="22"/>
          <w:szCs w:val="22"/>
          <w:u w:val="single"/>
        </w:rPr>
        <w:t>:</w:t>
      </w:r>
      <w:r w:rsidR="0068319D" w:rsidRPr="0068319D">
        <w:rPr>
          <w:sz w:val="22"/>
          <w:szCs w:val="22"/>
        </w:rPr>
        <w:t xml:space="preserve"> </w:t>
      </w:r>
      <w:r w:rsidR="007168DB">
        <w:rPr>
          <w:sz w:val="22"/>
          <w:szCs w:val="22"/>
        </w:rPr>
        <w:t xml:space="preserve">The design of </w:t>
      </w:r>
      <w:r w:rsidR="009F32EB">
        <w:rPr>
          <w:sz w:val="22"/>
          <w:szCs w:val="22"/>
        </w:rPr>
        <w:t xml:space="preserve">NB-IoT TDD shall </w:t>
      </w:r>
      <w:r w:rsidR="007168DB">
        <w:rPr>
          <w:sz w:val="22"/>
          <w:szCs w:val="22"/>
        </w:rPr>
        <w:t>consider forward compatibility to support inband with NR frame structure</w:t>
      </w:r>
      <w:r w:rsidR="00FB51F0">
        <w:rPr>
          <w:sz w:val="22"/>
          <w:szCs w:val="22"/>
        </w:rPr>
        <w:t xml:space="preserve"> by the use of reserved resources (e.g. symbol level)</w:t>
      </w:r>
      <w:r w:rsidR="007168DB">
        <w:rPr>
          <w:sz w:val="22"/>
          <w:szCs w:val="22"/>
        </w:rPr>
        <w:t xml:space="preserve">. </w:t>
      </w:r>
      <w:r w:rsidR="00824C4F">
        <w:rPr>
          <w:sz w:val="22"/>
          <w:szCs w:val="22"/>
        </w:rPr>
        <w:t xml:space="preserve"> </w:t>
      </w:r>
    </w:p>
    <w:p w14:paraId="0AE73D74" w14:textId="259A1117"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069C3500" w:rsidR="001A1BF8" w:rsidRPr="001A1BF8" w:rsidRDefault="007168DB" w:rsidP="00A4397C">
      <w:pPr>
        <w:pStyle w:val="LGTdoc1"/>
        <w:spacing w:beforeLines="0" w:before="120" w:after="220" w:afterAutospacing="0"/>
        <w:rPr>
          <w:b w:val="0"/>
          <w:sz w:val="22"/>
          <w:szCs w:val="22"/>
        </w:rPr>
      </w:pPr>
      <w:r>
        <w:rPr>
          <w:b w:val="0"/>
          <w:sz w:val="22"/>
          <w:szCs w:val="22"/>
        </w:rPr>
        <w:t xml:space="preserve">In this contribution, we presented our views on coexistence </w:t>
      </w:r>
      <w:r w:rsidR="00516EEE">
        <w:rPr>
          <w:b w:val="0"/>
          <w:sz w:val="22"/>
          <w:szCs w:val="22"/>
        </w:rPr>
        <w:t xml:space="preserve">between NB-IoT TDD and </w:t>
      </w:r>
      <w:r>
        <w:rPr>
          <w:b w:val="0"/>
          <w:sz w:val="22"/>
          <w:szCs w:val="22"/>
        </w:rPr>
        <w:t>with NR. We made the following observations and proposals</w:t>
      </w:r>
      <w:r w:rsidR="00720702">
        <w:rPr>
          <w:b w:val="0"/>
          <w:sz w:val="22"/>
          <w:szCs w:val="22"/>
        </w:rPr>
        <w:t>.</w:t>
      </w:r>
    </w:p>
    <w:p w14:paraId="1BCD4E6D" w14:textId="77777777" w:rsidR="007168DB" w:rsidRPr="0068319D" w:rsidRDefault="007168DB" w:rsidP="007168DB">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concept of reserved resources for supporting for coexistence with eMTC/NB-IoT is mainly considered from NR perspective. </w:t>
      </w:r>
    </w:p>
    <w:p w14:paraId="5201D027" w14:textId="77777777" w:rsidR="007168DB" w:rsidRPr="0068319D" w:rsidRDefault="007168DB" w:rsidP="007168DB">
      <w:pPr>
        <w:pStyle w:val="LGTdoc1"/>
        <w:spacing w:beforeLines="0" w:before="120" w:after="220" w:afterAutospacing="0"/>
        <w:rPr>
          <w:sz w:val="22"/>
          <w:szCs w:val="22"/>
        </w:rPr>
      </w:pPr>
      <w:r>
        <w:rPr>
          <w:sz w:val="22"/>
          <w:szCs w:val="22"/>
          <w:u w:val="single"/>
        </w:rPr>
        <w:t>Observation 2</w:t>
      </w:r>
      <w:r w:rsidRPr="0068319D">
        <w:rPr>
          <w:sz w:val="22"/>
          <w:szCs w:val="22"/>
          <w:u w:val="single"/>
        </w:rPr>
        <w:t>:</w:t>
      </w:r>
      <w:r w:rsidRPr="0068319D">
        <w:rPr>
          <w:sz w:val="22"/>
          <w:szCs w:val="22"/>
        </w:rPr>
        <w:t xml:space="preserve"> </w:t>
      </w:r>
      <w:r>
        <w:rPr>
          <w:sz w:val="22"/>
          <w:szCs w:val="22"/>
        </w:rPr>
        <w:t xml:space="preserve">There is a restriction on the applied slot format when multiplexing eMTC/NB-IOT and NR in the same subframe. </w:t>
      </w:r>
    </w:p>
    <w:p w14:paraId="1D9889C6" w14:textId="3BDE171F" w:rsidR="007168DB" w:rsidRPr="0068319D" w:rsidRDefault="007168DB" w:rsidP="007168DB">
      <w:pPr>
        <w:pStyle w:val="LGTdoc1"/>
        <w:spacing w:beforeLines="0" w:before="120" w:after="2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Pr>
          <w:sz w:val="22"/>
          <w:szCs w:val="22"/>
        </w:rPr>
        <w:t>The design of NB-IoT TDD shall consider forward compatibility to support inband with NR frame structure</w:t>
      </w:r>
      <w:r w:rsidR="00FB51F0">
        <w:rPr>
          <w:sz w:val="22"/>
          <w:szCs w:val="22"/>
        </w:rPr>
        <w:t xml:space="preserve"> by the use of reserved resources (e.g. symbol level). </w:t>
      </w:r>
      <w:r>
        <w:rPr>
          <w:sz w:val="22"/>
          <w:szCs w:val="22"/>
        </w:rPr>
        <w:t xml:space="preserve">  </w:t>
      </w:r>
    </w:p>
    <w:p w14:paraId="07FD1FB0" w14:textId="77777777" w:rsidR="00AD6C0B" w:rsidRPr="007168D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6F766188" w14:textId="77777777" w:rsidR="00907F58" w:rsidRPr="00907F58" w:rsidRDefault="00907F58" w:rsidP="00907F58">
      <w:pPr>
        <w:pStyle w:val="LGTdoc1"/>
        <w:spacing w:before="120" w:after="220"/>
        <w:rPr>
          <w:b w:val="0"/>
          <w:sz w:val="22"/>
          <w:szCs w:val="22"/>
        </w:rPr>
      </w:pPr>
      <w:r w:rsidRPr="00907F58">
        <w:rPr>
          <w:b w:val="0"/>
          <w:sz w:val="22"/>
          <w:szCs w:val="22"/>
        </w:rPr>
        <w:t>[1] RP-171428, “Revised WID on further NB-IoT enhancements”, Huawei, HiSilicon, 3GPP RAN#76 meeting, West Palm Beach, USA, June 5-8, 2017</w:t>
      </w:r>
    </w:p>
    <w:p w14:paraId="1BDA72C3" w14:textId="171BB9FC" w:rsidR="00824C4F" w:rsidRDefault="00824C4F" w:rsidP="00907F58">
      <w:pPr>
        <w:pStyle w:val="LGTdoc1"/>
        <w:spacing w:before="120" w:after="220"/>
        <w:rPr>
          <w:b w:val="0"/>
          <w:sz w:val="22"/>
          <w:szCs w:val="22"/>
        </w:rPr>
      </w:pPr>
      <w:r w:rsidRPr="00824C4F">
        <w:rPr>
          <w:b w:val="0"/>
          <w:sz w:val="22"/>
          <w:szCs w:val="22"/>
        </w:rPr>
        <w:t>[2] R1-17</w:t>
      </w:r>
      <w:r w:rsidR="005D6313">
        <w:rPr>
          <w:b w:val="0"/>
          <w:sz w:val="22"/>
          <w:szCs w:val="22"/>
        </w:rPr>
        <w:t>1</w:t>
      </w:r>
      <w:r w:rsidRPr="00824C4F">
        <w:rPr>
          <w:b w:val="0"/>
          <w:sz w:val="22"/>
          <w:szCs w:val="22"/>
        </w:rPr>
        <w:t>0</w:t>
      </w:r>
      <w:r w:rsidR="005D6313">
        <w:rPr>
          <w:b w:val="0"/>
          <w:sz w:val="22"/>
          <w:szCs w:val="22"/>
        </w:rPr>
        <w:t>912</w:t>
      </w:r>
      <w:r w:rsidRPr="00824C4F">
        <w:rPr>
          <w:b w:val="0"/>
          <w:sz w:val="22"/>
          <w:szCs w:val="22"/>
        </w:rPr>
        <w:t>, “</w:t>
      </w:r>
      <w:r w:rsidR="005D6313">
        <w:rPr>
          <w:b w:val="0"/>
          <w:sz w:val="22"/>
          <w:szCs w:val="22"/>
        </w:rPr>
        <w:t>Reserved resources supporting NR co-existence with LTE and NB-IoT</w:t>
      </w:r>
      <w:r w:rsidRPr="00824C4F">
        <w:rPr>
          <w:b w:val="0"/>
          <w:sz w:val="22"/>
          <w:szCs w:val="22"/>
        </w:rPr>
        <w:t>”,</w:t>
      </w:r>
      <w:r>
        <w:rPr>
          <w:b w:val="0"/>
          <w:sz w:val="22"/>
          <w:szCs w:val="22"/>
        </w:rPr>
        <w:t xml:space="preserve"> </w:t>
      </w:r>
      <w:r w:rsidR="005D6313">
        <w:rPr>
          <w:b w:val="0"/>
          <w:sz w:val="22"/>
          <w:szCs w:val="22"/>
        </w:rPr>
        <w:t xml:space="preserve">Ericsson, </w:t>
      </w:r>
      <w:r w:rsidRPr="00824C4F">
        <w:rPr>
          <w:b w:val="0"/>
          <w:sz w:val="22"/>
          <w:szCs w:val="22"/>
        </w:rPr>
        <w:t>RAN1</w:t>
      </w:r>
      <w:r w:rsidR="005D6313">
        <w:rPr>
          <w:b w:val="0"/>
          <w:sz w:val="22"/>
          <w:szCs w:val="22"/>
        </w:rPr>
        <w:t xml:space="preserve"> NR-Ad-Hoc</w:t>
      </w:r>
      <w:r w:rsidRPr="00824C4F">
        <w:rPr>
          <w:b w:val="0"/>
          <w:sz w:val="22"/>
          <w:szCs w:val="22"/>
        </w:rPr>
        <w:t>#</w:t>
      </w:r>
      <w:r w:rsidR="005D6313">
        <w:rPr>
          <w:b w:val="0"/>
          <w:sz w:val="22"/>
          <w:szCs w:val="22"/>
        </w:rPr>
        <w:t>2</w:t>
      </w:r>
      <w:r w:rsidRPr="00824C4F">
        <w:rPr>
          <w:b w:val="0"/>
          <w:sz w:val="22"/>
          <w:szCs w:val="22"/>
        </w:rPr>
        <w:t xml:space="preserve">, </w:t>
      </w:r>
      <w:r w:rsidR="005D6313">
        <w:rPr>
          <w:b w:val="0"/>
          <w:sz w:val="22"/>
          <w:szCs w:val="22"/>
        </w:rPr>
        <w:t>Qingdao, PR China</w:t>
      </w:r>
      <w:r w:rsidRPr="00824C4F">
        <w:rPr>
          <w:b w:val="0"/>
          <w:sz w:val="22"/>
          <w:szCs w:val="22"/>
        </w:rPr>
        <w:t xml:space="preserve">, </w:t>
      </w:r>
      <w:r w:rsidR="005D6313">
        <w:rPr>
          <w:b w:val="0"/>
          <w:sz w:val="22"/>
          <w:szCs w:val="22"/>
        </w:rPr>
        <w:t>27-30 June</w:t>
      </w:r>
      <w:r w:rsidRPr="00824C4F">
        <w:rPr>
          <w:b w:val="0"/>
          <w:sz w:val="22"/>
          <w:szCs w:val="22"/>
        </w:rPr>
        <w:t>,</w:t>
      </w:r>
      <w:r w:rsidR="005D6313">
        <w:rPr>
          <w:b w:val="0"/>
          <w:sz w:val="22"/>
          <w:szCs w:val="22"/>
        </w:rPr>
        <w:t xml:space="preserve"> </w:t>
      </w:r>
      <w:r w:rsidRPr="00824C4F">
        <w:rPr>
          <w:b w:val="0"/>
          <w:sz w:val="22"/>
          <w:szCs w:val="22"/>
        </w:rPr>
        <w:t>2017.</w:t>
      </w:r>
    </w:p>
    <w:p w14:paraId="3E0C7EF7" w14:textId="6DA4BCE9" w:rsidR="005D6313" w:rsidRDefault="005D6313" w:rsidP="005D6313">
      <w:pPr>
        <w:pStyle w:val="LGTdoc1"/>
        <w:spacing w:before="120" w:after="220"/>
        <w:rPr>
          <w:b w:val="0"/>
          <w:sz w:val="22"/>
          <w:szCs w:val="22"/>
        </w:rPr>
      </w:pPr>
      <w:r w:rsidRPr="00824C4F">
        <w:rPr>
          <w:b w:val="0"/>
          <w:sz w:val="22"/>
          <w:szCs w:val="22"/>
        </w:rPr>
        <w:t>[</w:t>
      </w:r>
      <w:r>
        <w:rPr>
          <w:b w:val="0"/>
          <w:sz w:val="22"/>
          <w:szCs w:val="22"/>
        </w:rPr>
        <w:t>3</w:t>
      </w:r>
      <w:r w:rsidRPr="00824C4F">
        <w:rPr>
          <w:b w:val="0"/>
          <w:sz w:val="22"/>
          <w:szCs w:val="22"/>
        </w:rPr>
        <w:t>] R1-17</w:t>
      </w:r>
      <w:r>
        <w:rPr>
          <w:b w:val="0"/>
          <w:sz w:val="22"/>
          <w:szCs w:val="22"/>
        </w:rPr>
        <w:t>16252</w:t>
      </w:r>
      <w:r w:rsidRPr="00824C4F">
        <w:rPr>
          <w:b w:val="0"/>
          <w:sz w:val="22"/>
          <w:szCs w:val="22"/>
        </w:rPr>
        <w:t>, “</w:t>
      </w:r>
      <w:r>
        <w:rPr>
          <w:b w:val="0"/>
          <w:sz w:val="22"/>
          <w:szCs w:val="22"/>
        </w:rPr>
        <w:t>NR coexistence with eMTC</w:t>
      </w:r>
      <w:r w:rsidRPr="00824C4F">
        <w:rPr>
          <w:b w:val="0"/>
          <w:sz w:val="22"/>
          <w:szCs w:val="22"/>
        </w:rPr>
        <w:t>”,</w:t>
      </w:r>
      <w:r>
        <w:rPr>
          <w:b w:val="0"/>
          <w:sz w:val="22"/>
          <w:szCs w:val="22"/>
        </w:rPr>
        <w:t xml:space="preserve"> Sony, </w:t>
      </w:r>
      <w:r w:rsidRPr="00824C4F">
        <w:rPr>
          <w:b w:val="0"/>
          <w:sz w:val="22"/>
          <w:szCs w:val="22"/>
        </w:rPr>
        <w:t>RAN1</w:t>
      </w:r>
      <w:r>
        <w:rPr>
          <w:b w:val="0"/>
          <w:sz w:val="22"/>
          <w:szCs w:val="22"/>
        </w:rPr>
        <w:t xml:space="preserve"> NR-Ad-Hoc</w:t>
      </w:r>
      <w:r w:rsidRPr="00824C4F">
        <w:rPr>
          <w:b w:val="0"/>
          <w:sz w:val="22"/>
          <w:szCs w:val="22"/>
        </w:rPr>
        <w:t>#</w:t>
      </w:r>
      <w:r>
        <w:rPr>
          <w:b w:val="0"/>
          <w:sz w:val="22"/>
          <w:szCs w:val="22"/>
        </w:rPr>
        <w:t>3</w:t>
      </w:r>
      <w:r w:rsidRPr="00824C4F">
        <w:rPr>
          <w:b w:val="0"/>
          <w:sz w:val="22"/>
          <w:szCs w:val="22"/>
        </w:rPr>
        <w:t xml:space="preserve">, </w:t>
      </w:r>
      <w:r>
        <w:rPr>
          <w:b w:val="0"/>
          <w:sz w:val="22"/>
          <w:szCs w:val="22"/>
        </w:rPr>
        <w:t>Nagoya, Japan</w:t>
      </w:r>
      <w:r w:rsidRPr="00824C4F">
        <w:rPr>
          <w:b w:val="0"/>
          <w:sz w:val="22"/>
          <w:szCs w:val="22"/>
        </w:rPr>
        <w:t xml:space="preserve">, </w:t>
      </w:r>
      <w:r>
        <w:rPr>
          <w:b w:val="0"/>
          <w:sz w:val="22"/>
          <w:szCs w:val="22"/>
        </w:rPr>
        <w:t>18-21 September</w:t>
      </w:r>
      <w:r w:rsidRPr="00824C4F">
        <w:rPr>
          <w:b w:val="0"/>
          <w:sz w:val="22"/>
          <w:szCs w:val="22"/>
        </w:rPr>
        <w:t>,</w:t>
      </w:r>
      <w:r>
        <w:rPr>
          <w:b w:val="0"/>
          <w:sz w:val="22"/>
          <w:szCs w:val="22"/>
        </w:rPr>
        <w:t xml:space="preserve"> </w:t>
      </w:r>
      <w:r w:rsidRPr="00824C4F">
        <w:rPr>
          <w:b w:val="0"/>
          <w:sz w:val="22"/>
          <w:szCs w:val="22"/>
        </w:rPr>
        <w:t>2017.</w:t>
      </w:r>
    </w:p>
    <w:p w14:paraId="407EF13A" w14:textId="62B06162" w:rsidR="00824C4F" w:rsidRDefault="005D6313" w:rsidP="00C91B61">
      <w:pPr>
        <w:pStyle w:val="LGTdoc1"/>
        <w:spacing w:before="120" w:after="220"/>
        <w:rPr>
          <w:b w:val="0"/>
          <w:sz w:val="22"/>
          <w:szCs w:val="22"/>
        </w:rPr>
      </w:pPr>
      <w:r w:rsidRPr="00824C4F">
        <w:rPr>
          <w:b w:val="0"/>
          <w:sz w:val="22"/>
          <w:szCs w:val="22"/>
        </w:rPr>
        <w:t>[</w:t>
      </w:r>
      <w:r>
        <w:rPr>
          <w:b w:val="0"/>
          <w:sz w:val="22"/>
          <w:szCs w:val="22"/>
        </w:rPr>
        <w:t>4</w:t>
      </w:r>
      <w:r w:rsidRPr="00824C4F">
        <w:rPr>
          <w:b w:val="0"/>
          <w:sz w:val="22"/>
          <w:szCs w:val="22"/>
        </w:rPr>
        <w:t>] R1-1</w:t>
      </w:r>
      <w:r>
        <w:rPr>
          <w:b w:val="0"/>
          <w:sz w:val="22"/>
          <w:szCs w:val="22"/>
        </w:rPr>
        <w:t>612942</w:t>
      </w:r>
      <w:r w:rsidRPr="00824C4F">
        <w:rPr>
          <w:b w:val="0"/>
          <w:sz w:val="22"/>
          <w:szCs w:val="22"/>
        </w:rPr>
        <w:t>, “</w:t>
      </w:r>
      <w:r>
        <w:rPr>
          <w:b w:val="0"/>
          <w:sz w:val="22"/>
          <w:szCs w:val="22"/>
        </w:rPr>
        <w:t>On NB-IoT, eMTC and NR coexistence</w:t>
      </w:r>
      <w:r w:rsidRPr="00824C4F">
        <w:rPr>
          <w:b w:val="0"/>
          <w:sz w:val="22"/>
          <w:szCs w:val="22"/>
        </w:rPr>
        <w:t>”,</w:t>
      </w:r>
      <w:r>
        <w:rPr>
          <w:b w:val="0"/>
          <w:sz w:val="22"/>
          <w:szCs w:val="22"/>
        </w:rPr>
        <w:t xml:space="preserve"> Ericsson, </w:t>
      </w:r>
      <w:r w:rsidRPr="00824C4F">
        <w:rPr>
          <w:b w:val="0"/>
          <w:sz w:val="22"/>
          <w:szCs w:val="22"/>
        </w:rPr>
        <w:t>RAN1</w:t>
      </w:r>
      <w:r>
        <w:rPr>
          <w:b w:val="0"/>
          <w:sz w:val="22"/>
          <w:szCs w:val="22"/>
        </w:rPr>
        <w:t>#87</w:t>
      </w:r>
      <w:r w:rsidRPr="00824C4F">
        <w:rPr>
          <w:b w:val="0"/>
          <w:sz w:val="22"/>
          <w:szCs w:val="22"/>
        </w:rPr>
        <w:t xml:space="preserve">, </w:t>
      </w:r>
      <w:r>
        <w:rPr>
          <w:b w:val="0"/>
          <w:sz w:val="22"/>
          <w:szCs w:val="22"/>
        </w:rPr>
        <w:t>Reno, USA</w:t>
      </w:r>
      <w:r w:rsidRPr="00824C4F">
        <w:rPr>
          <w:b w:val="0"/>
          <w:sz w:val="22"/>
          <w:szCs w:val="22"/>
        </w:rPr>
        <w:t xml:space="preserve">, </w:t>
      </w:r>
      <w:r>
        <w:rPr>
          <w:b w:val="0"/>
          <w:sz w:val="22"/>
          <w:szCs w:val="22"/>
        </w:rPr>
        <w:t>14-18 November</w:t>
      </w:r>
      <w:r w:rsidRPr="00824C4F">
        <w:rPr>
          <w:b w:val="0"/>
          <w:sz w:val="22"/>
          <w:szCs w:val="22"/>
        </w:rPr>
        <w:t>,</w:t>
      </w:r>
      <w:r>
        <w:rPr>
          <w:b w:val="0"/>
          <w:sz w:val="22"/>
          <w:szCs w:val="22"/>
        </w:rPr>
        <w:t xml:space="preserve"> </w:t>
      </w:r>
      <w:r w:rsidRPr="00824C4F">
        <w:rPr>
          <w:b w:val="0"/>
          <w:sz w:val="22"/>
          <w:szCs w:val="22"/>
        </w:rPr>
        <w:t>201</w:t>
      </w:r>
      <w:r>
        <w:rPr>
          <w:b w:val="0"/>
          <w:sz w:val="22"/>
          <w:szCs w:val="22"/>
        </w:rPr>
        <w:t>6</w:t>
      </w:r>
      <w:r w:rsidRPr="00824C4F">
        <w:rPr>
          <w:b w:val="0"/>
          <w:sz w:val="22"/>
          <w:szCs w:val="22"/>
        </w:rPr>
        <w:t>.</w:t>
      </w:r>
      <w:bookmarkStart w:id="2" w:name="_GoBack"/>
      <w:bookmarkEnd w:id="2"/>
    </w:p>
    <w:sectPr w:rsidR="00824C4F"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797A4" w14:textId="77777777" w:rsidR="00EF21B2" w:rsidRDefault="00EF21B2">
      <w:r>
        <w:separator/>
      </w:r>
    </w:p>
  </w:endnote>
  <w:endnote w:type="continuationSeparator" w:id="0">
    <w:p w14:paraId="5694554F" w14:textId="77777777" w:rsidR="00EF21B2" w:rsidRDefault="00EF21B2">
      <w:r>
        <w:continuationSeparator/>
      </w:r>
    </w:p>
  </w:endnote>
  <w:endnote w:type="continuationNotice" w:id="1">
    <w:p w14:paraId="09AFBBEC" w14:textId="77777777" w:rsidR="00EF21B2" w:rsidRDefault="00EF2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4216B9F9"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A4EC2">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40366" w14:textId="77777777" w:rsidR="00EF21B2" w:rsidRDefault="00EF21B2">
      <w:r>
        <w:separator/>
      </w:r>
    </w:p>
  </w:footnote>
  <w:footnote w:type="continuationSeparator" w:id="0">
    <w:p w14:paraId="35C0C129" w14:textId="77777777" w:rsidR="00EF21B2" w:rsidRDefault="00EF21B2">
      <w:r>
        <w:continuationSeparator/>
      </w:r>
    </w:p>
  </w:footnote>
  <w:footnote w:type="continuationNotice" w:id="1">
    <w:p w14:paraId="4202AAB7" w14:textId="77777777" w:rsidR="00EF21B2" w:rsidRDefault="00EF21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3"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2"/>
  </w:num>
  <w:num w:numId="2">
    <w:abstractNumId w:val="17"/>
  </w:num>
  <w:num w:numId="3">
    <w:abstractNumId w:val="29"/>
  </w:num>
  <w:num w:numId="4">
    <w:abstractNumId w:val="41"/>
  </w:num>
  <w:num w:numId="5">
    <w:abstractNumId w:val="42"/>
  </w:num>
  <w:num w:numId="6">
    <w:abstractNumId w:val="3"/>
  </w:num>
  <w:num w:numId="7">
    <w:abstractNumId w:val="43"/>
  </w:num>
  <w:num w:numId="8">
    <w:abstractNumId w:val="32"/>
  </w:num>
  <w:num w:numId="9">
    <w:abstractNumId w:val="7"/>
  </w:num>
  <w:num w:numId="10">
    <w:abstractNumId w:val="9"/>
  </w:num>
  <w:num w:numId="11">
    <w:abstractNumId w:val="34"/>
  </w:num>
  <w:num w:numId="12">
    <w:abstractNumId w:val="36"/>
  </w:num>
  <w:num w:numId="13">
    <w:abstractNumId w:val="18"/>
  </w:num>
  <w:num w:numId="14">
    <w:abstractNumId w:val="10"/>
  </w:num>
  <w:num w:numId="15">
    <w:abstractNumId w:val="19"/>
  </w:num>
  <w:num w:numId="16">
    <w:abstractNumId w:val="11"/>
  </w:num>
  <w:num w:numId="17">
    <w:abstractNumId w:val="20"/>
  </w:num>
  <w:num w:numId="18">
    <w:abstractNumId w:val="35"/>
  </w:num>
  <w:num w:numId="19">
    <w:abstractNumId w:val="4"/>
  </w:num>
  <w:num w:numId="20">
    <w:abstractNumId w:val="1"/>
  </w:num>
  <w:num w:numId="21">
    <w:abstractNumId w:val="13"/>
  </w:num>
  <w:num w:numId="22">
    <w:abstractNumId w:val="40"/>
  </w:num>
  <w:num w:numId="23">
    <w:abstractNumId w:val="28"/>
  </w:num>
  <w:num w:numId="24">
    <w:abstractNumId w:val="2"/>
  </w:num>
  <w:num w:numId="25">
    <w:abstractNumId w:val="24"/>
  </w:num>
  <w:num w:numId="26">
    <w:abstractNumId w:val="5"/>
  </w:num>
  <w:num w:numId="27">
    <w:abstractNumId w:val="12"/>
  </w:num>
  <w:num w:numId="28">
    <w:abstractNumId w:val="27"/>
  </w:num>
  <w:num w:numId="29">
    <w:abstractNumId w:val="38"/>
  </w:num>
  <w:num w:numId="30">
    <w:abstractNumId w:val="21"/>
  </w:num>
  <w:num w:numId="31">
    <w:abstractNumId w:val="31"/>
  </w:num>
  <w:num w:numId="32">
    <w:abstractNumId w:val="39"/>
  </w:num>
  <w:num w:numId="33">
    <w:abstractNumId w:val="8"/>
  </w:num>
  <w:num w:numId="34">
    <w:abstractNumId w:val="15"/>
  </w:num>
  <w:num w:numId="35">
    <w:abstractNumId w:val="26"/>
  </w:num>
  <w:num w:numId="36">
    <w:abstractNumId w:val="37"/>
  </w:num>
  <w:num w:numId="37">
    <w:abstractNumId w:val="6"/>
  </w:num>
  <w:num w:numId="38">
    <w:abstractNumId w:val="30"/>
  </w:num>
  <w:num w:numId="39">
    <w:abstractNumId w:val="25"/>
  </w:num>
  <w:num w:numId="40">
    <w:abstractNumId w:val="14"/>
  </w:num>
  <w:num w:numId="41">
    <w:abstractNumId w:val="33"/>
  </w:num>
  <w:num w:numId="42">
    <w:abstractNumId w:val="0"/>
  </w:num>
  <w:num w:numId="43">
    <w:abstractNumId w:val="23"/>
  </w:num>
  <w:num w:numId="4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046"/>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2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610"/>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C5"/>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4D3"/>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4EC2"/>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EEE"/>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13"/>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0F"/>
    <w:rsid w:val="00640DB2"/>
    <w:rsid w:val="00641490"/>
    <w:rsid w:val="0064158E"/>
    <w:rsid w:val="00641753"/>
    <w:rsid w:val="006422C0"/>
    <w:rsid w:val="006428BB"/>
    <w:rsid w:val="00642F88"/>
    <w:rsid w:val="006434A2"/>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1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7C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8DB"/>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3CB"/>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B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60B"/>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521"/>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441"/>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EF0"/>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2E5"/>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07F58"/>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551"/>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2EB"/>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9D"/>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473"/>
    <w:rsid w:val="00AA2B02"/>
    <w:rsid w:val="00AA2EAC"/>
    <w:rsid w:val="00AA2FF2"/>
    <w:rsid w:val="00AA38FE"/>
    <w:rsid w:val="00AA402E"/>
    <w:rsid w:val="00AA4046"/>
    <w:rsid w:val="00AA408F"/>
    <w:rsid w:val="00AA49C4"/>
    <w:rsid w:val="00AA5616"/>
    <w:rsid w:val="00AA567A"/>
    <w:rsid w:val="00AA5824"/>
    <w:rsid w:val="00AA5929"/>
    <w:rsid w:val="00AA5E4F"/>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A2"/>
    <w:rsid w:val="00AB26D1"/>
    <w:rsid w:val="00AB278F"/>
    <w:rsid w:val="00AB29ED"/>
    <w:rsid w:val="00AB3211"/>
    <w:rsid w:val="00AB3434"/>
    <w:rsid w:val="00AB35EA"/>
    <w:rsid w:val="00AB3859"/>
    <w:rsid w:val="00AB39A6"/>
    <w:rsid w:val="00AB3B0D"/>
    <w:rsid w:val="00AB3CA1"/>
    <w:rsid w:val="00AB439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6C2"/>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436"/>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6F96"/>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A05"/>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106"/>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92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66A5"/>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0D68"/>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3B5"/>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0EAE"/>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95E"/>
    <w:rsid w:val="00DF1D16"/>
    <w:rsid w:val="00DF1FA3"/>
    <w:rsid w:val="00DF2220"/>
    <w:rsid w:val="00DF23AC"/>
    <w:rsid w:val="00DF2F44"/>
    <w:rsid w:val="00DF3097"/>
    <w:rsid w:val="00DF323D"/>
    <w:rsid w:val="00DF365B"/>
    <w:rsid w:val="00DF3765"/>
    <w:rsid w:val="00DF3AB3"/>
    <w:rsid w:val="00DF3D01"/>
    <w:rsid w:val="00DF411C"/>
    <w:rsid w:val="00DF4580"/>
    <w:rsid w:val="00DF471D"/>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5A2"/>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B2"/>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1F0"/>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paragraph" w:styleId="TOC1">
    <w:name w:val="toc 1"/>
    <w:basedOn w:val="Normal"/>
    <w:next w:val="Normal"/>
    <w:autoRedefine/>
    <w:rsid w:val="00907F58"/>
  </w:style>
  <w:style w:type="character" w:styleId="SubtleReference">
    <w:name w:val="Subtle Reference"/>
    <w:uiPriority w:val="31"/>
    <w:qFormat/>
    <w:rsid w:val="00907F5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57CCD2E5-0BFE-4A26-8174-C12C6EC54336}">
  <ds:schemaRefs>
    <ds:schemaRef ds:uri="http://schemas.openxmlformats.org/officeDocument/2006/bibliography"/>
  </ds:schemaRefs>
</ds:datastoreItem>
</file>

<file path=customXml/itemProps7.xml><?xml version="1.0" encoding="utf-8"?>
<ds:datastoreItem xmlns:ds="http://schemas.openxmlformats.org/officeDocument/2006/customXml" ds:itemID="{B3348C3B-B25F-4169-AB78-A5F49B29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908</Words>
  <Characters>5181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Chao Wei</cp:lastModifiedBy>
  <cp:revision>9</cp:revision>
  <cp:lastPrinted>2010-08-13T21:54:00Z</cp:lastPrinted>
  <dcterms:created xsi:type="dcterms:W3CDTF">2017-09-29T06:47:00Z</dcterms:created>
  <dcterms:modified xsi:type="dcterms:W3CDTF">2017-09-29T17:21:00Z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1723839602</vt:i4>
  </property>
  <property fmtid="{D5CDD505-2E9C-101B-9397-08002B2CF9AE}" pid="5" name="_NewReviewCycle">
    <vt:lpwstr/>
  </property>
  <property fmtid="{D5CDD505-2E9C-101B-9397-08002B2CF9AE}" pid="6" name="_EmailSubject">
    <vt:lpwstr>Sync up on NR-NB-IoT coexistence</vt:lpwstr>
  </property>
  <property fmtid="{D5CDD505-2E9C-101B-9397-08002B2CF9AE}" pid="7" name="_AuthorEmail">
    <vt:lpwstr>albertor@qti.qualcomm.com</vt:lpwstr>
  </property>
  <property fmtid="{D5CDD505-2E9C-101B-9397-08002B2CF9AE}" pid="8" name="_AuthorEmailDisplayName">
    <vt:lpwstr>Alberto Rico Alvarino</vt:lpwstr>
  </property>
  <property fmtid="{D5CDD505-2E9C-101B-9397-08002B2CF9AE}" pid="9" name="_PreviousAdHocReviewCycleID">
    <vt:i4>-1492543268</vt:i4>
  </property>
</Properties>
</file>