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252E" w:rsidRPr="00B14A49" w:rsidRDefault="00C8252E" w:rsidP="00C8252E">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#90bis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R1-1717835</w:t>
      </w:r>
    </w:p>
    <w:p w:rsidR="00C8252E" w:rsidRPr="005D47C0" w:rsidRDefault="00C8252E" w:rsidP="00C8252E">
      <w:pPr>
        <w:pStyle w:val="Header"/>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r>
        <w:rPr>
          <w:rFonts w:cs="Arial"/>
          <w:bCs/>
          <w:sz w:val="22"/>
        </w:rPr>
        <w:t>Czechia, 9</w:t>
      </w:r>
      <w:r w:rsidRPr="008A4C0D">
        <w:rPr>
          <w:rFonts w:cs="Arial"/>
          <w:bCs/>
          <w:sz w:val="22"/>
          <w:vertAlign w:val="superscript"/>
        </w:rPr>
        <w:t>th</w:t>
      </w:r>
      <w:r>
        <w:rPr>
          <w:rFonts w:cs="Arial"/>
          <w:bCs/>
          <w:sz w:val="22"/>
        </w:rPr>
        <w:t xml:space="preserve"> – 13</w:t>
      </w:r>
      <w:r w:rsidRPr="008402BE">
        <w:rPr>
          <w:rFonts w:cs="Arial"/>
          <w:bCs/>
          <w:sz w:val="22"/>
          <w:vertAlign w:val="superscript"/>
        </w:rPr>
        <w:t>th</w:t>
      </w:r>
      <w:r>
        <w:rPr>
          <w:rFonts w:cs="Arial"/>
          <w:bCs/>
          <w:sz w:val="22"/>
        </w:rPr>
        <w:t xml:space="preserve"> October</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E76CC">
        <w:rPr>
          <w:sz w:val="22"/>
          <w:szCs w:val="22"/>
        </w:rPr>
        <w:t xml:space="preserve">Remaining aspects of </w:t>
      </w:r>
      <w:r w:rsidR="008528DE" w:rsidRPr="008528DE">
        <w:rPr>
          <w:sz w:val="22"/>
          <w:szCs w:val="22"/>
        </w:rPr>
        <w:t>CBG-based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D1EA7">
        <w:rPr>
          <w:sz w:val="22"/>
          <w:szCs w:val="22"/>
        </w:rPr>
        <w:t>7</w:t>
      </w:r>
      <w:r w:rsidR="009E76CC">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9E76CC">
        <w:rPr>
          <w:rFonts w:eastAsia="SimSun"/>
          <w:sz w:val="22"/>
          <w:szCs w:val="22"/>
          <w:lang w:eastAsia="zh-CN"/>
        </w:rPr>
        <w:t>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4A55D9" w:rsidRDefault="009626F4" w:rsidP="00D4326E">
      <w:pPr>
        <w:pStyle w:val="BodyText"/>
        <w:rPr>
          <w:rFonts w:eastAsia="SimSun"/>
          <w:lang w:eastAsia="zh-CN"/>
        </w:rPr>
      </w:pPr>
      <w:r>
        <w:rPr>
          <w:rFonts w:eastAsia="SimSun"/>
          <w:lang w:eastAsia="zh-CN"/>
        </w:rPr>
        <w:t xml:space="preserve">Several details of </w:t>
      </w:r>
      <w:r w:rsidR="00E93231">
        <w:rPr>
          <w:rFonts w:eastAsia="SimSun"/>
          <w:lang w:eastAsia="zh-CN"/>
        </w:rPr>
        <w:t xml:space="preserve">CBG-based HARQ operation </w:t>
      </w:r>
      <w:r>
        <w:rPr>
          <w:rFonts w:eastAsia="SimSun"/>
          <w:lang w:eastAsia="zh-CN"/>
        </w:rPr>
        <w:t>were finalized at the RAN1 #90 meeting covering DL</w:t>
      </w:r>
      <w:r w:rsidR="00CE5370">
        <w:rPr>
          <w:rFonts w:eastAsia="SimSun"/>
          <w:lang w:eastAsia="zh-CN"/>
        </w:rPr>
        <w:t>/</w:t>
      </w:r>
      <w:r>
        <w:rPr>
          <w:rFonts w:eastAsia="SimSun"/>
          <w:lang w:eastAsia="zh-CN"/>
        </w:rPr>
        <w:t>UL control signaling and CBG construct</w:t>
      </w:r>
      <w:r w:rsidR="004A55D9">
        <w:rPr>
          <w:rFonts w:eastAsia="SimSun"/>
          <w:lang w:eastAsia="zh-CN"/>
        </w:rPr>
        <w:t xml:space="preserve">ion. </w:t>
      </w:r>
      <w:r w:rsidR="00EA7547">
        <w:rPr>
          <w:rFonts w:eastAsia="SimSun"/>
          <w:lang w:eastAsia="zh-CN"/>
        </w:rPr>
        <w:t xml:space="preserve">A summary of the agreements from </w:t>
      </w:r>
      <w:r w:rsidR="00C369DB">
        <w:rPr>
          <w:rFonts w:eastAsia="SimSun"/>
          <w:lang w:eastAsia="zh-CN"/>
        </w:rPr>
        <w:t>that meeting c</w:t>
      </w:r>
      <w:r w:rsidR="00EA7547">
        <w:rPr>
          <w:rFonts w:eastAsia="SimSun"/>
          <w:lang w:eastAsia="zh-CN"/>
        </w:rPr>
        <w:t xml:space="preserve">an be found in </w:t>
      </w:r>
      <w:r w:rsidR="00EA7547">
        <w:rPr>
          <w:rFonts w:eastAsia="SimSun"/>
          <w:lang w:eastAsia="zh-CN"/>
        </w:rPr>
        <w:fldChar w:fldCharType="begin"/>
      </w:r>
      <w:r w:rsidR="00EA7547">
        <w:rPr>
          <w:rFonts w:eastAsia="SimSun"/>
          <w:lang w:eastAsia="zh-CN"/>
        </w:rPr>
        <w:instrText xml:space="preserve"> REF _Ref492892749 \n \h </w:instrText>
      </w:r>
      <w:r w:rsidR="00EA7547">
        <w:rPr>
          <w:rFonts w:eastAsia="SimSun"/>
          <w:lang w:eastAsia="zh-CN"/>
        </w:rPr>
      </w:r>
      <w:r w:rsidR="00EA7547">
        <w:rPr>
          <w:rFonts w:eastAsia="SimSun"/>
          <w:lang w:eastAsia="zh-CN"/>
        </w:rPr>
        <w:fldChar w:fldCharType="separate"/>
      </w:r>
      <w:r w:rsidR="00EA7547">
        <w:rPr>
          <w:rFonts w:eastAsia="SimSun"/>
          <w:lang w:eastAsia="zh-CN"/>
        </w:rPr>
        <w:t>[1]</w:t>
      </w:r>
      <w:r w:rsidR="00EA7547">
        <w:rPr>
          <w:rFonts w:eastAsia="SimSun"/>
          <w:lang w:eastAsia="zh-CN"/>
        </w:rPr>
        <w:fldChar w:fldCharType="end"/>
      </w:r>
      <w:r w:rsidR="00EA7547">
        <w:rPr>
          <w:rFonts w:eastAsia="SimSun"/>
          <w:lang w:eastAsia="zh-CN"/>
        </w:rPr>
        <w:t xml:space="preserve">. </w:t>
      </w:r>
      <w:r w:rsidR="0023526C">
        <w:rPr>
          <w:rFonts w:eastAsia="SimSun"/>
          <w:lang w:eastAsia="zh-CN"/>
        </w:rPr>
        <w:t xml:space="preserve">Regarding signaling of the number of CBGs and DCI payload size the following was agreed at </w:t>
      </w:r>
      <w:r w:rsidR="00EA7547">
        <w:rPr>
          <w:rFonts w:eastAsia="SimSun"/>
          <w:lang w:eastAsia="zh-CN"/>
        </w:rPr>
        <w:t xml:space="preserve">the RAN1 AH_#NR3 </w:t>
      </w:r>
      <w:r w:rsidR="0023526C">
        <w:rPr>
          <w:rFonts w:eastAsia="SimSun"/>
          <w:lang w:eastAsia="zh-CN"/>
        </w:rPr>
        <w:t>meeting</w:t>
      </w:r>
      <w:r w:rsidR="004A55D9">
        <w:rPr>
          <w:rFonts w:eastAsia="SimSun"/>
          <w:lang w:eastAsia="zh-CN"/>
        </w:rPr>
        <w:t>:</w:t>
      </w:r>
    </w:p>
    <w:p w:rsidR="00EA7547" w:rsidRPr="00351382" w:rsidRDefault="00EA7547" w:rsidP="00EA7547">
      <w:pPr>
        <w:rPr>
          <w:lang/>
        </w:rPr>
      </w:pPr>
      <w:r w:rsidRPr="00351382">
        <w:rPr>
          <w:highlight w:val="green"/>
          <w:lang/>
        </w:rPr>
        <w:t>Agreements</w:t>
      </w:r>
      <w:r w:rsidRPr="00351382">
        <w:rPr>
          <w:lang/>
        </w:rPr>
        <w:t>:</w:t>
      </w:r>
    </w:p>
    <w:p w:rsidR="00EA7547" w:rsidRPr="00351382" w:rsidRDefault="00EA7547" w:rsidP="00EA7547">
      <w:pPr>
        <w:numPr>
          <w:ilvl w:val="0"/>
          <w:numId w:val="26"/>
        </w:numPr>
        <w:tabs>
          <w:tab w:val="left" w:pos="720"/>
        </w:tabs>
        <w:rPr>
          <w:lang/>
        </w:rPr>
      </w:pPr>
      <w:r w:rsidRPr="00351382">
        <w:rPr>
          <w:lang/>
        </w:rPr>
        <w:t>For a UE configured with CBG-based (re)transmission, the same DCI payload size is assumed for initial transmission and retransmission for the same TB(s)</w:t>
      </w:r>
    </w:p>
    <w:p w:rsidR="00EA7547" w:rsidRPr="00351382" w:rsidRDefault="00EA7547" w:rsidP="00EA7547">
      <w:pPr>
        <w:numPr>
          <w:ilvl w:val="1"/>
          <w:numId w:val="26"/>
        </w:numPr>
        <w:tabs>
          <w:tab w:val="left" w:pos="1440"/>
        </w:tabs>
        <w:rPr>
          <w:lang/>
        </w:rPr>
      </w:pPr>
      <w:r w:rsidRPr="00351382">
        <w:rPr>
          <w:lang/>
        </w:rPr>
        <w:t>Note that this doe</w:t>
      </w:r>
      <w:r w:rsidR="00C369DB">
        <w:rPr>
          <w:lang/>
        </w:rPr>
        <w:t>s</w:t>
      </w:r>
      <w:r w:rsidRPr="00351382">
        <w:rPr>
          <w:lang/>
        </w:rPr>
        <w:t xml:space="preserve"> not intend to address fallback DCI aspect</w:t>
      </w:r>
    </w:p>
    <w:p w:rsidR="00EA7547" w:rsidRPr="00351382" w:rsidRDefault="00EA7547" w:rsidP="00EA7547">
      <w:pPr>
        <w:numPr>
          <w:ilvl w:val="0"/>
          <w:numId w:val="27"/>
        </w:numPr>
        <w:tabs>
          <w:tab w:val="left" w:pos="1440"/>
        </w:tabs>
        <w:rPr>
          <w:lang/>
        </w:rPr>
      </w:pPr>
      <w:r w:rsidRPr="00351382">
        <w:rPr>
          <w:lang/>
        </w:rPr>
        <w:t>L1 signalling to indicate the number of CBGs per TB is not supported in Rel-15</w:t>
      </w:r>
    </w:p>
    <w:p w:rsidR="00956C1A" w:rsidRDefault="00956C1A" w:rsidP="00D4326E">
      <w:pPr>
        <w:pStyle w:val="BodyText"/>
        <w:rPr>
          <w:rFonts w:eastAsia="SimSun"/>
          <w:lang w:eastAsia="zh-CN"/>
        </w:rPr>
      </w:pPr>
    </w:p>
    <w:p w:rsidR="0023526C" w:rsidRDefault="0023526C" w:rsidP="00D4326E">
      <w:pPr>
        <w:pStyle w:val="BodyText"/>
        <w:rPr>
          <w:rFonts w:eastAsia="SimSun"/>
          <w:lang w:eastAsia="zh-CN"/>
        </w:rPr>
      </w:pPr>
      <w:r>
        <w:rPr>
          <w:rFonts w:eastAsia="SimSun"/>
          <w:lang w:eastAsia="zh-CN"/>
        </w:rPr>
        <w:t>Several open issues remain, some of which were summarized at the previous meeting and shown below for convenience:</w:t>
      </w:r>
    </w:p>
    <w:p w:rsidR="00000000" w:rsidRPr="0023526C" w:rsidRDefault="00A77A6B" w:rsidP="0023526C">
      <w:pPr>
        <w:pStyle w:val="BodyText"/>
        <w:numPr>
          <w:ilvl w:val="0"/>
          <w:numId w:val="28"/>
        </w:numPr>
        <w:rPr>
          <w:rFonts w:eastAsia="SimSun"/>
          <w:lang w:eastAsia="zh-CN"/>
        </w:rPr>
      </w:pPr>
      <w:r w:rsidRPr="0023526C">
        <w:rPr>
          <w:rFonts w:eastAsia="SimSun"/>
          <w:lang w:eastAsia="zh-CN"/>
        </w:rPr>
        <w:t xml:space="preserve">Signaling of NDI and CBGTI in the </w:t>
      </w:r>
      <w:r w:rsidRPr="0023526C">
        <w:rPr>
          <w:rFonts w:eastAsia="SimSun"/>
          <w:lang w:eastAsia="zh-CN"/>
        </w:rPr>
        <w:t>DCI</w:t>
      </w:r>
    </w:p>
    <w:p w:rsidR="00000000" w:rsidRPr="0023526C" w:rsidRDefault="00A77A6B" w:rsidP="0023526C">
      <w:pPr>
        <w:pStyle w:val="BodyText"/>
        <w:numPr>
          <w:ilvl w:val="0"/>
          <w:numId w:val="28"/>
        </w:numPr>
        <w:rPr>
          <w:rFonts w:eastAsia="SimSun"/>
          <w:lang w:eastAsia="zh-CN"/>
        </w:rPr>
      </w:pPr>
      <w:r w:rsidRPr="0023526C">
        <w:rPr>
          <w:rFonts w:eastAsia="SimSun"/>
          <w:lang w:eastAsia="zh-CN"/>
        </w:rPr>
        <w:t>Signaling of NDI and CBGFI in the DCI</w:t>
      </w:r>
    </w:p>
    <w:p w:rsidR="00000000" w:rsidRPr="0023526C" w:rsidRDefault="00A77A6B" w:rsidP="0023526C">
      <w:pPr>
        <w:pStyle w:val="BodyText"/>
        <w:numPr>
          <w:ilvl w:val="0"/>
          <w:numId w:val="28"/>
        </w:numPr>
        <w:rPr>
          <w:rFonts w:eastAsia="SimSun"/>
          <w:lang w:eastAsia="zh-CN"/>
        </w:rPr>
      </w:pPr>
      <w:r w:rsidRPr="0023526C">
        <w:rPr>
          <w:rFonts w:eastAsia="SimSun"/>
          <w:lang w:eastAsia="zh-CN"/>
        </w:rPr>
        <w:t xml:space="preserve">Maximum configurable number of CBGs </w:t>
      </w:r>
    </w:p>
    <w:p w:rsidR="00000000" w:rsidRPr="0023526C" w:rsidRDefault="00A77A6B" w:rsidP="0023526C">
      <w:pPr>
        <w:pStyle w:val="BodyText"/>
        <w:numPr>
          <w:ilvl w:val="0"/>
          <w:numId w:val="28"/>
        </w:numPr>
        <w:rPr>
          <w:rFonts w:eastAsia="SimSun"/>
          <w:lang w:eastAsia="zh-CN"/>
        </w:rPr>
      </w:pPr>
      <w:r w:rsidRPr="0023526C">
        <w:rPr>
          <w:rFonts w:eastAsia="SimSun"/>
          <w:lang w:eastAsia="zh-CN"/>
        </w:rPr>
        <w:t>Number of CBGs for multiple CW case</w:t>
      </w:r>
    </w:p>
    <w:p w:rsidR="00000000" w:rsidRPr="0023526C" w:rsidRDefault="00A77A6B" w:rsidP="0023526C">
      <w:pPr>
        <w:pStyle w:val="BodyText"/>
        <w:numPr>
          <w:ilvl w:val="0"/>
          <w:numId w:val="28"/>
        </w:numPr>
        <w:rPr>
          <w:rFonts w:eastAsia="SimSun"/>
          <w:lang w:eastAsia="zh-CN"/>
        </w:rPr>
      </w:pPr>
      <w:r w:rsidRPr="0023526C">
        <w:rPr>
          <w:rFonts w:eastAsia="SimSun"/>
          <w:lang w:val="en-GB" w:eastAsia="zh-CN"/>
        </w:rPr>
        <w:t>Handling of TB CRC check fail case</w:t>
      </w:r>
      <w:r w:rsidRPr="0023526C">
        <w:rPr>
          <w:rFonts w:eastAsia="SimSun"/>
          <w:lang w:eastAsia="zh-CN"/>
        </w:rPr>
        <w:t xml:space="preserve"> </w:t>
      </w:r>
    </w:p>
    <w:p w:rsidR="00000000" w:rsidRPr="0023526C" w:rsidRDefault="00A77A6B" w:rsidP="0023526C">
      <w:pPr>
        <w:pStyle w:val="BodyText"/>
        <w:numPr>
          <w:ilvl w:val="0"/>
          <w:numId w:val="28"/>
        </w:numPr>
        <w:rPr>
          <w:rFonts w:eastAsia="SimSun"/>
          <w:lang w:eastAsia="zh-CN"/>
        </w:rPr>
      </w:pPr>
      <w:r w:rsidRPr="0023526C">
        <w:rPr>
          <w:rFonts w:eastAsia="SimSun"/>
          <w:lang w:val="en-GB" w:eastAsia="zh-CN"/>
        </w:rPr>
        <w:t>Support of TB level A/N feedback</w:t>
      </w:r>
      <w:r w:rsidRPr="0023526C">
        <w:rPr>
          <w:rFonts w:eastAsia="SimSun"/>
          <w:lang w:eastAsia="zh-CN"/>
        </w:rPr>
        <w:t xml:space="preserve"> </w:t>
      </w:r>
    </w:p>
    <w:p w:rsidR="0023526C" w:rsidRDefault="0023526C" w:rsidP="00D4326E">
      <w:pPr>
        <w:pStyle w:val="BodyText"/>
        <w:rPr>
          <w:rFonts w:eastAsia="SimSun"/>
          <w:lang w:eastAsia="zh-CN"/>
        </w:rPr>
      </w:pPr>
      <w:r>
        <w:rPr>
          <w:rFonts w:eastAsia="SimSun"/>
          <w:lang w:eastAsia="zh-CN"/>
        </w:rPr>
        <w:t xml:space="preserve">This contribution addresses these open issues and is an update of </w:t>
      </w:r>
      <w:r w:rsidR="00430BCE">
        <w:rPr>
          <w:rFonts w:eastAsia="SimSun"/>
          <w:noProof/>
          <w:lang w:eastAsia="zh-CN"/>
        </w:rPr>
        <w:t>R1-1715826</w:t>
      </w:r>
      <w:r>
        <w:rPr>
          <w:rFonts w:eastAsia="SimSun"/>
          <w:lang w:eastAsia="zh-CN"/>
        </w:rPr>
        <w:t>.</w:t>
      </w:r>
    </w:p>
    <w:p w:rsidR="00312AA4" w:rsidRDefault="00031368" w:rsidP="00542311">
      <w:pPr>
        <w:pStyle w:val="Heading1"/>
      </w:pPr>
      <w:r>
        <w:t>D</w:t>
      </w:r>
      <w:r w:rsidR="007C422B">
        <w:t>iscussion</w:t>
      </w:r>
    </w:p>
    <w:p w:rsidR="00865B5C" w:rsidRDefault="00DD5B6C" w:rsidP="00865B5C">
      <w:pPr>
        <w:pStyle w:val="Heading2"/>
      </w:pPr>
      <w:r>
        <w:t xml:space="preserve">On signaling of NDI, </w:t>
      </w:r>
      <w:r w:rsidR="00865B5C">
        <w:t>CBG transmission and flushing indicators</w:t>
      </w:r>
    </w:p>
    <w:p w:rsidR="00B16A71" w:rsidRDefault="00865B5C" w:rsidP="00865B5C">
      <w:pPr>
        <w:pStyle w:val="BodyText"/>
        <w:rPr>
          <w:lang w:eastAsia="ja-JP"/>
        </w:rPr>
      </w:pPr>
      <w:r>
        <w:rPr>
          <w:rFonts w:eastAsia="SimSun"/>
          <w:lang w:eastAsia="zh-CN"/>
        </w:rPr>
        <w:t xml:space="preserve">Regarding </w:t>
      </w:r>
      <w:r w:rsidR="00C369DB">
        <w:rPr>
          <w:rFonts w:eastAsia="SimSun"/>
          <w:lang w:eastAsia="zh-CN"/>
        </w:rPr>
        <w:t xml:space="preserve">the </w:t>
      </w:r>
      <w:r>
        <w:rPr>
          <w:rFonts w:eastAsia="SimSun"/>
          <w:lang w:eastAsia="zh-CN"/>
        </w:rPr>
        <w:t xml:space="preserve">CBG transmission indication (CGTI) field, it was agreed that </w:t>
      </w:r>
      <w:r w:rsidR="00DA087B">
        <w:rPr>
          <w:rFonts w:eastAsia="SimSun"/>
          <w:lang w:eastAsia="zh-CN"/>
        </w:rPr>
        <w:t xml:space="preserve">an </w:t>
      </w:r>
      <w:r>
        <w:rPr>
          <w:rFonts w:eastAsia="SimSun"/>
          <w:lang w:eastAsia="zh-CN"/>
        </w:rPr>
        <w:t xml:space="preserve">indication </w:t>
      </w:r>
      <w:r w:rsidR="00DA087B">
        <w:rPr>
          <w:rFonts w:eastAsia="SimSun"/>
          <w:lang w:eastAsia="zh-CN"/>
        </w:rPr>
        <w:t xml:space="preserve">of which CBG(s) is/are retransmitted </w:t>
      </w:r>
      <w:r>
        <w:rPr>
          <w:rFonts w:eastAsia="SimSun"/>
          <w:lang w:eastAsia="zh-CN"/>
        </w:rPr>
        <w:t>can be configured</w:t>
      </w:r>
      <w:r w:rsidR="00DA087B" w:rsidRPr="00DA087B">
        <w:rPr>
          <w:rFonts w:eastAsia="SimSun"/>
          <w:lang w:eastAsia="zh-CN"/>
        </w:rPr>
        <w:t xml:space="preserve"> </w:t>
      </w:r>
      <w:r w:rsidR="00DA087B">
        <w:rPr>
          <w:rFonts w:eastAsia="SimSun"/>
          <w:lang w:eastAsia="zh-CN"/>
        </w:rPr>
        <w:t>in the scheduling DCI</w:t>
      </w:r>
      <w:r>
        <w:rPr>
          <w:rFonts w:eastAsia="SimSun"/>
          <w:lang w:eastAsia="zh-CN"/>
        </w:rPr>
        <w:t xml:space="preserve">. </w:t>
      </w:r>
      <w:r w:rsidR="00C369DB">
        <w:rPr>
          <w:rFonts w:eastAsia="SimSun"/>
          <w:lang w:eastAsia="zh-CN"/>
        </w:rPr>
        <w:t>I</w:t>
      </w:r>
      <w:r w:rsidR="00B16A71">
        <w:rPr>
          <w:rFonts w:eastAsia="SimSun"/>
          <w:lang w:eastAsia="zh-CN"/>
        </w:rPr>
        <w:t>f DL HARQ-ACK feedback corresponding to CBG-based DL transmission is CRC protected (based on a target FAR), it may not be necessary to include a length-</w:t>
      </w:r>
      <w:r w:rsidR="00DD5B6C">
        <w:rPr>
          <w:rFonts w:eastAsia="SimSun"/>
          <w:lang w:eastAsia="zh-CN"/>
        </w:rPr>
        <w:t>N</w:t>
      </w:r>
      <w:r w:rsidR="00B16A71">
        <w:rPr>
          <w:rFonts w:eastAsia="SimSun"/>
          <w:lang w:eastAsia="zh-CN"/>
        </w:rPr>
        <w:t xml:space="preserve"> CBGTI field in the DCI, where </w:t>
      </w:r>
      <w:r w:rsidR="00DD5B6C">
        <w:rPr>
          <w:rFonts w:eastAsia="SimSun"/>
          <w:lang w:eastAsia="zh-CN"/>
        </w:rPr>
        <w:t>N</w:t>
      </w:r>
      <w:r w:rsidR="00B16A71">
        <w:rPr>
          <w:rFonts w:eastAsia="SimSun"/>
          <w:lang w:eastAsia="zh-CN"/>
        </w:rPr>
        <w:t xml:space="preserve"> is the</w:t>
      </w:r>
      <w:r w:rsidR="00B16A71" w:rsidRPr="00AB5AD3">
        <w:rPr>
          <w:rFonts w:hint="eastAsia"/>
          <w:lang w:eastAsia="ja-JP"/>
        </w:rPr>
        <w:t xml:space="preserve"> maximum number of CBGs </w:t>
      </w:r>
      <w:r w:rsidR="00B16A71" w:rsidRPr="00AB5AD3">
        <w:rPr>
          <w:lang w:eastAsia="ja-JP"/>
        </w:rPr>
        <w:t>configured</w:t>
      </w:r>
      <w:r w:rsidR="00B16A71" w:rsidRPr="00AB5AD3">
        <w:rPr>
          <w:rFonts w:hint="eastAsia"/>
          <w:lang w:eastAsia="ja-JP"/>
        </w:rPr>
        <w:t xml:space="preserve"> by RRC</w:t>
      </w:r>
      <w:r w:rsidR="00B16A71">
        <w:rPr>
          <w:lang w:eastAsia="ja-JP"/>
        </w:rPr>
        <w:t xml:space="preserve"> signaling. Rather, a 1-bit field is sufficient to inform the UE whether a retransmission contains the full TB or a partial TB as recommended by the </w:t>
      </w:r>
      <w:r w:rsidR="00DA087B">
        <w:rPr>
          <w:lang w:eastAsia="ja-JP"/>
        </w:rPr>
        <w:t xml:space="preserve">previously received </w:t>
      </w:r>
      <w:r w:rsidR="00B16A71">
        <w:rPr>
          <w:lang w:eastAsia="ja-JP"/>
        </w:rPr>
        <w:t>HARQ-ACK feedback</w:t>
      </w:r>
      <w:r w:rsidR="00DA087B">
        <w:rPr>
          <w:lang w:eastAsia="ja-JP"/>
        </w:rPr>
        <w:t xml:space="preserve"> for the same TB</w:t>
      </w:r>
      <w:r w:rsidR="00B16A71">
        <w:rPr>
          <w:lang w:eastAsia="ja-JP"/>
        </w:rPr>
        <w:t xml:space="preserve">. </w:t>
      </w:r>
    </w:p>
    <w:p w:rsidR="00B16A71" w:rsidRDefault="00DA087B" w:rsidP="00865B5C">
      <w:pPr>
        <w:pStyle w:val="BodyText"/>
        <w:rPr>
          <w:lang w:eastAsia="ja-JP"/>
        </w:rPr>
      </w:pPr>
      <w:r>
        <w:rPr>
          <w:lang w:eastAsia="ja-JP"/>
        </w:rPr>
        <w:t>However, one</w:t>
      </w:r>
      <w:r w:rsidR="00B16A71">
        <w:rPr>
          <w:lang w:eastAsia="ja-JP"/>
        </w:rPr>
        <w:t xml:space="preserve"> interpretation of the CBGTI </w:t>
      </w:r>
      <w:r>
        <w:rPr>
          <w:lang w:eastAsia="ja-JP"/>
        </w:rPr>
        <w:t xml:space="preserve">agreement </w:t>
      </w:r>
      <w:r w:rsidR="00B16A71">
        <w:rPr>
          <w:lang w:eastAsia="ja-JP"/>
        </w:rPr>
        <w:t>is that regardless of whether or not HARQ-ACK feedback is CRC-protected or not, the gNB can configure a CBGTI field. This in our view would be unnecessary DL signaling overhead when HARQ-ACK is CRC protected.</w:t>
      </w:r>
    </w:p>
    <w:p w:rsidR="002C1113" w:rsidRDefault="00B16A71" w:rsidP="00865B5C">
      <w:pPr>
        <w:pStyle w:val="BodyText"/>
        <w:rPr>
          <w:lang w:eastAsia="ja-JP"/>
        </w:rPr>
      </w:pPr>
      <w:r w:rsidRPr="009354AC">
        <w:rPr>
          <w:b/>
          <w:u w:val="single"/>
          <w:lang w:eastAsia="ja-JP"/>
        </w:rPr>
        <w:t>Observation</w:t>
      </w:r>
      <w:r>
        <w:rPr>
          <w:lang w:eastAsia="ja-JP"/>
        </w:rPr>
        <w:t>: configuring a CBGTI field in DCI of length equal to the maximum number of configured CBGs is an unnecessary overhead when the HARQ-ACK feedback is CRC protected.</w:t>
      </w:r>
    </w:p>
    <w:p w:rsidR="00B16A71" w:rsidRDefault="006619A0" w:rsidP="00865B5C">
      <w:pPr>
        <w:pStyle w:val="BodyText"/>
        <w:rPr>
          <w:lang w:eastAsia="ja-JP"/>
        </w:rPr>
      </w:pPr>
      <w:r>
        <w:rPr>
          <w:lang w:eastAsia="ja-JP"/>
        </w:rPr>
        <w:t xml:space="preserve">When </w:t>
      </w:r>
      <w:r w:rsidR="00C369DB">
        <w:rPr>
          <w:lang w:eastAsia="ja-JP"/>
        </w:rPr>
        <w:t xml:space="preserve">both </w:t>
      </w:r>
      <w:r>
        <w:rPr>
          <w:lang w:eastAsia="ja-JP"/>
        </w:rPr>
        <w:t xml:space="preserve">CBGTI and </w:t>
      </w:r>
      <w:r w:rsidR="00C369DB">
        <w:rPr>
          <w:lang w:eastAsia="ja-JP"/>
        </w:rPr>
        <w:t>CBG flushing indicator (</w:t>
      </w:r>
      <w:r>
        <w:rPr>
          <w:lang w:eastAsia="ja-JP"/>
        </w:rPr>
        <w:t>CBGFI</w:t>
      </w:r>
      <w:r w:rsidR="00C369DB">
        <w:rPr>
          <w:lang w:eastAsia="ja-JP"/>
        </w:rPr>
        <w:t>)</w:t>
      </w:r>
      <w:r>
        <w:rPr>
          <w:lang w:eastAsia="ja-JP"/>
        </w:rPr>
        <w:t xml:space="preserve"> </w:t>
      </w:r>
      <w:r w:rsidR="00C369DB">
        <w:rPr>
          <w:lang w:eastAsia="ja-JP"/>
        </w:rPr>
        <w:t>are</w:t>
      </w:r>
      <w:r>
        <w:rPr>
          <w:lang w:eastAsia="ja-JP"/>
        </w:rPr>
        <w:t xml:space="preserve"> configured, </w:t>
      </w:r>
      <w:r w:rsidR="00430BCE">
        <w:rPr>
          <w:lang w:eastAsia="ja-JP"/>
        </w:rPr>
        <w:t>total of (N + 1) bits</w:t>
      </w:r>
      <w:r>
        <w:rPr>
          <w:lang w:eastAsia="ja-JP"/>
        </w:rPr>
        <w:t xml:space="preserve"> </w:t>
      </w:r>
      <w:r w:rsidR="00C369DB">
        <w:rPr>
          <w:lang w:eastAsia="ja-JP"/>
        </w:rPr>
        <w:t>c</w:t>
      </w:r>
      <w:r>
        <w:rPr>
          <w:lang w:eastAsia="ja-JP"/>
        </w:rPr>
        <w:t>ould be included in the DCI scheduling CBG-based HARQ (re)transmission of a TB. It is an open question whether an additional explicit bit is required for NDI or whether NDI can be jointly signaled with NDI or alternatively, the NDI fulfils the function of CBGFI.</w:t>
      </w:r>
      <w:r w:rsidR="00DD5B6C">
        <w:rPr>
          <w:lang w:eastAsia="ja-JP"/>
        </w:rPr>
        <w:t xml:space="preserve"> </w:t>
      </w:r>
    </w:p>
    <w:p w:rsidR="000961E5" w:rsidRDefault="003D6B3C" w:rsidP="00BF0A40">
      <w:pPr>
        <w:pStyle w:val="ListParagraph"/>
        <w:numPr>
          <w:ilvl w:val="0"/>
          <w:numId w:val="23"/>
        </w:numPr>
        <w:ind w:firstLineChars="0"/>
        <w:jc w:val="both"/>
        <w:rPr>
          <w:rFonts w:ascii="Times New Roman" w:hAnsi="Times New Roman" w:cs="Times New Roman"/>
          <w:sz w:val="20"/>
          <w:szCs w:val="20"/>
        </w:rPr>
      </w:pPr>
      <w:r>
        <w:rPr>
          <w:rFonts w:ascii="Times New Roman" w:hAnsi="Times New Roman" w:cs="Times New Roman"/>
          <w:sz w:val="20"/>
          <w:szCs w:val="20"/>
        </w:rPr>
        <w:lastRenderedPageBreak/>
        <w:t>Option 1: NDI/CBGTI field + CBGFI.</w:t>
      </w:r>
      <w:r w:rsidR="00BF0A40">
        <w:rPr>
          <w:rFonts w:ascii="Times New Roman" w:hAnsi="Times New Roman" w:cs="Times New Roman"/>
          <w:sz w:val="20"/>
          <w:szCs w:val="20"/>
        </w:rPr>
        <w:t xml:space="preserve"> </w:t>
      </w:r>
      <w:r>
        <w:rPr>
          <w:rFonts w:ascii="Times New Roman" w:hAnsi="Times New Roman" w:cs="Times New Roman"/>
          <w:sz w:val="20"/>
          <w:szCs w:val="20"/>
        </w:rPr>
        <w:t>A</w:t>
      </w:r>
      <w:r w:rsidR="00BF0A40" w:rsidRPr="00BF0A40">
        <w:rPr>
          <w:rFonts w:ascii="Times New Roman" w:hAnsi="Times New Roman" w:cs="Times New Roman"/>
          <w:sz w:val="20"/>
          <w:szCs w:val="20"/>
        </w:rPr>
        <w:t xml:space="preserve"> first solution can be the joint indication of NDI and CBGTI. </w:t>
      </w:r>
      <w:r w:rsidR="000961E5" w:rsidRPr="00BF0A40">
        <w:rPr>
          <w:rFonts w:ascii="Times New Roman" w:hAnsi="Times New Roman" w:cs="Times New Roman"/>
          <w:sz w:val="20"/>
          <w:szCs w:val="20"/>
        </w:rPr>
        <w:t xml:space="preserve">As described in e.g. </w:t>
      </w:r>
      <w:r w:rsidR="00430BCE">
        <w:fldChar w:fldCharType="begin"/>
      </w:r>
      <w:r w:rsidR="00430BCE">
        <w:rPr>
          <w:rFonts w:ascii="Times New Roman" w:hAnsi="Times New Roman" w:cs="Times New Roman"/>
          <w:sz w:val="20"/>
          <w:szCs w:val="20"/>
        </w:rPr>
        <w:instrText xml:space="preserve"> REF _Ref494711910 \n \h </w:instrText>
      </w:r>
      <w:r w:rsidR="00430BCE">
        <w:fldChar w:fldCharType="separate"/>
      </w:r>
      <w:r w:rsidR="00430BCE">
        <w:rPr>
          <w:rFonts w:ascii="Times New Roman" w:hAnsi="Times New Roman" w:cs="Times New Roman"/>
          <w:sz w:val="20"/>
          <w:szCs w:val="20"/>
        </w:rPr>
        <w:t>[2]</w:t>
      </w:r>
      <w:r w:rsidR="00430BCE">
        <w:fldChar w:fldCharType="end"/>
      </w:r>
      <w:r w:rsidR="000961E5" w:rsidRPr="00BF0A40">
        <w:rPr>
          <w:rFonts w:ascii="Times New Roman" w:hAnsi="Times New Roman" w:cs="Times New Roman"/>
          <w:sz w:val="20"/>
          <w:szCs w:val="20"/>
        </w:rPr>
        <w:t xml:space="preserve">, </w:t>
      </w:r>
      <w:r w:rsidR="00BF0A40" w:rsidRPr="00BF0A40">
        <w:rPr>
          <w:rFonts w:ascii="Times New Roman" w:hAnsi="Times New Roman" w:cs="Times New Roman"/>
          <w:sz w:val="20"/>
          <w:szCs w:val="20"/>
        </w:rPr>
        <w:t xml:space="preserve">this can be </w:t>
      </w:r>
      <w:r w:rsidR="000961E5" w:rsidRPr="00BF0A40">
        <w:rPr>
          <w:rFonts w:ascii="Times New Roman" w:hAnsi="Times New Roman" w:cs="Times New Roman"/>
          <w:sz w:val="20"/>
          <w:szCs w:val="20"/>
        </w:rPr>
        <w:t>accomplished by defining the all zero state as an initial transmission</w:t>
      </w:r>
      <w:r w:rsidR="00430BCE">
        <w:rPr>
          <w:rFonts w:ascii="Times New Roman" w:hAnsi="Times New Roman" w:cs="Times New Roman"/>
          <w:sz w:val="20"/>
          <w:szCs w:val="20"/>
        </w:rPr>
        <w:t xml:space="preserve">, and </w:t>
      </w:r>
      <w:r w:rsidR="000961E5" w:rsidRPr="00BF0A40">
        <w:rPr>
          <w:rFonts w:ascii="Times New Roman" w:hAnsi="Times New Roman" w:cs="Times New Roman"/>
          <w:sz w:val="20"/>
          <w:szCs w:val="20"/>
        </w:rPr>
        <w:t xml:space="preserve">a bit value of ‘1’ in any position of the CBGTI field as a retransmission of the corresponding CBG. This implies that the ‘all ones’ state indicates a full retransmission of the TB. To avoid the case of missing DCI, the all zero state and all ones state can be toggled to indicate new transmission or retransmission as also mentioned in </w:t>
      </w:r>
      <w:fldSimple w:instr=" REF _Ref485116070 \n \h  \* MERGEFORMAT ">
        <w:r w:rsidR="00BF0A40" w:rsidRPr="00BF0A40">
          <w:rPr>
            <w:rFonts w:ascii="Times New Roman" w:hAnsi="Times New Roman" w:cs="Times New Roman"/>
            <w:sz w:val="20"/>
            <w:szCs w:val="20"/>
          </w:rPr>
          <w:t>[</w:t>
        </w:r>
        <w:r w:rsidR="00BF0A40" w:rsidRPr="00BF0A40">
          <w:rPr>
            <w:rFonts w:ascii="Times New Roman" w:hAnsi="Times New Roman" w:cs="Times New Roman"/>
            <w:sz w:val="20"/>
            <w:szCs w:val="20"/>
          </w:rPr>
          <w:t>3</w:t>
        </w:r>
        <w:r w:rsidR="00BF0A40" w:rsidRPr="00BF0A40">
          <w:rPr>
            <w:rFonts w:ascii="Times New Roman" w:hAnsi="Times New Roman" w:cs="Times New Roman"/>
            <w:sz w:val="20"/>
            <w:szCs w:val="20"/>
          </w:rPr>
          <w:t>]</w:t>
        </w:r>
      </w:fldSimple>
      <w:r w:rsidR="000961E5" w:rsidRPr="00BF0A40">
        <w:rPr>
          <w:rFonts w:ascii="Times New Roman" w:hAnsi="Times New Roman" w:cs="Times New Roman"/>
          <w:sz w:val="20"/>
          <w:szCs w:val="20"/>
        </w:rPr>
        <w:t>.</w:t>
      </w:r>
      <w:r w:rsidR="00BF0A40" w:rsidRPr="00BF0A40">
        <w:rPr>
          <w:rFonts w:ascii="Times New Roman" w:hAnsi="Times New Roman" w:cs="Times New Roman"/>
          <w:sz w:val="20"/>
          <w:szCs w:val="20"/>
        </w:rPr>
        <w:t xml:space="preserve"> </w:t>
      </w:r>
      <w:r w:rsidR="000961E5" w:rsidRPr="00BF0A40">
        <w:rPr>
          <w:rFonts w:ascii="Times New Roman" w:hAnsi="Times New Roman" w:cs="Times New Roman"/>
          <w:sz w:val="20"/>
          <w:szCs w:val="20"/>
        </w:rPr>
        <w:t>Note that this joint signaling is only required at the physical layer. TB-level NDI is reported to higher layers depending on the toggling of the all ones or all zeros stage of the CBGI-NDI field.</w:t>
      </w:r>
      <w:r w:rsidR="00BF0A40" w:rsidRPr="00BF0A40">
        <w:rPr>
          <w:rFonts w:ascii="Times New Roman" w:hAnsi="Times New Roman" w:cs="Times New Roman"/>
          <w:sz w:val="20"/>
          <w:szCs w:val="20"/>
        </w:rPr>
        <w:t xml:space="preserve"> For this solution 1 bit is used to indicate the CBGFI if configured. However, if the CBGFI is not configured, this bit can be used for NDI.</w:t>
      </w:r>
    </w:p>
    <w:p w:rsidR="00BF0A40" w:rsidRDefault="00BF0A40" w:rsidP="00BF0A40">
      <w:pPr>
        <w:pStyle w:val="ListParagraph"/>
        <w:ind w:left="720" w:firstLineChars="0" w:firstLine="0"/>
        <w:jc w:val="both"/>
        <w:rPr>
          <w:rFonts w:ascii="Times New Roman" w:hAnsi="Times New Roman" w:cs="Times New Roman"/>
          <w:sz w:val="20"/>
          <w:szCs w:val="20"/>
        </w:rPr>
      </w:pPr>
    </w:p>
    <w:p w:rsidR="00BF0A40" w:rsidRPr="00BF0A40" w:rsidRDefault="003D6B3C" w:rsidP="00BF0A40">
      <w:pPr>
        <w:pStyle w:val="ListParagraph"/>
        <w:numPr>
          <w:ilvl w:val="0"/>
          <w:numId w:val="23"/>
        </w:numPr>
        <w:ind w:firstLineChars="0"/>
        <w:jc w:val="both"/>
        <w:rPr>
          <w:rFonts w:ascii="Times New Roman" w:hAnsi="Times New Roman" w:cs="Times New Roman"/>
          <w:sz w:val="20"/>
          <w:szCs w:val="20"/>
        </w:rPr>
      </w:pPr>
      <w:r>
        <w:rPr>
          <w:rFonts w:ascii="Times New Roman" w:hAnsi="Times New Roman" w:cs="Times New Roman"/>
          <w:sz w:val="20"/>
          <w:szCs w:val="20"/>
        </w:rPr>
        <w:t>Option 2: CBGTI + NDI/CBGFI.</w:t>
      </w:r>
      <w:r w:rsidR="00BF0A40">
        <w:rPr>
          <w:rFonts w:ascii="Times New Roman" w:hAnsi="Times New Roman" w:cs="Times New Roman"/>
          <w:sz w:val="20"/>
          <w:szCs w:val="20"/>
        </w:rPr>
        <w:t xml:space="preserve"> </w:t>
      </w:r>
      <w:r>
        <w:rPr>
          <w:rFonts w:ascii="Times New Roman" w:hAnsi="Times New Roman" w:cs="Times New Roman"/>
          <w:sz w:val="20"/>
          <w:szCs w:val="20"/>
        </w:rPr>
        <w:t>A</w:t>
      </w:r>
      <w:r w:rsidR="00BF0A40">
        <w:rPr>
          <w:rFonts w:ascii="Times New Roman" w:hAnsi="Times New Roman" w:cs="Times New Roman"/>
          <w:sz w:val="20"/>
          <w:szCs w:val="20"/>
        </w:rPr>
        <w:t xml:space="preserve"> second possible solution is a dedicated CBGTI field and a 1-bit field for joint indication of NDI and CBGFI. In this case, toggling of the NDI/CBGFI bit </w:t>
      </w:r>
      <w:r w:rsidR="00430BCE">
        <w:rPr>
          <w:rFonts w:ascii="Times New Roman" w:hAnsi="Times New Roman" w:cs="Times New Roman"/>
          <w:sz w:val="20"/>
          <w:szCs w:val="20"/>
        </w:rPr>
        <w:t>may indicate</w:t>
      </w:r>
      <w:r w:rsidR="00BF0A40">
        <w:rPr>
          <w:rFonts w:ascii="Times New Roman" w:hAnsi="Times New Roman" w:cs="Times New Roman"/>
          <w:sz w:val="20"/>
          <w:szCs w:val="20"/>
        </w:rPr>
        <w:t xml:space="preserve"> to the UE to flush the soft buffer of the contents corresponding to a given HARQ process</w:t>
      </w:r>
      <w:r w:rsidR="00430BCE">
        <w:rPr>
          <w:rFonts w:ascii="Times New Roman" w:hAnsi="Times New Roman" w:cs="Times New Roman"/>
          <w:sz w:val="20"/>
          <w:szCs w:val="20"/>
        </w:rPr>
        <w:t xml:space="preserve"> (or more generally the UE is informed whether the currently received data can be combined with the contents of the soft buffer)</w:t>
      </w:r>
      <w:r w:rsidR="00BF0A40">
        <w:rPr>
          <w:rFonts w:ascii="Times New Roman" w:hAnsi="Times New Roman" w:cs="Times New Roman"/>
          <w:sz w:val="20"/>
          <w:szCs w:val="20"/>
        </w:rPr>
        <w:t xml:space="preserve">. </w:t>
      </w:r>
      <w:r w:rsidR="00430BCE">
        <w:rPr>
          <w:rFonts w:ascii="Times New Roman" w:hAnsi="Times New Roman" w:cs="Times New Roman"/>
          <w:sz w:val="20"/>
          <w:szCs w:val="20"/>
        </w:rPr>
        <w:t xml:space="preserve">As noted in </w:t>
      </w:r>
      <w:r w:rsidR="00430BCE">
        <w:rPr>
          <w:rFonts w:ascii="Times New Roman" w:hAnsi="Times New Roman" w:cs="Times New Roman"/>
          <w:sz w:val="20"/>
          <w:szCs w:val="20"/>
        </w:rPr>
        <w:fldChar w:fldCharType="begin"/>
      </w:r>
      <w:r w:rsidR="00430BCE">
        <w:rPr>
          <w:rFonts w:ascii="Times New Roman" w:hAnsi="Times New Roman" w:cs="Times New Roman"/>
          <w:sz w:val="20"/>
          <w:szCs w:val="20"/>
        </w:rPr>
        <w:instrText xml:space="preserve"> REF _Ref494712184 \n \h </w:instrText>
      </w:r>
      <w:r w:rsidR="00430BCE">
        <w:rPr>
          <w:rFonts w:ascii="Times New Roman" w:hAnsi="Times New Roman" w:cs="Times New Roman"/>
          <w:sz w:val="20"/>
          <w:szCs w:val="20"/>
        </w:rPr>
      </w:r>
      <w:r w:rsidR="00430BCE">
        <w:rPr>
          <w:rFonts w:ascii="Times New Roman" w:hAnsi="Times New Roman" w:cs="Times New Roman"/>
          <w:sz w:val="20"/>
          <w:szCs w:val="20"/>
        </w:rPr>
        <w:fldChar w:fldCharType="separate"/>
      </w:r>
      <w:r w:rsidR="00430BCE">
        <w:rPr>
          <w:rFonts w:ascii="Times New Roman" w:hAnsi="Times New Roman" w:cs="Times New Roman"/>
          <w:sz w:val="20"/>
          <w:szCs w:val="20"/>
        </w:rPr>
        <w:t>[4]</w:t>
      </w:r>
      <w:r w:rsidR="00430BCE">
        <w:rPr>
          <w:rFonts w:ascii="Times New Roman" w:hAnsi="Times New Roman" w:cs="Times New Roman"/>
          <w:sz w:val="20"/>
          <w:szCs w:val="20"/>
        </w:rPr>
        <w:fldChar w:fldCharType="end"/>
      </w:r>
      <w:r w:rsidR="00430BCE">
        <w:rPr>
          <w:rFonts w:ascii="Times New Roman" w:hAnsi="Times New Roman" w:cs="Times New Roman"/>
          <w:sz w:val="20"/>
          <w:szCs w:val="20"/>
        </w:rPr>
        <w:t>, the combination of CBGTI field and NDI/CBGFI field is sufficient to indicate UE behavior. For instance, when CBGTI indicates a full transmission, NDI/CBGFI field toggling indicates a new TB or retransmission of the previously scheduled TB. On the other hand, when CBGTI indicates a partial retransmission, NDI/CBGFI toggling can be used to indicate whether or not the soft buffer contents can be combined with the received data.</w:t>
      </w:r>
      <w:r w:rsidR="00BF0A40">
        <w:rPr>
          <w:rFonts w:ascii="Times New Roman" w:hAnsi="Times New Roman" w:cs="Times New Roman"/>
          <w:sz w:val="20"/>
          <w:szCs w:val="20"/>
        </w:rPr>
        <w:t xml:space="preserve"> Note that if CBGTI is not configured to be included in the DCI, the DCI field size is similar to the case when DL CBG operation is not configured.</w:t>
      </w:r>
    </w:p>
    <w:p w:rsidR="000961E5" w:rsidRPr="00D90BA5" w:rsidRDefault="000961E5" w:rsidP="000961E5">
      <w:pPr>
        <w:jc w:val="both"/>
      </w:pPr>
    </w:p>
    <w:p w:rsidR="00B16A71" w:rsidRDefault="009D2A8C" w:rsidP="00865B5C">
      <w:pPr>
        <w:pStyle w:val="BodyText"/>
        <w:rPr>
          <w:rFonts w:eastAsia="SimSun"/>
          <w:lang w:val="en-GB" w:eastAsia="zh-CN"/>
        </w:rPr>
      </w:pPr>
      <w:r>
        <w:rPr>
          <w:rFonts w:eastAsia="SimSun"/>
          <w:lang w:val="en-GB" w:eastAsia="zh-CN"/>
        </w:rPr>
        <w:t xml:space="preserve">CBGFI is not applicable for UL CBG-based operation as the gNB is in full control of scheduling and HARQ timing. </w:t>
      </w:r>
      <w:r w:rsidR="005D19D4">
        <w:rPr>
          <w:rFonts w:eastAsia="SimSun"/>
          <w:lang w:val="en-GB" w:eastAsia="zh-CN"/>
        </w:rPr>
        <w:t>Our preference is for Option 1 given the flexibility to jointly indicate NDI and CBGTI when CBGFI is configured.</w:t>
      </w:r>
    </w:p>
    <w:p w:rsidR="009354AC" w:rsidRDefault="009354AC" w:rsidP="00865B5C">
      <w:pPr>
        <w:pStyle w:val="BodyText"/>
        <w:rPr>
          <w:rFonts w:eastAsia="SimSun"/>
          <w:lang w:val="en-GB" w:eastAsia="zh-CN"/>
        </w:rPr>
      </w:pPr>
      <w:r w:rsidRPr="009354AC">
        <w:rPr>
          <w:rFonts w:eastAsia="SimSun"/>
          <w:b/>
          <w:u w:val="single"/>
          <w:lang w:val="en-GB" w:eastAsia="zh-CN"/>
        </w:rPr>
        <w:t>Proposal</w:t>
      </w:r>
      <w:r w:rsidR="00B5504B">
        <w:rPr>
          <w:rFonts w:eastAsia="SimSun"/>
          <w:b/>
          <w:u w:val="single"/>
          <w:lang w:val="en-GB" w:eastAsia="zh-CN"/>
        </w:rPr>
        <w:t xml:space="preserve"> 1</w:t>
      </w:r>
      <w:r>
        <w:rPr>
          <w:rFonts w:eastAsia="SimSun"/>
          <w:lang w:val="en-GB" w:eastAsia="zh-CN"/>
        </w:rPr>
        <w:t xml:space="preserve">: when CBGTI </w:t>
      </w:r>
      <w:r w:rsidR="005D19D4">
        <w:rPr>
          <w:rFonts w:eastAsia="SimSun"/>
          <w:lang w:val="en-GB" w:eastAsia="zh-CN"/>
        </w:rPr>
        <w:t xml:space="preserve">and CBGFI are both </w:t>
      </w:r>
      <w:r>
        <w:rPr>
          <w:rFonts w:eastAsia="SimSun"/>
          <w:lang w:val="en-GB" w:eastAsia="zh-CN"/>
        </w:rPr>
        <w:t xml:space="preserve">configured for a DCI scheduling a CBG-based transmission, the CBGTI/NDI are jointly signalled by the same field and an additional bit </w:t>
      </w:r>
      <w:r w:rsidR="005D19D4">
        <w:rPr>
          <w:rFonts w:eastAsia="SimSun"/>
          <w:lang w:val="en-GB" w:eastAsia="zh-CN"/>
        </w:rPr>
        <w:t xml:space="preserve">is used for </w:t>
      </w:r>
      <w:r>
        <w:rPr>
          <w:rFonts w:eastAsia="SimSun"/>
          <w:lang w:val="en-GB" w:eastAsia="zh-CN"/>
        </w:rPr>
        <w:t>CBGFI if configured</w:t>
      </w:r>
      <w:r>
        <w:t>.</w:t>
      </w:r>
      <w:r w:rsidR="005D19D4">
        <w:t xml:space="preserve"> Otherwise if CBGFI is not configured, separate fields are used for CBGTI and NDI.</w:t>
      </w:r>
    </w:p>
    <w:p w:rsidR="0039047A" w:rsidRDefault="0039047A" w:rsidP="00865B5C">
      <w:pPr>
        <w:pStyle w:val="BodyText"/>
        <w:rPr>
          <w:rFonts w:eastAsia="SimSun"/>
          <w:lang w:val="en-GB" w:eastAsia="zh-CN"/>
        </w:rPr>
      </w:pPr>
    </w:p>
    <w:p w:rsidR="00F47FCC" w:rsidRDefault="00F47FCC" w:rsidP="00F47FCC">
      <w:pPr>
        <w:pStyle w:val="Heading2"/>
        <w:rPr>
          <w:lang w:val="en-GB"/>
        </w:rPr>
      </w:pPr>
      <w:r>
        <w:rPr>
          <w:lang w:val="en-GB"/>
        </w:rPr>
        <w:t>Support of 2CW transmission</w:t>
      </w:r>
    </w:p>
    <w:p w:rsidR="00710559" w:rsidRDefault="005D19D4" w:rsidP="00865B5C">
      <w:pPr>
        <w:pStyle w:val="BodyText"/>
        <w:rPr>
          <w:rFonts w:eastAsia="SimSun"/>
          <w:lang w:val="en-GB" w:eastAsia="zh-CN"/>
        </w:rPr>
      </w:pPr>
      <w:r>
        <w:rPr>
          <w:rFonts w:eastAsia="SimSun"/>
          <w:lang w:val="en-GB" w:eastAsia="zh-CN"/>
        </w:rPr>
        <w:t xml:space="preserve">When a UE is configured for DL CBG-based operation and is configured to receive up to 2 CWs in a PDSCH, separate CBG indication fields per CW would lead to excessive signaling overhead. </w:t>
      </w:r>
      <w:r w:rsidR="00710559">
        <w:rPr>
          <w:rFonts w:eastAsia="SimSun"/>
          <w:lang w:val="en-GB" w:eastAsia="zh-CN"/>
        </w:rPr>
        <w:t>Specifically, 2 (N + 1) bits would be required by doubling the number of bits required for single CW transmission. One possibility is to split a fixed total number of bits provisioned for CBG-based operation between each CW. A second option is to consider common CBG indications for both TBs. We note that operation with 2 CWs is not likely in many scenarios since it implies more than 4-layer transmission. Therefore we do not see a need to optimize for 2CW transmission. As such, fixing the total number of CBG indication bits and splitting between the codewords is sufficient.</w:t>
      </w:r>
    </w:p>
    <w:p w:rsidR="00F47FCC" w:rsidRDefault="00710559" w:rsidP="00865B5C">
      <w:pPr>
        <w:pStyle w:val="BodyText"/>
        <w:rPr>
          <w:rFonts w:eastAsia="SimSun"/>
          <w:lang w:val="en-GB" w:eastAsia="zh-CN"/>
        </w:rPr>
      </w:pPr>
      <w:r w:rsidRPr="00816978">
        <w:rPr>
          <w:rFonts w:eastAsia="SimSun"/>
          <w:b/>
          <w:u w:val="single"/>
          <w:lang w:val="en-GB" w:eastAsia="zh-CN"/>
        </w:rPr>
        <w:t>Pro</w:t>
      </w:r>
      <w:r w:rsidR="00816978" w:rsidRPr="00816978">
        <w:rPr>
          <w:rFonts w:eastAsia="SimSun"/>
          <w:b/>
          <w:u w:val="single"/>
          <w:lang w:val="en-GB" w:eastAsia="zh-CN"/>
        </w:rPr>
        <w:t>posal</w:t>
      </w:r>
      <w:r w:rsidR="00B5504B">
        <w:rPr>
          <w:rFonts w:eastAsia="SimSun"/>
          <w:b/>
          <w:u w:val="single"/>
          <w:lang w:val="en-GB" w:eastAsia="zh-CN"/>
        </w:rPr>
        <w:t xml:space="preserve"> 2</w:t>
      </w:r>
      <w:r w:rsidR="00816978">
        <w:rPr>
          <w:rFonts w:eastAsia="SimSun"/>
          <w:lang w:val="en-GB" w:eastAsia="zh-CN"/>
        </w:rPr>
        <w:t>: the total number of CBGTI bits configured in DCI for DL CBG-based (re)transmission is constant  irrespective of whether PDSCH with one or 2 CWs is scheduled.</w:t>
      </w:r>
      <w:r>
        <w:rPr>
          <w:rFonts w:eastAsia="SimSun"/>
          <w:lang w:val="en-GB" w:eastAsia="zh-CN"/>
        </w:rPr>
        <w:t xml:space="preserve"> </w:t>
      </w:r>
    </w:p>
    <w:p w:rsidR="00F47FCC" w:rsidRPr="00BF0A40" w:rsidRDefault="00F47FCC" w:rsidP="00865B5C">
      <w:pPr>
        <w:pStyle w:val="BodyText"/>
        <w:rPr>
          <w:lang w:eastAsia="ja-JP"/>
        </w:rPr>
      </w:pPr>
    </w:p>
    <w:p w:rsidR="002C1113" w:rsidRDefault="001548D6" w:rsidP="001548D6">
      <w:pPr>
        <w:pStyle w:val="Heading2"/>
      </w:pPr>
      <w:r>
        <w:t>Remaining details of UL control signaling</w:t>
      </w:r>
    </w:p>
    <w:p w:rsidR="00956C1A" w:rsidRDefault="00E201BC" w:rsidP="00EB6FB1">
      <w:pPr>
        <w:pStyle w:val="BodyText"/>
        <w:rPr>
          <w:rFonts w:eastAsia="SimSun"/>
          <w:lang w:eastAsia="zh-CN"/>
        </w:rPr>
      </w:pPr>
      <w:r>
        <w:rPr>
          <w:rFonts w:eastAsia="SimSun"/>
          <w:lang w:eastAsia="zh-CN"/>
        </w:rPr>
        <w:t xml:space="preserve">Some agreements on </w:t>
      </w:r>
      <w:r w:rsidR="00956C1A">
        <w:rPr>
          <w:rFonts w:eastAsia="SimSun"/>
          <w:lang w:eastAsia="zh-CN"/>
        </w:rPr>
        <w:t xml:space="preserve">UL control signaling </w:t>
      </w:r>
      <w:r>
        <w:rPr>
          <w:rFonts w:eastAsia="SimSun"/>
          <w:lang w:eastAsia="zh-CN"/>
        </w:rPr>
        <w:t xml:space="preserve">were achieved at the </w:t>
      </w:r>
      <w:r w:rsidR="00956C1A">
        <w:rPr>
          <w:rFonts w:eastAsia="SimSun"/>
          <w:lang w:eastAsia="zh-CN"/>
        </w:rPr>
        <w:t>RAN1 #90</w:t>
      </w:r>
      <w:r>
        <w:rPr>
          <w:rFonts w:eastAsia="SimSun"/>
          <w:lang w:eastAsia="zh-CN"/>
        </w:rPr>
        <w:t xml:space="preserve"> meeting as follows,</w:t>
      </w:r>
    </w:p>
    <w:p w:rsidR="00956C1A" w:rsidRPr="005840DE" w:rsidRDefault="00956C1A" w:rsidP="00956C1A">
      <w:pPr>
        <w:rPr>
          <w:rFonts w:eastAsia="MS Mincho"/>
          <w:b/>
          <w:highlight w:val="yellow"/>
          <w:u w:val="single"/>
          <w:lang w:eastAsia="ja-JP"/>
        </w:rPr>
      </w:pPr>
      <w:r w:rsidRPr="00D55460">
        <w:rPr>
          <w:rFonts w:eastAsia="MS Mincho" w:hint="eastAsia"/>
          <w:b/>
          <w:highlight w:val="green"/>
          <w:u w:val="single"/>
          <w:lang w:eastAsia="ja-JP"/>
        </w:rPr>
        <w:t>Agreements:</w:t>
      </w:r>
    </w:p>
    <w:p w:rsidR="00956C1A" w:rsidRPr="00D55460" w:rsidRDefault="00956C1A" w:rsidP="00956C1A">
      <w:pPr>
        <w:numPr>
          <w:ilvl w:val="0"/>
          <w:numId w:val="21"/>
        </w:numPr>
        <w:tabs>
          <w:tab w:val="clear" w:pos="360"/>
          <w:tab w:val="num" w:pos="720"/>
          <w:tab w:val="left" w:pos="1440"/>
        </w:tabs>
        <w:ind w:left="720"/>
        <w:rPr>
          <w:rFonts w:eastAsia="MS Mincho"/>
          <w:lang w:eastAsia="ja-JP"/>
        </w:rPr>
      </w:pPr>
      <w:r w:rsidRPr="00D55460">
        <w:rPr>
          <w:rFonts w:eastAsia="MS Mincho"/>
          <w:lang w:eastAsia="ja-JP"/>
        </w:rPr>
        <w:t>For single CW case with CBG based retransmission</w:t>
      </w:r>
      <w:r w:rsidRPr="00D55460">
        <w:rPr>
          <w:rFonts w:eastAsia="MS Mincho" w:hint="eastAsia"/>
          <w:lang w:eastAsia="ja-JP"/>
        </w:rPr>
        <w:t xml:space="preserve"> for the semi-static codebook with HARQ-ACK multiplexing</w:t>
      </w:r>
      <w:r w:rsidRPr="00D55460">
        <w:rPr>
          <w:rFonts w:eastAsia="MS Mincho"/>
          <w:lang w:eastAsia="ja-JP"/>
        </w:rPr>
        <w:t>, at least following is supported for the HARQ-ACK composition and mapping per TB</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lang w:eastAsia="ja-JP"/>
        </w:rPr>
        <w:t xml:space="preserve">HARQ-ACK codebook </w:t>
      </w:r>
      <w:r w:rsidRPr="00D55460">
        <w:rPr>
          <w:rFonts w:eastAsia="MS Mincho" w:hint="eastAsia"/>
          <w:lang w:eastAsia="ja-JP"/>
        </w:rPr>
        <w:t xml:space="preserve">includes </w:t>
      </w:r>
      <w:r w:rsidRPr="00D55460">
        <w:rPr>
          <w:rFonts w:eastAsia="MS Mincho"/>
          <w:lang w:eastAsia="ja-JP"/>
        </w:rPr>
        <w:t>HARQ-ACK corresponding to all the CBGs (including the non-scheduled CBG(s))</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hint="eastAsia"/>
          <w:lang w:eastAsia="ja-JP"/>
        </w:rPr>
        <w:t>At least followings are supported</w:t>
      </w:r>
    </w:p>
    <w:p w:rsidR="00956C1A" w:rsidRPr="00D55460" w:rsidRDefault="00956C1A" w:rsidP="00956C1A">
      <w:pPr>
        <w:numPr>
          <w:ilvl w:val="2"/>
          <w:numId w:val="21"/>
        </w:numPr>
        <w:tabs>
          <w:tab w:val="clear" w:pos="1800"/>
          <w:tab w:val="left" w:pos="1440"/>
          <w:tab w:val="num" w:pos="2160"/>
        </w:tabs>
        <w:ind w:left="2160"/>
        <w:rPr>
          <w:rFonts w:eastAsia="MS Mincho"/>
          <w:lang w:eastAsia="ja-JP"/>
        </w:rPr>
      </w:pPr>
      <w:r w:rsidRPr="00D55460">
        <w:rPr>
          <w:rFonts w:eastAsia="MS Mincho"/>
          <w:lang w:eastAsia="ja-JP"/>
        </w:rPr>
        <w:t>HARQ-ACK payload size is the same with the configured number of CBGs</w:t>
      </w:r>
    </w:p>
    <w:p w:rsidR="00956C1A" w:rsidRPr="00D55460" w:rsidRDefault="00956C1A" w:rsidP="00956C1A">
      <w:pPr>
        <w:numPr>
          <w:ilvl w:val="2"/>
          <w:numId w:val="21"/>
        </w:numPr>
        <w:tabs>
          <w:tab w:val="clear" w:pos="1800"/>
          <w:tab w:val="left" w:pos="1440"/>
          <w:tab w:val="num" w:pos="2160"/>
        </w:tabs>
        <w:ind w:left="2160"/>
        <w:rPr>
          <w:rFonts w:eastAsia="MS Mincho"/>
          <w:lang w:eastAsia="ja-JP"/>
        </w:rPr>
      </w:pPr>
      <w:r w:rsidRPr="00D55460">
        <w:rPr>
          <w:rFonts w:eastAsia="MS Mincho"/>
          <w:lang w:eastAsia="ja-JP"/>
        </w:rPr>
        <w:t>Each HARQ-ACK bit corresponds to each CBG</w:t>
      </w:r>
    </w:p>
    <w:p w:rsidR="00956C1A" w:rsidRPr="00D55460" w:rsidRDefault="00956C1A" w:rsidP="00956C1A">
      <w:pPr>
        <w:numPr>
          <w:ilvl w:val="2"/>
          <w:numId w:val="21"/>
        </w:numPr>
        <w:tabs>
          <w:tab w:val="clear" w:pos="1800"/>
          <w:tab w:val="left" w:pos="1440"/>
          <w:tab w:val="num" w:pos="2160"/>
        </w:tabs>
        <w:ind w:left="2160"/>
        <w:rPr>
          <w:rFonts w:eastAsia="MS Mincho"/>
          <w:lang w:eastAsia="ja-JP"/>
        </w:rPr>
      </w:pPr>
      <w:r w:rsidRPr="00D55460">
        <w:rPr>
          <w:rFonts w:eastAsia="MS Mincho" w:hint="eastAsia"/>
          <w:lang w:eastAsia="ja-JP"/>
        </w:rPr>
        <w:t>FFS payload size reduction</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lang w:eastAsia="ja-JP"/>
        </w:rPr>
        <w:t>ACK is reported for a CBG if the same CBG has been successfully decoded</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hint="eastAsia"/>
          <w:lang w:eastAsia="ja-JP"/>
        </w:rPr>
        <w:lastRenderedPageBreak/>
        <w:t xml:space="preserve">FFS how to handle the case </w:t>
      </w:r>
      <w:r w:rsidRPr="00D55460">
        <w:rPr>
          <w:rFonts w:eastAsia="MS Mincho"/>
          <w:lang w:eastAsia="ja-JP"/>
        </w:rPr>
        <w:t>if TB CRC check is not passed while CB CRC check is passed for all the CBs</w:t>
      </w:r>
    </w:p>
    <w:p w:rsidR="00E201BC" w:rsidRDefault="00E201BC" w:rsidP="00EB6FB1">
      <w:pPr>
        <w:pStyle w:val="BodyText"/>
        <w:rPr>
          <w:rFonts w:eastAsia="SimSun"/>
          <w:lang w:eastAsia="zh-CN"/>
        </w:rPr>
      </w:pPr>
    </w:p>
    <w:p w:rsidR="00E201BC" w:rsidRDefault="00EB6FB1" w:rsidP="00EB6FB1">
      <w:pPr>
        <w:pStyle w:val="BodyText"/>
        <w:rPr>
          <w:rFonts w:eastAsia="SimSun"/>
          <w:lang w:eastAsia="zh-CN"/>
        </w:rPr>
      </w:pPr>
      <w:r>
        <w:rPr>
          <w:rFonts w:eastAsia="SimSun"/>
          <w:lang w:eastAsia="zh-CN"/>
        </w:rPr>
        <w:t xml:space="preserve">Per the RAN1 coding agreement, if the total HARQ-ACK payload is between 3 and 11 bits the UE encodes the HARQ-ACK payload using RM coding. Note that this is a likely scenario given that for up to 4 layers a UE is scheduled with only 1 codeword. Thus, </w:t>
      </w:r>
      <w:r w:rsidR="00E201BC">
        <w:rPr>
          <w:rFonts w:eastAsia="SimSun"/>
          <w:lang w:eastAsia="zh-CN"/>
        </w:rPr>
        <w:t xml:space="preserve">semi-static codebook adaptation using RM coding can be the baseline when the maximum number of CBGs is less or equal to 11. </w:t>
      </w:r>
    </w:p>
    <w:p w:rsidR="00E201BC" w:rsidRDefault="00E201BC" w:rsidP="00E201BC">
      <w:pPr>
        <w:pStyle w:val="BodyText"/>
        <w:rPr>
          <w:rFonts w:eastAsia="SimSun"/>
          <w:lang w:eastAsia="zh-CN"/>
        </w:rPr>
      </w:pPr>
      <w:r>
        <w:rPr>
          <w:rFonts w:eastAsia="SimSun"/>
          <w:lang w:eastAsia="zh-CN"/>
        </w:rPr>
        <w:t xml:space="preserve">There are other likely scenarios with significantly larger total HARQ-ACK payload size in a given feedback occasion. For instance, a UE may be scheduled to transmit HARQ-ACK feedback corresponding to </w:t>
      </w:r>
      <w:r w:rsidR="00AD7DDD">
        <w:rPr>
          <w:rFonts w:eastAsia="SimSun"/>
          <w:lang w:eastAsia="zh-CN"/>
        </w:rPr>
        <w:t>more than one PDSCH</w:t>
      </w:r>
      <w:r>
        <w:rPr>
          <w:rFonts w:eastAsia="SimSun"/>
          <w:lang w:eastAsia="zh-CN"/>
        </w:rPr>
        <w:t xml:space="preserve">. RAN1 has agreed to employ polar coding when the total HARQ-ACK payload size is greater than 11 bits. Here, dynamic codebook adaptation may be more appropriate to match the HARQ-ACK payload to what needs to be fed back. </w:t>
      </w:r>
    </w:p>
    <w:p w:rsidR="00E201BC" w:rsidRDefault="00E201BC" w:rsidP="00E201BC">
      <w:pPr>
        <w:pStyle w:val="BodyText"/>
        <w:rPr>
          <w:rFonts w:eastAsia="SimSun"/>
          <w:b/>
          <w:lang w:eastAsia="zh-CN"/>
        </w:rPr>
      </w:pPr>
      <w:r w:rsidRPr="00B5504B">
        <w:rPr>
          <w:rFonts w:eastAsia="SimSun"/>
          <w:b/>
          <w:u w:val="single"/>
          <w:lang w:eastAsia="zh-CN"/>
        </w:rPr>
        <w:t>Proposal</w:t>
      </w:r>
      <w:r w:rsidR="00B5504B" w:rsidRPr="00B5504B">
        <w:rPr>
          <w:rFonts w:eastAsia="SimSun"/>
          <w:b/>
          <w:u w:val="single"/>
          <w:lang w:eastAsia="zh-CN"/>
        </w:rPr>
        <w:t xml:space="preserve"> </w:t>
      </w:r>
      <w:r w:rsidR="00273BDC">
        <w:rPr>
          <w:rFonts w:eastAsia="SimSun"/>
          <w:b/>
          <w:u w:val="single"/>
          <w:lang w:eastAsia="zh-CN"/>
        </w:rPr>
        <w:t>3</w:t>
      </w:r>
      <w:r w:rsidRPr="009F2126">
        <w:rPr>
          <w:rFonts w:eastAsia="SimSun"/>
          <w:b/>
          <w:lang w:eastAsia="zh-CN"/>
        </w:rPr>
        <w:t xml:space="preserve">: </w:t>
      </w:r>
      <w:r w:rsidRPr="00B5504B">
        <w:rPr>
          <w:rFonts w:eastAsia="SimSun"/>
          <w:lang w:eastAsia="zh-CN"/>
        </w:rPr>
        <w:t>Dynamic codebook adaptation is supported for large HARQ-ACK payloads and CBG-based operation.</w:t>
      </w:r>
    </w:p>
    <w:p w:rsidR="00E201BC" w:rsidRDefault="00E201BC" w:rsidP="00E201BC">
      <w:pPr>
        <w:pStyle w:val="BodyText"/>
        <w:rPr>
          <w:rFonts w:eastAsia="SimSun"/>
          <w:lang w:eastAsia="zh-CN"/>
        </w:rPr>
      </w:pPr>
      <w:r>
        <w:rPr>
          <w:rFonts w:eastAsia="SimSun"/>
          <w:lang w:eastAsia="zh-CN"/>
        </w:rPr>
        <w:t xml:space="preserve">For dynamic codebook adaptation an issue may arise, where for a given HARQ retransmission of a TB, the CRC checksum passes for all CBs of a TB but the TB-level CRC checksum fails. In this case it should be possible for a UE to request a retransmission of the entire TB. One solution is that codebook adaptation is based on the number of PDSCHs but for each PDSCH a fixed number of HARQ-ACK bits </w:t>
      </w:r>
      <w:r w:rsidR="00AD7DDD">
        <w:rPr>
          <w:rFonts w:eastAsia="SimSun"/>
          <w:lang w:eastAsia="zh-CN"/>
        </w:rPr>
        <w:t>would be</w:t>
      </w:r>
      <w:r>
        <w:rPr>
          <w:rFonts w:eastAsia="SimSun"/>
          <w:lang w:eastAsia="zh-CN"/>
        </w:rPr>
        <w:t xml:space="preserve"> generated.</w:t>
      </w:r>
    </w:p>
    <w:p w:rsidR="00E201BC" w:rsidRDefault="00E201BC" w:rsidP="00E201BC">
      <w:pPr>
        <w:pStyle w:val="BodyText"/>
        <w:rPr>
          <w:rFonts w:eastAsia="SimSun"/>
          <w:b/>
          <w:lang w:eastAsia="zh-CN"/>
        </w:rPr>
      </w:pPr>
      <w:r w:rsidRPr="00B5504B">
        <w:rPr>
          <w:rFonts w:eastAsia="SimSun"/>
          <w:b/>
          <w:u w:val="single"/>
          <w:lang w:eastAsia="zh-CN"/>
        </w:rPr>
        <w:t>Proposal</w:t>
      </w:r>
      <w:r w:rsidR="00B5504B" w:rsidRPr="00B5504B">
        <w:rPr>
          <w:rFonts w:eastAsia="SimSun"/>
          <w:b/>
          <w:u w:val="single"/>
          <w:lang w:eastAsia="zh-CN"/>
        </w:rPr>
        <w:t xml:space="preserve"> </w:t>
      </w:r>
      <w:r w:rsidR="00273BDC">
        <w:rPr>
          <w:rFonts w:eastAsia="SimSun"/>
          <w:b/>
          <w:u w:val="single"/>
          <w:lang w:eastAsia="zh-CN"/>
        </w:rPr>
        <w:t>4</w:t>
      </w:r>
      <w:r>
        <w:rPr>
          <w:rFonts w:eastAsia="SimSun"/>
          <w:b/>
          <w:lang w:eastAsia="zh-CN"/>
        </w:rPr>
        <w:t xml:space="preserve">: </w:t>
      </w:r>
    </w:p>
    <w:p w:rsidR="00E201BC" w:rsidRPr="00B5504B" w:rsidRDefault="00E201BC" w:rsidP="00E201BC">
      <w:pPr>
        <w:pStyle w:val="BodyText"/>
        <w:numPr>
          <w:ilvl w:val="0"/>
          <w:numId w:val="25"/>
        </w:numPr>
        <w:rPr>
          <w:rFonts w:eastAsia="SimSun"/>
          <w:lang w:eastAsia="zh-CN"/>
        </w:rPr>
      </w:pPr>
      <w:r w:rsidRPr="00B5504B">
        <w:rPr>
          <w:rFonts w:eastAsia="SimSun"/>
          <w:lang w:eastAsia="zh-CN"/>
        </w:rPr>
        <w:t>Dynamic codebook adaptation for CBG-based operation is based on the number of PDSCHs scheduled for HARQ-ACK feedback, where HARQ-ACK payload size is fixed for each PDSCH.</w:t>
      </w:r>
    </w:p>
    <w:p w:rsidR="00E201BC" w:rsidRPr="00F70E7B" w:rsidRDefault="00022E4F" w:rsidP="00022E4F">
      <w:pPr>
        <w:pStyle w:val="BodyText"/>
        <w:numPr>
          <w:ilvl w:val="1"/>
          <w:numId w:val="25"/>
        </w:numPr>
        <w:rPr>
          <w:rFonts w:eastAsia="SimSun"/>
          <w:b/>
          <w:lang w:eastAsia="zh-CN"/>
        </w:rPr>
      </w:pPr>
      <w:r w:rsidRPr="00B5504B">
        <w:rPr>
          <w:rFonts w:eastAsia="SimSun"/>
          <w:lang w:eastAsia="zh-CN"/>
        </w:rPr>
        <w:t>The UE can request a retransmission of a TB if CRC checksum passes for all CBs of the TB but the TB-level CRC checksum fails.</w:t>
      </w:r>
      <w:r>
        <w:rPr>
          <w:rFonts w:eastAsia="SimSun"/>
          <w:b/>
          <w:lang w:eastAsia="zh-CN"/>
        </w:rPr>
        <w:t xml:space="preserve"> </w:t>
      </w: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F47FCC">
        <w:rPr>
          <w:rFonts w:eastAsia="SimSun"/>
          <w:lang w:eastAsia="zh-CN"/>
        </w:rPr>
        <w:t xml:space="preserve">several open issues for CBG-based operation. The outcome of the discussion is captured by the following </w:t>
      </w:r>
      <w:r w:rsidR="00022E4F">
        <w:rPr>
          <w:rFonts w:eastAsia="SimSun"/>
          <w:lang w:eastAsia="zh-CN"/>
        </w:rPr>
        <w:t xml:space="preserve">observation and </w:t>
      </w:r>
      <w:r w:rsidR="00F47FCC">
        <w:rPr>
          <w:rFonts w:eastAsia="SimSun"/>
          <w:lang w:eastAsia="zh-CN"/>
        </w:rPr>
        <w:t>proposals</w:t>
      </w:r>
      <w:r w:rsidR="00E93231">
        <w:rPr>
          <w:rFonts w:eastAsia="SimSun"/>
          <w:lang w:eastAsia="zh-CN"/>
        </w:rPr>
        <w:t>:</w:t>
      </w:r>
      <w:r w:rsidR="008D66D8">
        <w:rPr>
          <w:rFonts w:eastAsia="SimSun"/>
          <w:lang w:eastAsia="zh-CN"/>
        </w:rPr>
        <w:t xml:space="preserve"> </w:t>
      </w:r>
    </w:p>
    <w:p w:rsidR="00B5504B" w:rsidRDefault="00B5504B" w:rsidP="00B5504B">
      <w:pPr>
        <w:pStyle w:val="BodyText"/>
        <w:rPr>
          <w:lang w:eastAsia="ja-JP"/>
        </w:rPr>
      </w:pPr>
      <w:r w:rsidRPr="009354AC">
        <w:rPr>
          <w:b/>
          <w:u w:val="single"/>
          <w:lang w:eastAsia="ja-JP"/>
        </w:rPr>
        <w:t>Observation</w:t>
      </w:r>
      <w:r>
        <w:rPr>
          <w:lang w:eastAsia="ja-JP"/>
        </w:rPr>
        <w:t>: configuring a CBGTI field in DCI of length equal to the maximum number of configured CBGs is an unnecessary overhead when the HARQ-ACK feedback is CRC protected.</w:t>
      </w:r>
    </w:p>
    <w:p w:rsidR="00B5504B" w:rsidRDefault="00B5504B" w:rsidP="00B5504B">
      <w:pPr>
        <w:pStyle w:val="BodyText"/>
        <w:rPr>
          <w:rFonts w:eastAsia="SimSun"/>
          <w:lang w:val="en-GB" w:eastAsia="zh-CN"/>
        </w:rPr>
      </w:pPr>
      <w:r w:rsidRPr="009354AC">
        <w:rPr>
          <w:rFonts w:eastAsia="SimSun"/>
          <w:b/>
          <w:u w:val="single"/>
          <w:lang w:val="en-GB" w:eastAsia="zh-CN"/>
        </w:rPr>
        <w:t>Proposal</w:t>
      </w:r>
      <w:r>
        <w:rPr>
          <w:rFonts w:eastAsia="SimSun"/>
          <w:b/>
          <w:u w:val="single"/>
          <w:lang w:val="en-GB" w:eastAsia="zh-CN"/>
        </w:rPr>
        <w:t xml:space="preserve"> 1</w:t>
      </w:r>
      <w:r>
        <w:rPr>
          <w:rFonts w:eastAsia="SimSun"/>
          <w:lang w:val="en-GB" w:eastAsia="zh-CN"/>
        </w:rPr>
        <w:t>: when CBGTI and CBGFI are both configured for a DCI scheduling a CBG-based transmission, the CBGTI/NDI are jointly signalled by the same field and an additional bit is used for CBGFI if configured</w:t>
      </w:r>
      <w:r>
        <w:t>. Otherwise if CBGFI is not configured, separate fields are used for CBGTI and NDI.</w:t>
      </w:r>
    </w:p>
    <w:p w:rsidR="00B5504B" w:rsidRDefault="00B5504B" w:rsidP="00B5504B">
      <w:pPr>
        <w:pStyle w:val="BodyText"/>
        <w:rPr>
          <w:rFonts w:eastAsia="SimSun"/>
          <w:lang w:val="en-GB" w:eastAsia="zh-CN"/>
        </w:rPr>
      </w:pPr>
      <w:r w:rsidRPr="00816978">
        <w:rPr>
          <w:rFonts w:eastAsia="SimSun"/>
          <w:b/>
          <w:u w:val="single"/>
          <w:lang w:val="en-GB" w:eastAsia="zh-CN"/>
        </w:rPr>
        <w:t>Proposal</w:t>
      </w:r>
      <w:r>
        <w:rPr>
          <w:rFonts w:eastAsia="SimSun"/>
          <w:b/>
          <w:u w:val="single"/>
          <w:lang w:val="en-GB" w:eastAsia="zh-CN"/>
        </w:rPr>
        <w:t xml:space="preserve"> 2</w:t>
      </w:r>
      <w:r>
        <w:rPr>
          <w:rFonts w:eastAsia="SimSun"/>
          <w:lang w:val="en-GB" w:eastAsia="zh-CN"/>
        </w:rPr>
        <w:t xml:space="preserve">: the total number of CBGTI bits configured in DCI for DL CBG-based (re)transmission is constant  irrespective of whether PDSCH with one or 2 CWs is scheduled. </w:t>
      </w:r>
    </w:p>
    <w:p w:rsidR="00B5504B" w:rsidRDefault="00B5504B" w:rsidP="00B5504B">
      <w:pPr>
        <w:pStyle w:val="BodyText"/>
        <w:rPr>
          <w:rFonts w:eastAsia="SimSun"/>
          <w:b/>
          <w:lang w:eastAsia="zh-CN"/>
        </w:rPr>
      </w:pPr>
      <w:r w:rsidRPr="00B5504B">
        <w:rPr>
          <w:rFonts w:eastAsia="SimSun"/>
          <w:b/>
          <w:u w:val="single"/>
          <w:lang w:eastAsia="zh-CN"/>
        </w:rPr>
        <w:t xml:space="preserve">Proposal </w:t>
      </w:r>
      <w:r w:rsidR="00273BDC">
        <w:rPr>
          <w:rFonts w:eastAsia="SimSun"/>
          <w:b/>
          <w:u w:val="single"/>
          <w:lang w:eastAsia="zh-CN"/>
        </w:rPr>
        <w:t>3</w:t>
      </w:r>
      <w:r w:rsidRPr="009F2126">
        <w:rPr>
          <w:rFonts w:eastAsia="SimSun"/>
          <w:b/>
          <w:lang w:eastAsia="zh-CN"/>
        </w:rPr>
        <w:t>:</w:t>
      </w:r>
      <w:r w:rsidRPr="00B5504B">
        <w:rPr>
          <w:rFonts w:eastAsia="SimSun"/>
          <w:lang w:eastAsia="zh-CN"/>
        </w:rPr>
        <w:t xml:space="preserve"> Dynamic codebook adaptation is supported for large HARQ-ACK payloads and CBG-based operation.</w:t>
      </w:r>
    </w:p>
    <w:p w:rsidR="00B5504B" w:rsidRDefault="00B5504B" w:rsidP="00B5504B">
      <w:pPr>
        <w:pStyle w:val="BodyText"/>
        <w:rPr>
          <w:rFonts w:eastAsia="SimSun"/>
          <w:b/>
          <w:lang w:eastAsia="zh-CN"/>
        </w:rPr>
      </w:pPr>
      <w:r w:rsidRPr="00B5504B">
        <w:rPr>
          <w:rFonts w:eastAsia="SimSun"/>
          <w:b/>
          <w:u w:val="single"/>
          <w:lang w:eastAsia="zh-CN"/>
        </w:rPr>
        <w:t xml:space="preserve">Proposal </w:t>
      </w:r>
      <w:r w:rsidR="00273BDC">
        <w:rPr>
          <w:rFonts w:eastAsia="SimSun"/>
          <w:b/>
          <w:u w:val="single"/>
          <w:lang w:eastAsia="zh-CN"/>
        </w:rPr>
        <w:t>4</w:t>
      </w:r>
      <w:r>
        <w:rPr>
          <w:rFonts w:eastAsia="SimSun"/>
          <w:b/>
          <w:lang w:eastAsia="zh-CN"/>
        </w:rPr>
        <w:t xml:space="preserve">: </w:t>
      </w:r>
    </w:p>
    <w:p w:rsidR="00B5504B" w:rsidRPr="00B5504B" w:rsidRDefault="00B5504B" w:rsidP="00B5504B">
      <w:pPr>
        <w:pStyle w:val="BodyText"/>
        <w:numPr>
          <w:ilvl w:val="0"/>
          <w:numId w:val="25"/>
        </w:numPr>
        <w:rPr>
          <w:rFonts w:eastAsia="SimSun"/>
          <w:lang w:eastAsia="zh-CN"/>
        </w:rPr>
      </w:pPr>
      <w:r w:rsidRPr="00B5504B">
        <w:rPr>
          <w:rFonts w:eastAsia="SimSun"/>
          <w:lang w:eastAsia="zh-CN"/>
        </w:rPr>
        <w:t>Dynamic codebook adaptation for CBG-based operation is based on the number of PDSCHs scheduled for HARQ-ACK feedback, where HARQ-ACK payload size is fixed for each PDSCH.</w:t>
      </w:r>
    </w:p>
    <w:p w:rsidR="00B5504B" w:rsidRPr="00F70E7B" w:rsidRDefault="00B5504B" w:rsidP="00B5504B">
      <w:pPr>
        <w:pStyle w:val="BodyText"/>
        <w:numPr>
          <w:ilvl w:val="1"/>
          <w:numId w:val="25"/>
        </w:numPr>
        <w:rPr>
          <w:rFonts w:eastAsia="SimSun"/>
          <w:b/>
          <w:lang w:eastAsia="zh-CN"/>
        </w:rPr>
      </w:pPr>
      <w:r w:rsidRPr="00B5504B">
        <w:rPr>
          <w:rFonts w:eastAsia="SimSun"/>
          <w:lang w:eastAsia="zh-CN"/>
        </w:rPr>
        <w:t>The UE can request a retransmission of a TB if CRC checksum passes for all CBs of the TB but the TB-level CRC checksum fails.</w:t>
      </w:r>
      <w:r>
        <w:rPr>
          <w:rFonts w:eastAsia="SimSun"/>
          <w:b/>
          <w:lang w:eastAsia="zh-CN"/>
        </w:rPr>
        <w:t xml:space="preserve"> </w:t>
      </w:r>
    </w:p>
    <w:p w:rsidR="00801613" w:rsidRPr="00B5504B"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4C0AF9" w:rsidRDefault="00EA7547"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92892749"/>
      <w:bookmarkStart w:id="4" w:name="_Ref481759897"/>
      <w:bookmarkStart w:id="5" w:name="_Ref485116045"/>
      <w:bookmarkStart w:id="6" w:name="_Ref473632999"/>
      <w:bookmarkStart w:id="7" w:name="_Ref477464042"/>
      <w:bookmarkStart w:id="8" w:name="_Ref481076557"/>
      <w:r>
        <w:rPr>
          <w:rFonts w:eastAsia="SimSun"/>
          <w:noProof/>
          <w:lang w:eastAsia="zh-CN"/>
        </w:rPr>
        <w:t xml:space="preserve">R1-1715351, </w:t>
      </w:r>
      <w:r w:rsidR="003606BF">
        <w:rPr>
          <w:rFonts w:eastAsia="SimSun"/>
          <w:noProof/>
          <w:lang w:eastAsia="zh-CN"/>
        </w:rPr>
        <w:t>“</w:t>
      </w:r>
      <w:r w:rsidRPr="00EA7547">
        <w:rPr>
          <w:rFonts w:eastAsia="SimSun"/>
          <w:noProof/>
          <w:lang w:eastAsia="zh-CN"/>
        </w:rPr>
        <w:t>Draft</w:t>
      </w:r>
      <w:r>
        <w:rPr>
          <w:rFonts w:eastAsia="SimSun"/>
          <w:noProof/>
          <w:lang w:eastAsia="zh-CN"/>
        </w:rPr>
        <w:t xml:space="preserve"> </w:t>
      </w:r>
      <w:r w:rsidRPr="00EA7547">
        <w:rPr>
          <w:rFonts w:eastAsia="SimSun"/>
          <w:noProof/>
          <w:lang w:eastAsia="zh-CN"/>
        </w:rPr>
        <w:t>Report of 3GPP TSG RAN WG1 #90</w:t>
      </w:r>
      <w:r w:rsidR="003606BF">
        <w:rPr>
          <w:rFonts w:eastAsia="SimSun"/>
          <w:noProof/>
          <w:lang w:eastAsia="zh-CN"/>
        </w:rPr>
        <w:t xml:space="preserve">”, </w:t>
      </w:r>
      <w:r>
        <w:rPr>
          <w:rFonts w:eastAsia="SimSun"/>
          <w:noProof/>
          <w:lang w:eastAsia="zh-CN"/>
        </w:rPr>
        <w:t>MCC</w:t>
      </w:r>
      <w:bookmarkEnd w:id="3"/>
    </w:p>
    <w:p w:rsidR="00430BCE" w:rsidRDefault="00430BCE"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94711910"/>
      <w:bookmarkEnd w:id="4"/>
      <w:bookmarkEnd w:id="5"/>
      <w:r>
        <w:rPr>
          <w:rFonts w:eastAsia="SimSun"/>
          <w:noProof/>
          <w:lang w:eastAsia="zh-CN"/>
        </w:rPr>
        <w:t>R1-1712416, “D</w:t>
      </w:r>
      <w:r w:rsidRPr="007E6702">
        <w:rPr>
          <w:rFonts w:eastAsia="SimSun"/>
          <w:noProof/>
          <w:lang w:eastAsia="zh-CN"/>
        </w:rPr>
        <w:t>L control signaling design for CBG-based operation</w:t>
      </w:r>
      <w:r>
        <w:rPr>
          <w:rFonts w:eastAsia="SimSun"/>
          <w:noProof/>
          <w:lang w:eastAsia="zh-CN"/>
        </w:rPr>
        <w:t>”, CATT, RAN1 #90</w:t>
      </w:r>
      <w:bookmarkEnd w:id="9"/>
    </w:p>
    <w:p w:rsidR="00CE7A18" w:rsidRDefault="00CE7A18"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85116070"/>
      <w:r>
        <w:rPr>
          <w:rFonts w:eastAsia="SimSun"/>
          <w:noProof/>
          <w:lang w:eastAsia="zh-CN"/>
        </w:rPr>
        <w:t>R1-17</w:t>
      </w:r>
      <w:r w:rsidR="006D44AD">
        <w:rPr>
          <w:rFonts w:eastAsia="SimSun"/>
          <w:noProof/>
          <w:lang w:eastAsia="zh-CN"/>
        </w:rPr>
        <w:t>10726</w:t>
      </w:r>
      <w:r>
        <w:rPr>
          <w:rFonts w:eastAsia="SimSun"/>
          <w:noProof/>
          <w:lang w:eastAsia="zh-CN"/>
        </w:rPr>
        <w:t>, “</w:t>
      </w:r>
      <w:r w:rsidRPr="00CE7A18">
        <w:rPr>
          <w:rFonts w:eastAsia="SimSun"/>
          <w:noProof/>
          <w:lang w:eastAsia="zh-CN"/>
        </w:rPr>
        <w:t>Scheduling for CBG-based Retransmissions</w:t>
      </w:r>
      <w:r>
        <w:rPr>
          <w:rFonts w:eastAsia="SimSun"/>
          <w:noProof/>
          <w:lang w:eastAsia="zh-CN"/>
        </w:rPr>
        <w:t>”, Samsung, RAN1 #</w:t>
      </w:r>
      <w:r w:rsidR="006D44AD">
        <w:rPr>
          <w:rFonts w:eastAsia="SimSun"/>
          <w:noProof/>
          <w:lang w:eastAsia="zh-CN"/>
        </w:rPr>
        <w:t>NR_AH2</w:t>
      </w:r>
      <w:bookmarkEnd w:id="6"/>
      <w:bookmarkEnd w:id="7"/>
      <w:bookmarkEnd w:id="8"/>
      <w:bookmarkEnd w:id="10"/>
    </w:p>
    <w:p w:rsidR="00455DB1" w:rsidRDefault="00455DB1"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92926768"/>
      <w:bookmarkStart w:id="12" w:name="_Ref494712184"/>
      <w:r>
        <w:rPr>
          <w:rFonts w:eastAsia="SimSun"/>
          <w:noProof/>
          <w:lang w:eastAsia="zh-CN"/>
        </w:rPr>
        <w:t>R1-1715547, “</w:t>
      </w:r>
      <w:r w:rsidRPr="00455DB1">
        <w:rPr>
          <w:rFonts w:eastAsia="SimSun"/>
          <w:noProof/>
          <w:lang w:eastAsia="zh-CN"/>
        </w:rPr>
        <w:t>On CBG based transmissions</w:t>
      </w:r>
      <w:r>
        <w:rPr>
          <w:rFonts w:eastAsia="SimSun"/>
          <w:noProof/>
          <w:lang w:eastAsia="zh-CN"/>
        </w:rPr>
        <w:t>”, Nokia, RAN1 #NR_AH2</w:t>
      </w:r>
      <w:bookmarkEnd w:id="11"/>
      <w:bookmarkEnd w:id="12"/>
    </w:p>
    <w:sectPr w:rsidR="00455DB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A6B" w:rsidRDefault="00A77A6B" w:rsidP="00E9523A">
      <w:pPr>
        <w:ind w:left="-2"/>
      </w:pPr>
      <w:r>
        <w:separator/>
      </w:r>
    </w:p>
  </w:endnote>
  <w:endnote w:type="continuationSeparator" w:id="1">
    <w:p w:rsidR="00A77A6B" w:rsidRDefault="00A77A6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A6B" w:rsidRDefault="00A77A6B" w:rsidP="00E9523A">
      <w:pPr>
        <w:ind w:left="-2"/>
      </w:pPr>
      <w:r>
        <w:separator/>
      </w:r>
    </w:p>
  </w:footnote>
  <w:footnote w:type="continuationSeparator" w:id="1">
    <w:p w:rsidR="00A77A6B" w:rsidRDefault="00A77A6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9E3323"/>
    <w:multiLevelType w:val="hybridMultilevel"/>
    <w:tmpl w:val="62502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C9952D7"/>
    <w:multiLevelType w:val="hybridMultilevel"/>
    <w:tmpl w:val="AA867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nsid w:val="2E610E19"/>
    <w:multiLevelType w:val="hybridMultilevel"/>
    <w:tmpl w:val="088C372E"/>
    <w:lvl w:ilvl="0" w:tplc="04090001">
      <w:start w:val="1"/>
      <w:numFmt w:val="bullet"/>
      <w:lvlText w:val=""/>
      <w:lvlJc w:val="left"/>
      <w:pPr>
        <w:tabs>
          <w:tab w:val="num" w:pos="720"/>
        </w:tabs>
        <w:ind w:left="720" w:hanging="360"/>
      </w:pPr>
      <w:rPr>
        <w:rFonts w:ascii="Wingdings" w:hAnsi="Wingdings"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1">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3">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563878"/>
    <w:multiLevelType w:val="hybridMultilevel"/>
    <w:tmpl w:val="1ADEF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6">
    <w:nsid w:val="4CE94959"/>
    <w:multiLevelType w:val="hybridMultilevel"/>
    <w:tmpl w:val="24DA0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3320B"/>
    <w:multiLevelType w:val="hybridMultilevel"/>
    <w:tmpl w:val="01B4990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41E484F"/>
    <w:multiLevelType w:val="hybridMultilevel"/>
    <w:tmpl w:val="60B697DE"/>
    <w:lvl w:ilvl="0" w:tplc="9D900522">
      <w:start w:val="1"/>
      <w:numFmt w:val="bullet"/>
      <w:lvlText w:val="•"/>
      <w:lvlJc w:val="left"/>
      <w:pPr>
        <w:tabs>
          <w:tab w:val="num" w:pos="720"/>
        </w:tabs>
        <w:ind w:left="720" w:hanging="360"/>
      </w:pPr>
      <w:rPr>
        <w:rFonts w:ascii="Arial" w:hAnsi="Arial" w:hint="default"/>
      </w:rPr>
    </w:lvl>
    <w:lvl w:ilvl="1" w:tplc="64244BE2" w:tentative="1">
      <w:start w:val="1"/>
      <w:numFmt w:val="bullet"/>
      <w:lvlText w:val="•"/>
      <w:lvlJc w:val="left"/>
      <w:pPr>
        <w:tabs>
          <w:tab w:val="num" w:pos="1440"/>
        </w:tabs>
        <w:ind w:left="1440" w:hanging="360"/>
      </w:pPr>
      <w:rPr>
        <w:rFonts w:ascii="Arial" w:hAnsi="Arial" w:hint="default"/>
      </w:rPr>
    </w:lvl>
    <w:lvl w:ilvl="2" w:tplc="A5CAD0EE" w:tentative="1">
      <w:start w:val="1"/>
      <w:numFmt w:val="bullet"/>
      <w:lvlText w:val="•"/>
      <w:lvlJc w:val="left"/>
      <w:pPr>
        <w:tabs>
          <w:tab w:val="num" w:pos="2160"/>
        </w:tabs>
        <w:ind w:left="2160" w:hanging="360"/>
      </w:pPr>
      <w:rPr>
        <w:rFonts w:ascii="Arial" w:hAnsi="Arial" w:hint="default"/>
      </w:rPr>
    </w:lvl>
    <w:lvl w:ilvl="3" w:tplc="F5684028" w:tentative="1">
      <w:start w:val="1"/>
      <w:numFmt w:val="bullet"/>
      <w:lvlText w:val="•"/>
      <w:lvlJc w:val="left"/>
      <w:pPr>
        <w:tabs>
          <w:tab w:val="num" w:pos="2880"/>
        </w:tabs>
        <w:ind w:left="2880" w:hanging="360"/>
      </w:pPr>
      <w:rPr>
        <w:rFonts w:ascii="Arial" w:hAnsi="Arial" w:hint="default"/>
      </w:rPr>
    </w:lvl>
    <w:lvl w:ilvl="4" w:tplc="B390156E" w:tentative="1">
      <w:start w:val="1"/>
      <w:numFmt w:val="bullet"/>
      <w:lvlText w:val="•"/>
      <w:lvlJc w:val="left"/>
      <w:pPr>
        <w:tabs>
          <w:tab w:val="num" w:pos="3600"/>
        </w:tabs>
        <w:ind w:left="3600" w:hanging="360"/>
      </w:pPr>
      <w:rPr>
        <w:rFonts w:ascii="Arial" w:hAnsi="Arial" w:hint="default"/>
      </w:rPr>
    </w:lvl>
    <w:lvl w:ilvl="5" w:tplc="74DA6250" w:tentative="1">
      <w:start w:val="1"/>
      <w:numFmt w:val="bullet"/>
      <w:lvlText w:val="•"/>
      <w:lvlJc w:val="left"/>
      <w:pPr>
        <w:tabs>
          <w:tab w:val="num" w:pos="4320"/>
        </w:tabs>
        <w:ind w:left="4320" w:hanging="360"/>
      </w:pPr>
      <w:rPr>
        <w:rFonts w:ascii="Arial" w:hAnsi="Arial" w:hint="default"/>
      </w:rPr>
    </w:lvl>
    <w:lvl w:ilvl="6" w:tplc="FA78782E" w:tentative="1">
      <w:start w:val="1"/>
      <w:numFmt w:val="bullet"/>
      <w:lvlText w:val="•"/>
      <w:lvlJc w:val="left"/>
      <w:pPr>
        <w:tabs>
          <w:tab w:val="num" w:pos="5040"/>
        </w:tabs>
        <w:ind w:left="5040" w:hanging="360"/>
      </w:pPr>
      <w:rPr>
        <w:rFonts w:ascii="Arial" w:hAnsi="Arial" w:hint="default"/>
      </w:rPr>
    </w:lvl>
    <w:lvl w:ilvl="7" w:tplc="E82C71F0" w:tentative="1">
      <w:start w:val="1"/>
      <w:numFmt w:val="bullet"/>
      <w:lvlText w:val="•"/>
      <w:lvlJc w:val="left"/>
      <w:pPr>
        <w:tabs>
          <w:tab w:val="num" w:pos="5760"/>
        </w:tabs>
        <w:ind w:left="5760" w:hanging="360"/>
      </w:pPr>
      <w:rPr>
        <w:rFonts w:ascii="Arial" w:hAnsi="Arial" w:hint="default"/>
      </w:rPr>
    </w:lvl>
    <w:lvl w:ilvl="8" w:tplc="6088DF28" w:tentative="1">
      <w:start w:val="1"/>
      <w:numFmt w:val="bullet"/>
      <w:lvlText w:val="•"/>
      <w:lvlJc w:val="left"/>
      <w:pPr>
        <w:tabs>
          <w:tab w:val="num" w:pos="6480"/>
        </w:tabs>
        <w:ind w:left="6480" w:hanging="360"/>
      </w:pPr>
      <w:rPr>
        <w:rFonts w:ascii="Arial" w:hAnsi="Arial" w:hint="default"/>
      </w:rPr>
    </w:lvl>
  </w:abstractNum>
  <w:abstractNum w:abstractNumId="21">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2">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5">
    <w:nsid w:val="67D94D84"/>
    <w:multiLevelType w:val="hybridMultilevel"/>
    <w:tmpl w:val="1ADCBBB6"/>
    <w:lvl w:ilvl="0" w:tplc="E5AA61D0">
      <w:start w:val="1"/>
      <w:numFmt w:val="bullet"/>
      <w:lvlText w:val="•"/>
      <w:lvlJc w:val="left"/>
      <w:pPr>
        <w:tabs>
          <w:tab w:val="num" w:pos="360"/>
        </w:tabs>
        <w:ind w:left="360" w:hanging="360"/>
      </w:pPr>
      <w:rPr>
        <w:rFonts w:ascii="Arial" w:hAnsi="Arial" w:hint="default"/>
      </w:rPr>
    </w:lvl>
    <w:lvl w:ilvl="1" w:tplc="C9CE5C36">
      <w:start w:val="4101"/>
      <w:numFmt w:val="bullet"/>
      <w:lvlText w:val="–"/>
      <w:lvlJc w:val="left"/>
      <w:pPr>
        <w:tabs>
          <w:tab w:val="num" w:pos="1080"/>
        </w:tabs>
        <w:ind w:left="1080" w:hanging="360"/>
      </w:pPr>
      <w:rPr>
        <w:rFonts w:ascii="Arial" w:hAnsi="Arial" w:hint="default"/>
      </w:rPr>
    </w:lvl>
    <w:lvl w:ilvl="2" w:tplc="13ECA820">
      <w:start w:val="4101"/>
      <w:numFmt w:val="bullet"/>
      <w:lvlText w:val="•"/>
      <w:lvlJc w:val="left"/>
      <w:pPr>
        <w:tabs>
          <w:tab w:val="num" w:pos="1800"/>
        </w:tabs>
        <w:ind w:left="1800" w:hanging="360"/>
      </w:pPr>
      <w:rPr>
        <w:rFonts w:ascii="Arial" w:hAnsi="Arial" w:hint="default"/>
      </w:rPr>
    </w:lvl>
    <w:lvl w:ilvl="3" w:tplc="569ABAF4">
      <w:start w:val="1"/>
      <w:numFmt w:val="bullet"/>
      <w:lvlText w:val="•"/>
      <w:lvlJc w:val="left"/>
      <w:pPr>
        <w:tabs>
          <w:tab w:val="num" w:pos="2520"/>
        </w:tabs>
        <w:ind w:left="2520" w:hanging="360"/>
      </w:pPr>
      <w:rPr>
        <w:rFonts w:ascii="Arial" w:hAnsi="Arial" w:hint="default"/>
      </w:rPr>
    </w:lvl>
    <w:lvl w:ilvl="4" w:tplc="B2C82F34" w:tentative="1">
      <w:start w:val="1"/>
      <w:numFmt w:val="bullet"/>
      <w:lvlText w:val="•"/>
      <w:lvlJc w:val="left"/>
      <w:pPr>
        <w:tabs>
          <w:tab w:val="num" w:pos="3240"/>
        </w:tabs>
        <w:ind w:left="3240" w:hanging="360"/>
      </w:pPr>
      <w:rPr>
        <w:rFonts w:ascii="Arial" w:hAnsi="Arial" w:hint="default"/>
      </w:rPr>
    </w:lvl>
    <w:lvl w:ilvl="5" w:tplc="53100A54" w:tentative="1">
      <w:start w:val="1"/>
      <w:numFmt w:val="bullet"/>
      <w:lvlText w:val="•"/>
      <w:lvlJc w:val="left"/>
      <w:pPr>
        <w:tabs>
          <w:tab w:val="num" w:pos="3960"/>
        </w:tabs>
        <w:ind w:left="3960" w:hanging="360"/>
      </w:pPr>
      <w:rPr>
        <w:rFonts w:ascii="Arial" w:hAnsi="Arial" w:hint="default"/>
      </w:rPr>
    </w:lvl>
    <w:lvl w:ilvl="6" w:tplc="7228DEB0" w:tentative="1">
      <w:start w:val="1"/>
      <w:numFmt w:val="bullet"/>
      <w:lvlText w:val="•"/>
      <w:lvlJc w:val="left"/>
      <w:pPr>
        <w:tabs>
          <w:tab w:val="num" w:pos="4680"/>
        </w:tabs>
        <w:ind w:left="4680" w:hanging="360"/>
      </w:pPr>
      <w:rPr>
        <w:rFonts w:ascii="Arial" w:hAnsi="Arial" w:hint="default"/>
      </w:rPr>
    </w:lvl>
    <w:lvl w:ilvl="7" w:tplc="8C481594" w:tentative="1">
      <w:start w:val="1"/>
      <w:numFmt w:val="bullet"/>
      <w:lvlText w:val="•"/>
      <w:lvlJc w:val="left"/>
      <w:pPr>
        <w:tabs>
          <w:tab w:val="num" w:pos="5400"/>
        </w:tabs>
        <w:ind w:left="5400" w:hanging="360"/>
      </w:pPr>
      <w:rPr>
        <w:rFonts w:ascii="Arial" w:hAnsi="Arial" w:hint="default"/>
      </w:rPr>
    </w:lvl>
    <w:lvl w:ilvl="8" w:tplc="0E844EFA" w:tentative="1">
      <w:start w:val="1"/>
      <w:numFmt w:val="bullet"/>
      <w:lvlText w:val="•"/>
      <w:lvlJc w:val="left"/>
      <w:pPr>
        <w:tabs>
          <w:tab w:val="num" w:pos="6120"/>
        </w:tabs>
        <w:ind w:left="6120" w:hanging="360"/>
      </w:pPr>
      <w:rPr>
        <w:rFonts w:ascii="Arial" w:hAnsi="Arial" w:hint="default"/>
      </w:rPr>
    </w:lvl>
  </w:abstractNum>
  <w:abstractNum w:abstractNumId="26">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9"/>
  </w:num>
  <w:num w:numId="3">
    <w:abstractNumId w:val="11"/>
  </w:num>
  <w:num w:numId="4">
    <w:abstractNumId w:val="6"/>
  </w:num>
  <w:num w:numId="5">
    <w:abstractNumId w:val="24"/>
  </w:num>
  <w:num w:numId="6">
    <w:abstractNumId w:val="17"/>
  </w:num>
  <w:num w:numId="7">
    <w:abstractNumId w:val="27"/>
  </w:num>
  <w:num w:numId="8">
    <w:abstractNumId w:val="8"/>
  </w:num>
  <w:num w:numId="9">
    <w:abstractNumId w:val="15"/>
  </w:num>
  <w:num w:numId="10">
    <w:abstractNumId w:val="7"/>
  </w:num>
  <w:num w:numId="11">
    <w:abstractNumId w:val="13"/>
  </w:num>
  <w:num w:numId="12">
    <w:abstractNumId w:val="18"/>
  </w:num>
  <w:num w:numId="13">
    <w:abstractNumId w:val="4"/>
  </w:num>
  <w:num w:numId="14">
    <w:abstractNumId w:val="1"/>
  </w:num>
  <w:num w:numId="15">
    <w:abstractNumId w:val="5"/>
  </w:num>
  <w:num w:numId="16">
    <w:abstractNumId w:val="12"/>
  </w:num>
  <w:num w:numId="17">
    <w:abstractNumId w:val="21"/>
  </w:num>
  <w:num w:numId="18">
    <w:abstractNumId w:val="3"/>
  </w:num>
  <w:num w:numId="19">
    <w:abstractNumId w:val="26"/>
  </w:num>
  <w:num w:numId="20">
    <w:abstractNumId w:val="22"/>
  </w:num>
  <w:num w:numId="21">
    <w:abstractNumId w:val="25"/>
  </w:num>
  <w:num w:numId="22">
    <w:abstractNumId w:val="10"/>
  </w:num>
  <w:num w:numId="23">
    <w:abstractNumId w:val="16"/>
  </w:num>
  <w:num w:numId="24">
    <w:abstractNumId w:val="2"/>
  </w:num>
  <w:num w:numId="25">
    <w:abstractNumId w:val="14"/>
  </w:num>
  <w:num w:numId="26">
    <w:abstractNumId w:val="23"/>
  </w:num>
  <w:num w:numId="27">
    <w:abstractNumId w:val="9"/>
  </w:num>
  <w:num w:numId="28">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5328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E4F"/>
    <w:rsid w:val="00022F27"/>
    <w:rsid w:val="00023317"/>
    <w:rsid w:val="00023E9E"/>
    <w:rsid w:val="000242E9"/>
    <w:rsid w:val="000262F8"/>
    <w:rsid w:val="000266A1"/>
    <w:rsid w:val="00026A0E"/>
    <w:rsid w:val="00026FC0"/>
    <w:rsid w:val="00030655"/>
    <w:rsid w:val="000307A0"/>
    <w:rsid w:val="000312BB"/>
    <w:rsid w:val="00031368"/>
    <w:rsid w:val="00031371"/>
    <w:rsid w:val="00032345"/>
    <w:rsid w:val="000325E6"/>
    <w:rsid w:val="00032BB9"/>
    <w:rsid w:val="00033171"/>
    <w:rsid w:val="000339D3"/>
    <w:rsid w:val="00033F95"/>
    <w:rsid w:val="00034F6F"/>
    <w:rsid w:val="00034FE0"/>
    <w:rsid w:val="000350C8"/>
    <w:rsid w:val="00035570"/>
    <w:rsid w:val="00035711"/>
    <w:rsid w:val="00035A5B"/>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61E5"/>
    <w:rsid w:val="000971AD"/>
    <w:rsid w:val="00097D5F"/>
    <w:rsid w:val="000A0363"/>
    <w:rsid w:val="000A0665"/>
    <w:rsid w:val="000A0E25"/>
    <w:rsid w:val="000A1177"/>
    <w:rsid w:val="000A1AF5"/>
    <w:rsid w:val="000A1D32"/>
    <w:rsid w:val="000A216E"/>
    <w:rsid w:val="000A2789"/>
    <w:rsid w:val="000A2B74"/>
    <w:rsid w:val="000A3443"/>
    <w:rsid w:val="000A4105"/>
    <w:rsid w:val="000A4404"/>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C0B"/>
    <w:rsid w:val="000D1D70"/>
    <w:rsid w:val="000D40E9"/>
    <w:rsid w:val="000D625C"/>
    <w:rsid w:val="000D662F"/>
    <w:rsid w:val="000D68CE"/>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DA1"/>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7A1"/>
    <w:rsid w:val="00146D1F"/>
    <w:rsid w:val="0014761F"/>
    <w:rsid w:val="00150A7E"/>
    <w:rsid w:val="001517A8"/>
    <w:rsid w:val="00151989"/>
    <w:rsid w:val="001520CE"/>
    <w:rsid w:val="001532DD"/>
    <w:rsid w:val="00153E05"/>
    <w:rsid w:val="00154270"/>
    <w:rsid w:val="001548D6"/>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4751"/>
    <w:rsid w:val="001956D1"/>
    <w:rsid w:val="00196FD9"/>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717"/>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0410"/>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1E67"/>
    <w:rsid w:val="002022E8"/>
    <w:rsid w:val="00202566"/>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696F"/>
    <w:rsid w:val="002274B4"/>
    <w:rsid w:val="00230796"/>
    <w:rsid w:val="00230EC2"/>
    <w:rsid w:val="002315DD"/>
    <w:rsid w:val="00231D7B"/>
    <w:rsid w:val="00231E88"/>
    <w:rsid w:val="00232229"/>
    <w:rsid w:val="00233DCB"/>
    <w:rsid w:val="00233E6A"/>
    <w:rsid w:val="00234013"/>
    <w:rsid w:val="002340CE"/>
    <w:rsid w:val="00234541"/>
    <w:rsid w:val="0023526C"/>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BDC"/>
    <w:rsid w:val="00273D42"/>
    <w:rsid w:val="00274301"/>
    <w:rsid w:val="00274B6F"/>
    <w:rsid w:val="00275408"/>
    <w:rsid w:val="0027557B"/>
    <w:rsid w:val="00276E99"/>
    <w:rsid w:val="00277D89"/>
    <w:rsid w:val="00280B63"/>
    <w:rsid w:val="00280DC4"/>
    <w:rsid w:val="00281720"/>
    <w:rsid w:val="002818C9"/>
    <w:rsid w:val="00282E37"/>
    <w:rsid w:val="00283663"/>
    <w:rsid w:val="002838FF"/>
    <w:rsid w:val="00283FA2"/>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113"/>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176"/>
    <w:rsid w:val="002F6703"/>
    <w:rsid w:val="002F6854"/>
    <w:rsid w:val="002F686F"/>
    <w:rsid w:val="002F6AB7"/>
    <w:rsid w:val="002F6EE3"/>
    <w:rsid w:val="002F7754"/>
    <w:rsid w:val="002F7C7A"/>
    <w:rsid w:val="0030028A"/>
    <w:rsid w:val="00300C37"/>
    <w:rsid w:val="0030110C"/>
    <w:rsid w:val="00301229"/>
    <w:rsid w:val="00301D24"/>
    <w:rsid w:val="00301F90"/>
    <w:rsid w:val="00302489"/>
    <w:rsid w:val="00303AAD"/>
    <w:rsid w:val="00304265"/>
    <w:rsid w:val="003045FF"/>
    <w:rsid w:val="00305948"/>
    <w:rsid w:val="00306DF6"/>
    <w:rsid w:val="003072FA"/>
    <w:rsid w:val="00307395"/>
    <w:rsid w:val="003101FE"/>
    <w:rsid w:val="0031166C"/>
    <w:rsid w:val="003116CB"/>
    <w:rsid w:val="003117AF"/>
    <w:rsid w:val="00311E0A"/>
    <w:rsid w:val="00312AA4"/>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6BF"/>
    <w:rsid w:val="00360FC4"/>
    <w:rsid w:val="0036134C"/>
    <w:rsid w:val="00362200"/>
    <w:rsid w:val="003627F9"/>
    <w:rsid w:val="00362C78"/>
    <w:rsid w:val="003648AB"/>
    <w:rsid w:val="00364DE7"/>
    <w:rsid w:val="003658F8"/>
    <w:rsid w:val="00365A9C"/>
    <w:rsid w:val="00365CFA"/>
    <w:rsid w:val="00366D2B"/>
    <w:rsid w:val="00366DF7"/>
    <w:rsid w:val="0036711C"/>
    <w:rsid w:val="003678FA"/>
    <w:rsid w:val="00367B98"/>
    <w:rsid w:val="003701BE"/>
    <w:rsid w:val="00370774"/>
    <w:rsid w:val="00370BDC"/>
    <w:rsid w:val="00370CD6"/>
    <w:rsid w:val="003718DA"/>
    <w:rsid w:val="00372C33"/>
    <w:rsid w:val="003730C1"/>
    <w:rsid w:val="00373F8F"/>
    <w:rsid w:val="003748AB"/>
    <w:rsid w:val="0037521B"/>
    <w:rsid w:val="00375B41"/>
    <w:rsid w:val="00380610"/>
    <w:rsid w:val="00380621"/>
    <w:rsid w:val="003809BF"/>
    <w:rsid w:val="00381802"/>
    <w:rsid w:val="00381BA9"/>
    <w:rsid w:val="003823B8"/>
    <w:rsid w:val="003824A1"/>
    <w:rsid w:val="00382C16"/>
    <w:rsid w:val="00383F2E"/>
    <w:rsid w:val="0038471C"/>
    <w:rsid w:val="003879C2"/>
    <w:rsid w:val="0039047A"/>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879"/>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21E1"/>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B3C"/>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84E"/>
    <w:rsid w:val="00404FD9"/>
    <w:rsid w:val="00405172"/>
    <w:rsid w:val="004055E5"/>
    <w:rsid w:val="004056DA"/>
    <w:rsid w:val="00405C40"/>
    <w:rsid w:val="00406A08"/>
    <w:rsid w:val="00406D57"/>
    <w:rsid w:val="0040713A"/>
    <w:rsid w:val="0040795A"/>
    <w:rsid w:val="00410F13"/>
    <w:rsid w:val="004119C3"/>
    <w:rsid w:val="00411BDA"/>
    <w:rsid w:val="00412298"/>
    <w:rsid w:val="00414E4A"/>
    <w:rsid w:val="0041516A"/>
    <w:rsid w:val="00415C5D"/>
    <w:rsid w:val="00415C9A"/>
    <w:rsid w:val="00416D4B"/>
    <w:rsid w:val="00417B44"/>
    <w:rsid w:val="00420448"/>
    <w:rsid w:val="00420DC3"/>
    <w:rsid w:val="00421604"/>
    <w:rsid w:val="004217A4"/>
    <w:rsid w:val="004220AD"/>
    <w:rsid w:val="004223E4"/>
    <w:rsid w:val="00423654"/>
    <w:rsid w:val="004241FE"/>
    <w:rsid w:val="00425FCB"/>
    <w:rsid w:val="0042608C"/>
    <w:rsid w:val="004301E8"/>
    <w:rsid w:val="00430401"/>
    <w:rsid w:val="00430BCE"/>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22D"/>
    <w:rsid w:val="004504DE"/>
    <w:rsid w:val="00450F34"/>
    <w:rsid w:val="00451296"/>
    <w:rsid w:val="00451715"/>
    <w:rsid w:val="00452083"/>
    <w:rsid w:val="00452BE0"/>
    <w:rsid w:val="0045327B"/>
    <w:rsid w:val="00453BE9"/>
    <w:rsid w:val="00454A5D"/>
    <w:rsid w:val="0045506C"/>
    <w:rsid w:val="00455754"/>
    <w:rsid w:val="00455B12"/>
    <w:rsid w:val="00455DB1"/>
    <w:rsid w:val="004567E9"/>
    <w:rsid w:val="00456A2F"/>
    <w:rsid w:val="00456A36"/>
    <w:rsid w:val="0045760C"/>
    <w:rsid w:val="00457A89"/>
    <w:rsid w:val="004602A1"/>
    <w:rsid w:val="0046054E"/>
    <w:rsid w:val="0046059D"/>
    <w:rsid w:val="004608F7"/>
    <w:rsid w:val="00460E89"/>
    <w:rsid w:val="00461C5A"/>
    <w:rsid w:val="004635F6"/>
    <w:rsid w:val="0046478E"/>
    <w:rsid w:val="004647C3"/>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7B2"/>
    <w:rsid w:val="00475AB6"/>
    <w:rsid w:val="004763D5"/>
    <w:rsid w:val="004776B9"/>
    <w:rsid w:val="00477829"/>
    <w:rsid w:val="00477BD8"/>
    <w:rsid w:val="0048039B"/>
    <w:rsid w:val="0048211F"/>
    <w:rsid w:val="00482CDE"/>
    <w:rsid w:val="00483BF0"/>
    <w:rsid w:val="00484C38"/>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5D9"/>
    <w:rsid w:val="004A6474"/>
    <w:rsid w:val="004A6F61"/>
    <w:rsid w:val="004A7649"/>
    <w:rsid w:val="004A7AFB"/>
    <w:rsid w:val="004B1DFF"/>
    <w:rsid w:val="004B4A1A"/>
    <w:rsid w:val="004B592A"/>
    <w:rsid w:val="004B7107"/>
    <w:rsid w:val="004B7563"/>
    <w:rsid w:val="004B7B3F"/>
    <w:rsid w:val="004C001B"/>
    <w:rsid w:val="004C08AA"/>
    <w:rsid w:val="004C0AF9"/>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17AB"/>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72"/>
    <w:rsid w:val="00532577"/>
    <w:rsid w:val="005327CA"/>
    <w:rsid w:val="0053291E"/>
    <w:rsid w:val="00533320"/>
    <w:rsid w:val="005343C3"/>
    <w:rsid w:val="00534C21"/>
    <w:rsid w:val="0053544A"/>
    <w:rsid w:val="00535B7E"/>
    <w:rsid w:val="00536256"/>
    <w:rsid w:val="00536686"/>
    <w:rsid w:val="00536D5B"/>
    <w:rsid w:val="00536F38"/>
    <w:rsid w:val="005378B9"/>
    <w:rsid w:val="00540181"/>
    <w:rsid w:val="00540893"/>
    <w:rsid w:val="00541051"/>
    <w:rsid w:val="00541A55"/>
    <w:rsid w:val="00542311"/>
    <w:rsid w:val="0054284E"/>
    <w:rsid w:val="00542F64"/>
    <w:rsid w:val="00544155"/>
    <w:rsid w:val="0054545C"/>
    <w:rsid w:val="00546E92"/>
    <w:rsid w:val="00550479"/>
    <w:rsid w:val="00550D6E"/>
    <w:rsid w:val="00552FD9"/>
    <w:rsid w:val="00553E3E"/>
    <w:rsid w:val="00554745"/>
    <w:rsid w:val="00554F50"/>
    <w:rsid w:val="005552EC"/>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7FD"/>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B8B"/>
    <w:rsid w:val="005A4CFB"/>
    <w:rsid w:val="005A5251"/>
    <w:rsid w:val="005A5B16"/>
    <w:rsid w:val="005A5E7E"/>
    <w:rsid w:val="005A5F60"/>
    <w:rsid w:val="005B05A5"/>
    <w:rsid w:val="005B0869"/>
    <w:rsid w:val="005B0A4C"/>
    <w:rsid w:val="005B1FA9"/>
    <w:rsid w:val="005B2596"/>
    <w:rsid w:val="005B3210"/>
    <w:rsid w:val="005B32D3"/>
    <w:rsid w:val="005B3EE7"/>
    <w:rsid w:val="005B41F7"/>
    <w:rsid w:val="005B433B"/>
    <w:rsid w:val="005B4D76"/>
    <w:rsid w:val="005B517D"/>
    <w:rsid w:val="005B6156"/>
    <w:rsid w:val="005B762A"/>
    <w:rsid w:val="005B7AE7"/>
    <w:rsid w:val="005C25B6"/>
    <w:rsid w:val="005C2EEB"/>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9D4"/>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1FE"/>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9A0"/>
    <w:rsid w:val="00661EA1"/>
    <w:rsid w:val="00662912"/>
    <w:rsid w:val="00663BF4"/>
    <w:rsid w:val="006641F6"/>
    <w:rsid w:val="006651AC"/>
    <w:rsid w:val="00665258"/>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422"/>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1C0"/>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4AD"/>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8B1"/>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ADD"/>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0559"/>
    <w:rsid w:val="007113C8"/>
    <w:rsid w:val="0071194B"/>
    <w:rsid w:val="00711C26"/>
    <w:rsid w:val="007122E1"/>
    <w:rsid w:val="00712DF2"/>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675"/>
    <w:rsid w:val="00740AF2"/>
    <w:rsid w:val="00740C60"/>
    <w:rsid w:val="00741285"/>
    <w:rsid w:val="007420B2"/>
    <w:rsid w:val="007427E2"/>
    <w:rsid w:val="0074323D"/>
    <w:rsid w:val="007433FA"/>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38C"/>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2B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22B"/>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978"/>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496C"/>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8DE"/>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65B5C"/>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A7E"/>
    <w:rsid w:val="00914E1E"/>
    <w:rsid w:val="0091571D"/>
    <w:rsid w:val="009163DE"/>
    <w:rsid w:val="00916BBA"/>
    <w:rsid w:val="00917807"/>
    <w:rsid w:val="00917B56"/>
    <w:rsid w:val="009206CB"/>
    <w:rsid w:val="00920E82"/>
    <w:rsid w:val="009219B4"/>
    <w:rsid w:val="00921B69"/>
    <w:rsid w:val="009224E2"/>
    <w:rsid w:val="00922A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AC"/>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6C1A"/>
    <w:rsid w:val="009571BD"/>
    <w:rsid w:val="00957BCE"/>
    <w:rsid w:val="00957FC6"/>
    <w:rsid w:val="00960104"/>
    <w:rsid w:val="00960344"/>
    <w:rsid w:val="00960442"/>
    <w:rsid w:val="0096224B"/>
    <w:rsid w:val="0096224D"/>
    <w:rsid w:val="009626F4"/>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A8C"/>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6C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346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A6B"/>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1F5E"/>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DDD"/>
    <w:rsid w:val="00AD7E03"/>
    <w:rsid w:val="00AE23C6"/>
    <w:rsid w:val="00AE3917"/>
    <w:rsid w:val="00AE4116"/>
    <w:rsid w:val="00AE4A96"/>
    <w:rsid w:val="00AE511E"/>
    <w:rsid w:val="00AE547B"/>
    <w:rsid w:val="00AE6FFA"/>
    <w:rsid w:val="00AF049A"/>
    <w:rsid w:val="00AF0B07"/>
    <w:rsid w:val="00AF0CD2"/>
    <w:rsid w:val="00AF181E"/>
    <w:rsid w:val="00AF2030"/>
    <w:rsid w:val="00AF238D"/>
    <w:rsid w:val="00AF33EE"/>
    <w:rsid w:val="00AF3629"/>
    <w:rsid w:val="00AF3736"/>
    <w:rsid w:val="00AF3808"/>
    <w:rsid w:val="00AF4370"/>
    <w:rsid w:val="00AF5677"/>
    <w:rsid w:val="00AF59CE"/>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6A71"/>
    <w:rsid w:val="00B17F46"/>
    <w:rsid w:val="00B20109"/>
    <w:rsid w:val="00B20719"/>
    <w:rsid w:val="00B20800"/>
    <w:rsid w:val="00B218FF"/>
    <w:rsid w:val="00B23D06"/>
    <w:rsid w:val="00B24092"/>
    <w:rsid w:val="00B24615"/>
    <w:rsid w:val="00B2512F"/>
    <w:rsid w:val="00B268AB"/>
    <w:rsid w:val="00B270E4"/>
    <w:rsid w:val="00B274E0"/>
    <w:rsid w:val="00B275C4"/>
    <w:rsid w:val="00B27F22"/>
    <w:rsid w:val="00B30DCD"/>
    <w:rsid w:val="00B3132F"/>
    <w:rsid w:val="00B3176B"/>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04B"/>
    <w:rsid w:val="00B55BD4"/>
    <w:rsid w:val="00B560C1"/>
    <w:rsid w:val="00B566A2"/>
    <w:rsid w:val="00B56C78"/>
    <w:rsid w:val="00B574F4"/>
    <w:rsid w:val="00B57DC6"/>
    <w:rsid w:val="00B6001B"/>
    <w:rsid w:val="00B6106B"/>
    <w:rsid w:val="00B611E9"/>
    <w:rsid w:val="00B61B7A"/>
    <w:rsid w:val="00B625C3"/>
    <w:rsid w:val="00B6295F"/>
    <w:rsid w:val="00B63136"/>
    <w:rsid w:val="00B63642"/>
    <w:rsid w:val="00B63E14"/>
    <w:rsid w:val="00B6453F"/>
    <w:rsid w:val="00B64D16"/>
    <w:rsid w:val="00B672A2"/>
    <w:rsid w:val="00B67641"/>
    <w:rsid w:val="00B70C8A"/>
    <w:rsid w:val="00B7120E"/>
    <w:rsid w:val="00B713EA"/>
    <w:rsid w:val="00B713FD"/>
    <w:rsid w:val="00B73755"/>
    <w:rsid w:val="00B7386B"/>
    <w:rsid w:val="00B73D59"/>
    <w:rsid w:val="00B74043"/>
    <w:rsid w:val="00B7426C"/>
    <w:rsid w:val="00B746AE"/>
    <w:rsid w:val="00B75C2B"/>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4FE2"/>
    <w:rsid w:val="00B95F1F"/>
    <w:rsid w:val="00B962DA"/>
    <w:rsid w:val="00B9657E"/>
    <w:rsid w:val="00B96C27"/>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0A40"/>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27A54"/>
    <w:rsid w:val="00C30615"/>
    <w:rsid w:val="00C3090F"/>
    <w:rsid w:val="00C30BFA"/>
    <w:rsid w:val="00C30F48"/>
    <w:rsid w:val="00C319C9"/>
    <w:rsid w:val="00C31C33"/>
    <w:rsid w:val="00C32423"/>
    <w:rsid w:val="00C325F9"/>
    <w:rsid w:val="00C3362D"/>
    <w:rsid w:val="00C338F9"/>
    <w:rsid w:val="00C33C77"/>
    <w:rsid w:val="00C345AC"/>
    <w:rsid w:val="00C34B24"/>
    <w:rsid w:val="00C34EF0"/>
    <w:rsid w:val="00C369DB"/>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52E"/>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1EA7"/>
    <w:rsid w:val="00CD2146"/>
    <w:rsid w:val="00CD272D"/>
    <w:rsid w:val="00CD30B6"/>
    <w:rsid w:val="00CD34A7"/>
    <w:rsid w:val="00CD42CB"/>
    <w:rsid w:val="00CD4B83"/>
    <w:rsid w:val="00CD4CB9"/>
    <w:rsid w:val="00CD4D59"/>
    <w:rsid w:val="00CD5606"/>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5370"/>
    <w:rsid w:val="00CE656D"/>
    <w:rsid w:val="00CE7A18"/>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CF7975"/>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26E"/>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631"/>
    <w:rsid w:val="00D74FD0"/>
    <w:rsid w:val="00D763D4"/>
    <w:rsid w:val="00D76E18"/>
    <w:rsid w:val="00D774E8"/>
    <w:rsid w:val="00D77E37"/>
    <w:rsid w:val="00D804E9"/>
    <w:rsid w:val="00D807E1"/>
    <w:rsid w:val="00D8137B"/>
    <w:rsid w:val="00D81A74"/>
    <w:rsid w:val="00D82E4F"/>
    <w:rsid w:val="00D84A6B"/>
    <w:rsid w:val="00D86400"/>
    <w:rsid w:val="00D865A6"/>
    <w:rsid w:val="00D86C03"/>
    <w:rsid w:val="00D87894"/>
    <w:rsid w:val="00D9038E"/>
    <w:rsid w:val="00D90BA5"/>
    <w:rsid w:val="00D918BE"/>
    <w:rsid w:val="00D926AF"/>
    <w:rsid w:val="00D9489F"/>
    <w:rsid w:val="00D94B41"/>
    <w:rsid w:val="00D94EEF"/>
    <w:rsid w:val="00D95205"/>
    <w:rsid w:val="00D95623"/>
    <w:rsid w:val="00D9586D"/>
    <w:rsid w:val="00D95D44"/>
    <w:rsid w:val="00D96B02"/>
    <w:rsid w:val="00DA087B"/>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5B6C"/>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84B"/>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1BC"/>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31"/>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A7547"/>
    <w:rsid w:val="00EB0D81"/>
    <w:rsid w:val="00EB1A94"/>
    <w:rsid w:val="00EB1AF9"/>
    <w:rsid w:val="00EB25BF"/>
    <w:rsid w:val="00EB274C"/>
    <w:rsid w:val="00EB37F8"/>
    <w:rsid w:val="00EB39FF"/>
    <w:rsid w:val="00EB3AAE"/>
    <w:rsid w:val="00EB55F4"/>
    <w:rsid w:val="00EB5DB0"/>
    <w:rsid w:val="00EB6754"/>
    <w:rsid w:val="00EB6C1A"/>
    <w:rsid w:val="00EB6FB1"/>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A73"/>
    <w:rsid w:val="00ED0DAD"/>
    <w:rsid w:val="00ED126C"/>
    <w:rsid w:val="00ED1520"/>
    <w:rsid w:val="00ED1A60"/>
    <w:rsid w:val="00ED1CA1"/>
    <w:rsid w:val="00ED2066"/>
    <w:rsid w:val="00ED2323"/>
    <w:rsid w:val="00ED2798"/>
    <w:rsid w:val="00ED2A29"/>
    <w:rsid w:val="00ED3046"/>
    <w:rsid w:val="00ED34B4"/>
    <w:rsid w:val="00ED35EE"/>
    <w:rsid w:val="00ED39D8"/>
    <w:rsid w:val="00ED4D56"/>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600"/>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C71"/>
    <w:rsid w:val="00F21100"/>
    <w:rsid w:val="00F21D64"/>
    <w:rsid w:val="00F21F6A"/>
    <w:rsid w:val="00F2358D"/>
    <w:rsid w:val="00F23E40"/>
    <w:rsid w:val="00F243D6"/>
    <w:rsid w:val="00F2694D"/>
    <w:rsid w:val="00F26CF0"/>
    <w:rsid w:val="00F3025F"/>
    <w:rsid w:val="00F3088B"/>
    <w:rsid w:val="00F30A5C"/>
    <w:rsid w:val="00F31BAE"/>
    <w:rsid w:val="00F32258"/>
    <w:rsid w:val="00F328F4"/>
    <w:rsid w:val="00F32E93"/>
    <w:rsid w:val="00F3353A"/>
    <w:rsid w:val="00F336DC"/>
    <w:rsid w:val="00F337E0"/>
    <w:rsid w:val="00F33A91"/>
    <w:rsid w:val="00F344C9"/>
    <w:rsid w:val="00F345C0"/>
    <w:rsid w:val="00F35CB1"/>
    <w:rsid w:val="00F35DDE"/>
    <w:rsid w:val="00F36156"/>
    <w:rsid w:val="00F36F6E"/>
    <w:rsid w:val="00F37608"/>
    <w:rsid w:val="00F37F6D"/>
    <w:rsid w:val="00F37F94"/>
    <w:rsid w:val="00F422D7"/>
    <w:rsid w:val="00F43708"/>
    <w:rsid w:val="00F4421C"/>
    <w:rsid w:val="00F44411"/>
    <w:rsid w:val="00F44F8A"/>
    <w:rsid w:val="00F45F0C"/>
    <w:rsid w:val="00F4605E"/>
    <w:rsid w:val="00F46DE7"/>
    <w:rsid w:val="00F46F0D"/>
    <w:rsid w:val="00F47E32"/>
    <w:rsid w:val="00F47F78"/>
    <w:rsid w:val="00F47FCC"/>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3F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573"/>
    <w:rsid w:val="00FB5636"/>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EB7"/>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3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qFormat/>
    <w:rsid w:val="004A55D9"/>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74643238">
      <w:bodyDiv w:val="1"/>
      <w:marLeft w:val="0"/>
      <w:marRight w:val="0"/>
      <w:marTop w:val="0"/>
      <w:marBottom w:val="0"/>
      <w:divBdr>
        <w:top w:val="none" w:sz="0" w:space="0" w:color="auto"/>
        <w:left w:val="none" w:sz="0" w:space="0" w:color="auto"/>
        <w:bottom w:val="none" w:sz="0" w:space="0" w:color="auto"/>
        <w:right w:val="none" w:sz="0" w:space="0" w:color="auto"/>
      </w:divBdr>
      <w:divsChild>
        <w:div w:id="1453935497">
          <w:marLeft w:val="547"/>
          <w:marRight w:val="0"/>
          <w:marTop w:val="115"/>
          <w:marBottom w:val="0"/>
          <w:divBdr>
            <w:top w:val="none" w:sz="0" w:space="0" w:color="auto"/>
            <w:left w:val="none" w:sz="0" w:space="0" w:color="auto"/>
            <w:bottom w:val="none" w:sz="0" w:space="0" w:color="auto"/>
            <w:right w:val="none" w:sz="0" w:space="0" w:color="auto"/>
          </w:divBdr>
        </w:div>
        <w:div w:id="2008482564">
          <w:marLeft w:val="547"/>
          <w:marRight w:val="0"/>
          <w:marTop w:val="115"/>
          <w:marBottom w:val="0"/>
          <w:divBdr>
            <w:top w:val="none" w:sz="0" w:space="0" w:color="auto"/>
            <w:left w:val="none" w:sz="0" w:space="0" w:color="auto"/>
            <w:bottom w:val="none" w:sz="0" w:space="0" w:color="auto"/>
            <w:right w:val="none" w:sz="0" w:space="0" w:color="auto"/>
          </w:divBdr>
        </w:div>
        <w:div w:id="869609926">
          <w:marLeft w:val="547"/>
          <w:marRight w:val="0"/>
          <w:marTop w:val="115"/>
          <w:marBottom w:val="0"/>
          <w:divBdr>
            <w:top w:val="none" w:sz="0" w:space="0" w:color="auto"/>
            <w:left w:val="none" w:sz="0" w:space="0" w:color="auto"/>
            <w:bottom w:val="none" w:sz="0" w:space="0" w:color="auto"/>
            <w:right w:val="none" w:sz="0" w:space="0" w:color="auto"/>
          </w:divBdr>
        </w:div>
        <w:div w:id="341208692">
          <w:marLeft w:val="547"/>
          <w:marRight w:val="0"/>
          <w:marTop w:val="115"/>
          <w:marBottom w:val="0"/>
          <w:divBdr>
            <w:top w:val="none" w:sz="0" w:space="0" w:color="auto"/>
            <w:left w:val="none" w:sz="0" w:space="0" w:color="auto"/>
            <w:bottom w:val="none" w:sz="0" w:space="0" w:color="auto"/>
            <w:right w:val="none" w:sz="0" w:space="0" w:color="auto"/>
          </w:divBdr>
        </w:div>
        <w:div w:id="65344978">
          <w:marLeft w:val="547"/>
          <w:marRight w:val="0"/>
          <w:marTop w:val="115"/>
          <w:marBottom w:val="0"/>
          <w:divBdr>
            <w:top w:val="none" w:sz="0" w:space="0" w:color="auto"/>
            <w:left w:val="none" w:sz="0" w:space="0" w:color="auto"/>
            <w:bottom w:val="none" w:sz="0" w:space="0" w:color="auto"/>
            <w:right w:val="none" w:sz="0" w:space="0" w:color="auto"/>
          </w:divBdr>
        </w:div>
        <w:div w:id="908079785">
          <w:marLeft w:val="547"/>
          <w:marRight w:val="0"/>
          <w:marTop w:val="115"/>
          <w:marBottom w:val="0"/>
          <w:divBdr>
            <w:top w:val="none" w:sz="0" w:space="0" w:color="auto"/>
            <w:left w:val="none" w:sz="0" w:space="0" w:color="auto"/>
            <w:bottom w:val="none" w:sz="0" w:space="0" w:color="auto"/>
            <w:right w:val="none" w:sz="0" w:space="0" w:color="auto"/>
          </w:divBdr>
        </w:div>
        <w:div w:id="338775885">
          <w:marLeft w:val="547"/>
          <w:marRight w:val="0"/>
          <w:marTop w:val="115"/>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69E03-1356-4200-B781-E57CFBF7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1528</Words>
  <Characters>8715</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2017-10-02T20:16:00Z</dcterms:created>
  <dcterms:modified xsi:type="dcterms:W3CDTF">2017-10-02T20:16:00Z</dcterms:modified>
</cp:coreProperties>
</file>