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198B" w14:textId="50AAD9BB" w:rsidR="004F4662" w:rsidRPr="00400981" w:rsidRDefault="004F4662" w:rsidP="004F4662">
      <w:pPr>
        <w:pStyle w:val="Header"/>
        <w:tabs>
          <w:tab w:val="right" w:pos="9639"/>
        </w:tabs>
        <w:rPr>
          <w:rFonts w:cs="Arial"/>
          <w:bCs/>
          <w:i/>
          <w:noProof w:val="0"/>
          <w:sz w:val="32"/>
          <w:lang w:eastAsia="zh-CN"/>
        </w:rPr>
      </w:pPr>
      <w:bookmarkStart w:id="0" w:name="_GoBack"/>
      <w:bookmarkEnd w:id="0"/>
      <w:r w:rsidRPr="00400981">
        <w:rPr>
          <w:rFonts w:cs="Arial"/>
          <w:bCs/>
          <w:noProof w:val="0"/>
          <w:sz w:val="24"/>
        </w:rPr>
        <w:t>3GPP TSG-RAN WG1 Meeting #</w:t>
      </w:r>
      <w:bookmarkStart w:id="1" w:name="_Ref452454252"/>
      <w:bookmarkEnd w:id="1"/>
      <w:r w:rsidR="001B3489" w:rsidRPr="00400981">
        <w:rPr>
          <w:rFonts w:cs="Arial"/>
          <w:bCs/>
          <w:noProof w:val="0"/>
          <w:sz w:val="24"/>
        </w:rPr>
        <w:t>90</w:t>
      </w:r>
      <w:r w:rsidR="00602F26" w:rsidRPr="00400981">
        <w:rPr>
          <w:rFonts w:cs="Arial"/>
          <w:bCs/>
          <w:noProof w:val="0"/>
          <w:sz w:val="24"/>
        </w:rPr>
        <w:t>bis</w:t>
      </w:r>
      <w:r w:rsidRPr="00400981">
        <w:rPr>
          <w:rFonts w:cs="Arial"/>
          <w:bCs/>
          <w:noProof w:val="0"/>
          <w:sz w:val="24"/>
        </w:rPr>
        <w:tab/>
      </w:r>
      <w:r w:rsidR="00E176F6" w:rsidRPr="00400981">
        <w:rPr>
          <w:noProof w:val="0"/>
        </w:rPr>
        <w:t xml:space="preserve"> </w:t>
      </w:r>
      <w:r w:rsidR="00760FAD" w:rsidRPr="00400981">
        <w:rPr>
          <w:rFonts w:cs="Arial"/>
          <w:bCs/>
          <w:noProof w:val="0"/>
          <w:sz w:val="24"/>
        </w:rPr>
        <w:t>R1-1717185</w:t>
      </w:r>
    </w:p>
    <w:p w14:paraId="3F8A4714" w14:textId="7A0DC430" w:rsidR="00C61207" w:rsidRPr="00400981" w:rsidRDefault="001B3489" w:rsidP="00C61207">
      <w:pPr>
        <w:pStyle w:val="Header"/>
        <w:rPr>
          <w:rFonts w:cs="Arial"/>
          <w:bCs/>
          <w:noProof w:val="0"/>
          <w:sz w:val="24"/>
        </w:rPr>
      </w:pPr>
      <w:r w:rsidRPr="00400981">
        <w:rPr>
          <w:rFonts w:cs="Arial"/>
          <w:bCs/>
          <w:noProof w:val="0"/>
          <w:sz w:val="24"/>
          <w:lang w:eastAsia="zh-CN"/>
        </w:rPr>
        <w:t>Prague</w:t>
      </w:r>
      <w:r w:rsidR="00C61207" w:rsidRPr="00400981">
        <w:rPr>
          <w:rFonts w:cs="Arial"/>
          <w:bCs/>
          <w:noProof w:val="0"/>
          <w:sz w:val="24"/>
          <w:lang w:eastAsia="zh-CN"/>
        </w:rPr>
        <w:t xml:space="preserve">, </w:t>
      </w:r>
      <w:r w:rsidRPr="00400981">
        <w:rPr>
          <w:rFonts w:cs="Arial"/>
          <w:bCs/>
          <w:noProof w:val="0"/>
          <w:sz w:val="24"/>
          <w:lang w:eastAsia="zh-CN"/>
        </w:rPr>
        <w:t>Czech Republic</w:t>
      </w:r>
      <w:r w:rsidR="00C61207" w:rsidRPr="00400981">
        <w:rPr>
          <w:rFonts w:cs="Arial"/>
          <w:bCs/>
          <w:noProof w:val="0"/>
          <w:sz w:val="24"/>
          <w:lang w:eastAsia="zh-CN"/>
        </w:rPr>
        <w:t xml:space="preserve">, </w:t>
      </w:r>
      <w:r w:rsidR="00602F26" w:rsidRPr="00400981">
        <w:rPr>
          <w:rFonts w:cs="Arial"/>
          <w:bCs/>
          <w:noProof w:val="0"/>
          <w:sz w:val="24"/>
          <w:lang w:eastAsia="zh-CN"/>
        </w:rPr>
        <w:t xml:space="preserve">9th – 13th October </w:t>
      </w:r>
      <w:r w:rsidR="00C61207" w:rsidRPr="00400981">
        <w:rPr>
          <w:rFonts w:cs="Arial"/>
          <w:bCs/>
          <w:noProof w:val="0"/>
          <w:sz w:val="24"/>
          <w:lang w:eastAsia="zh-CN"/>
        </w:rPr>
        <w:t>2017</w:t>
      </w:r>
    </w:p>
    <w:p w14:paraId="33BDD8AC" w14:textId="77777777" w:rsidR="004F4662" w:rsidRPr="00400981" w:rsidRDefault="004F4662" w:rsidP="004F4662">
      <w:pPr>
        <w:pStyle w:val="CRCoverPage"/>
        <w:rPr>
          <w:rFonts w:cs="Arial"/>
          <w:b/>
          <w:bCs/>
          <w:sz w:val="24"/>
          <w:lang w:val="en-US"/>
        </w:rPr>
      </w:pPr>
    </w:p>
    <w:p w14:paraId="152E12B5" w14:textId="78D0E024" w:rsidR="0034111C" w:rsidRPr="00400981" w:rsidRDefault="0034111C">
      <w:pPr>
        <w:pStyle w:val="CRCoverPage"/>
        <w:rPr>
          <w:rFonts w:cs="Arial"/>
          <w:b/>
          <w:bCs/>
          <w:sz w:val="24"/>
          <w:lang w:val="en-US" w:eastAsia="ja-JP"/>
        </w:rPr>
      </w:pPr>
      <w:r w:rsidRPr="00400981">
        <w:rPr>
          <w:rFonts w:cs="Arial"/>
          <w:b/>
          <w:bCs/>
          <w:sz w:val="24"/>
          <w:lang w:val="en-US"/>
        </w:rPr>
        <w:t>Agenda item:</w:t>
      </w:r>
      <w:r w:rsidRPr="00400981">
        <w:rPr>
          <w:rFonts w:cs="Arial"/>
          <w:b/>
          <w:bCs/>
          <w:sz w:val="24"/>
          <w:lang w:val="en-US"/>
        </w:rPr>
        <w:tab/>
      </w:r>
      <w:r w:rsidRPr="00400981">
        <w:rPr>
          <w:rFonts w:cs="Arial"/>
          <w:b/>
          <w:bCs/>
          <w:sz w:val="24"/>
          <w:lang w:val="en-US"/>
        </w:rPr>
        <w:tab/>
      </w:r>
      <w:r w:rsidR="00602F26" w:rsidRPr="00400981">
        <w:rPr>
          <w:rFonts w:cs="Arial"/>
          <w:b/>
          <w:bCs/>
          <w:sz w:val="24"/>
          <w:lang w:val="en-US"/>
        </w:rPr>
        <w:t>6</w:t>
      </w:r>
      <w:r w:rsidR="00C61207" w:rsidRPr="00400981">
        <w:rPr>
          <w:rFonts w:cs="Arial"/>
          <w:b/>
          <w:bCs/>
          <w:sz w:val="24"/>
          <w:lang w:val="en-US"/>
        </w:rPr>
        <w:t>.2.1</w:t>
      </w:r>
      <w:r w:rsidR="00B07223" w:rsidRPr="00400981">
        <w:rPr>
          <w:rFonts w:cs="Arial"/>
          <w:b/>
          <w:bCs/>
          <w:sz w:val="24"/>
          <w:lang w:val="en-US"/>
        </w:rPr>
        <w:t>.2.2.2</w:t>
      </w:r>
    </w:p>
    <w:p w14:paraId="23906387" w14:textId="7B0B1841" w:rsidR="00E128F2" w:rsidRPr="00400981" w:rsidRDefault="0034111C" w:rsidP="00E128F2">
      <w:pPr>
        <w:tabs>
          <w:tab w:val="left" w:pos="1985"/>
        </w:tabs>
        <w:spacing w:after="120"/>
        <w:ind w:left="1985" w:hanging="1985"/>
        <w:rPr>
          <w:rFonts w:ascii="Arial" w:hAnsi="Arial" w:cs="Arial"/>
          <w:b/>
          <w:bCs/>
          <w:sz w:val="24"/>
          <w:lang w:val="en-US"/>
        </w:rPr>
      </w:pPr>
      <w:r w:rsidRPr="00400981">
        <w:rPr>
          <w:rFonts w:ascii="Arial" w:hAnsi="Arial" w:cs="Arial"/>
          <w:b/>
          <w:bCs/>
          <w:sz w:val="24"/>
          <w:lang w:val="en-US"/>
        </w:rPr>
        <w:t>Source:</w:t>
      </w:r>
      <w:r w:rsidRPr="00400981">
        <w:rPr>
          <w:rFonts w:ascii="Arial" w:hAnsi="Arial" w:cs="Arial"/>
          <w:b/>
          <w:bCs/>
          <w:sz w:val="24"/>
          <w:lang w:val="en-US"/>
        </w:rPr>
        <w:tab/>
      </w:r>
      <w:r w:rsidR="00A803BC" w:rsidRPr="00400981">
        <w:rPr>
          <w:rFonts w:ascii="Arial" w:hAnsi="Arial" w:cs="Arial"/>
          <w:b/>
          <w:bCs/>
          <w:sz w:val="24"/>
          <w:lang w:val="en-US"/>
        </w:rPr>
        <w:t>Nokia</w:t>
      </w:r>
      <w:r w:rsidR="00E128F2" w:rsidRPr="00400981">
        <w:rPr>
          <w:rFonts w:ascii="Arial" w:hAnsi="Arial" w:cs="Arial"/>
          <w:b/>
          <w:bCs/>
          <w:sz w:val="24"/>
          <w:lang w:val="en-US"/>
        </w:rPr>
        <w:t xml:space="preserve">, </w:t>
      </w:r>
      <w:r w:rsidR="001B3489" w:rsidRPr="00400981">
        <w:rPr>
          <w:rFonts w:ascii="Arial" w:hAnsi="Arial" w:cs="Arial"/>
          <w:b/>
          <w:bCs/>
          <w:sz w:val="24"/>
          <w:lang w:val="en-US"/>
        </w:rPr>
        <w:t xml:space="preserve">Nokia </w:t>
      </w:r>
      <w:r w:rsidR="00E128F2" w:rsidRPr="00400981">
        <w:rPr>
          <w:rFonts w:ascii="Arial" w:hAnsi="Arial" w:cs="Arial"/>
          <w:b/>
          <w:bCs/>
          <w:sz w:val="24"/>
          <w:lang w:val="en-US"/>
        </w:rPr>
        <w:t>Shanghai Bell</w:t>
      </w:r>
    </w:p>
    <w:p w14:paraId="7546E73D" w14:textId="40824903" w:rsidR="0034111C" w:rsidRPr="00400981" w:rsidRDefault="0034111C">
      <w:pPr>
        <w:ind w:left="1985" w:hanging="1985"/>
        <w:rPr>
          <w:rFonts w:ascii="Arial" w:hAnsi="Arial" w:cs="Arial"/>
          <w:b/>
          <w:bCs/>
          <w:sz w:val="24"/>
          <w:lang w:val="en-US"/>
        </w:rPr>
      </w:pPr>
      <w:r w:rsidRPr="00400981">
        <w:rPr>
          <w:rFonts w:ascii="Arial" w:hAnsi="Arial" w:cs="Arial"/>
          <w:b/>
          <w:bCs/>
          <w:sz w:val="24"/>
          <w:lang w:val="en-US"/>
        </w:rPr>
        <w:t>Title:</w:t>
      </w:r>
      <w:r w:rsidRPr="00400981">
        <w:rPr>
          <w:rFonts w:ascii="Arial" w:hAnsi="Arial" w:cs="Arial"/>
          <w:b/>
          <w:bCs/>
          <w:sz w:val="24"/>
          <w:lang w:val="en-US"/>
        </w:rPr>
        <w:tab/>
      </w:r>
      <w:r w:rsidR="00865192" w:rsidRPr="00400981">
        <w:rPr>
          <w:rFonts w:ascii="Arial" w:hAnsi="Arial" w:cs="Arial"/>
          <w:b/>
          <w:bCs/>
          <w:sz w:val="24"/>
          <w:lang w:val="en-US"/>
        </w:rPr>
        <w:t xml:space="preserve">On details of </w:t>
      </w:r>
      <w:r w:rsidR="009A57E2" w:rsidRPr="00400981">
        <w:rPr>
          <w:rFonts w:ascii="Arial" w:hAnsi="Arial" w:cs="Arial"/>
          <w:b/>
          <w:bCs/>
          <w:sz w:val="24"/>
          <w:lang w:val="en-US"/>
        </w:rPr>
        <w:t xml:space="preserve">short </w:t>
      </w:r>
      <w:r w:rsidR="00B07223" w:rsidRPr="00400981">
        <w:rPr>
          <w:rFonts w:ascii="Arial" w:hAnsi="Arial" w:cs="Arial"/>
          <w:b/>
          <w:bCs/>
          <w:sz w:val="24"/>
          <w:lang w:val="en-US"/>
        </w:rPr>
        <w:t>PDC</w:t>
      </w:r>
      <w:r w:rsidR="00335B11" w:rsidRPr="00400981">
        <w:rPr>
          <w:rFonts w:ascii="Arial" w:hAnsi="Arial" w:cs="Arial"/>
          <w:b/>
          <w:bCs/>
          <w:sz w:val="24"/>
          <w:lang w:val="en-US"/>
        </w:rPr>
        <w:t>CH design</w:t>
      </w:r>
      <w:r w:rsidR="001F37AC" w:rsidRPr="00400981">
        <w:rPr>
          <w:rFonts w:ascii="Arial" w:hAnsi="Arial" w:cs="Arial"/>
          <w:b/>
          <w:bCs/>
          <w:sz w:val="24"/>
          <w:lang w:val="en-US"/>
        </w:rPr>
        <w:t xml:space="preserve"> </w:t>
      </w:r>
    </w:p>
    <w:p w14:paraId="3C220E04" w14:textId="77777777" w:rsidR="0034111C" w:rsidRPr="00400981" w:rsidRDefault="00B437E1">
      <w:pPr>
        <w:rPr>
          <w:rFonts w:ascii="Arial" w:hAnsi="Arial" w:cs="Arial"/>
          <w:b/>
          <w:bCs/>
          <w:sz w:val="24"/>
          <w:lang w:val="en-US"/>
        </w:rPr>
      </w:pPr>
      <w:r w:rsidRPr="00400981">
        <w:rPr>
          <w:rFonts w:ascii="Arial" w:hAnsi="Arial" w:cs="Arial"/>
          <w:b/>
          <w:bCs/>
          <w:sz w:val="24"/>
          <w:lang w:val="en-US"/>
        </w:rPr>
        <w:t>Document for:</w:t>
      </w:r>
      <w:r w:rsidRPr="00400981">
        <w:rPr>
          <w:rFonts w:ascii="Arial" w:hAnsi="Arial" w:cs="Arial"/>
          <w:b/>
          <w:bCs/>
          <w:sz w:val="24"/>
          <w:lang w:val="en-US"/>
        </w:rPr>
        <w:tab/>
      </w:r>
      <w:r w:rsidRPr="00400981">
        <w:rPr>
          <w:rFonts w:ascii="Arial" w:hAnsi="Arial" w:cs="Arial"/>
          <w:b/>
          <w:bCs/>
          <w:sz w:val="24"/>
          <w:lang w:val="en-US"/>
        </w:rPr>
        <w:tab/>
        <w:t>Discussion</w:t>
      </w:r>
    </w:p>
    <w:p w14:paraId="018076DD" w14:textId="77777777" w:rsidR="0034111C" w:rsidRPr="00400981" w:rsidRDefault="0034111C">
      <w:pPr>
        <w:pStyle w:val="Heading1"/>
        <w:rPr>
          <w:lang w:val="en-US"/>
        </w:rPr>
      </w:pPr>
      <w:r w:rsidRPr="00400981">
        <w:rPr>
          <w:lang w:val="en-US"/>
        </w:rPr>
        <w:t>1</w:t>
      </w:r>
      <w:r w:rsidRPr="00400981">
        <w:rPr>
          <w:lang w:val="en-US"/>
        </w:rPr>
        <w:tab/>
      </w:r>
      <w:r w:rsidR="00EE7FA7" w:rsidRPr="00400981">
        <w:rPr>
          <w:lang w:val="en-US"/>
        </w:rPr>
        <w:t>Introduction</w:t>
      </w:r>
    </w:p>
    <w:p w14:paraId="3BEC455B" w14:textId="021F1291" w:rsidR="00B07223" w:rsidRPr="00400981" w:rsidRDefault="00B07223" w:rsidP="00B07223">
      <w:pPr>
        <w:jc w:val="both"/>
        <w:rPr>
          <w:sz w:val="22"/>
          <w:lang w:val="en-US" w:eastAsia="zh-CN"/>
        </w:rPr>
      </w:pPr>
      <w:r w:rsidRPr="00400981">
        <w:rPr>
          <w:sz w:val="22"/>
          <w:lang w:val="en-US" w:eastAsia="zh-CN"/>
        </w:rPr>
        <w:t xml:space="preserve">There has been plenty of progress on sPDCCH design aspects at RAN1#90. There has </w:t>
      </w:r>
      <w:r w:rsidR="00602F26" w:rsidRPr="00400981">
        <w:rPr>
          <w:sz w:val="22"/>
          <w:lang w:val="en-US" w:eastAsia="zh-CN"/>
        </w:rPr>
        <w:t xml:space="preserve">been an email discussion scheduled following RAN1#90, namely </w:t>
      </w:r>
      <w:r w:rsidRPr="00400981">
        <w:rPr>
          <w:i/>
          <w:sz w:val="22"/>
          <w:lang w:val="en-US" w:eastAsia="zh-CN"/>
        </w:rPr>
        <w:t>[90-06][sTTI and sPT] Email discussion on sPDCCH design</w:t>
      </w:r>
      <w:r w:rsidR="00602F26" w:rsidRPr="00400981">
        <w:rPr>
          <w:lang w:val="en-US"/>
        </w:rPr>
        <w:t xml:space="preserve"> [1]</w:t>
      </w:r>
      <w:r w:rsidR="00602F26" w:rsidRPr="00400981">
        <w:rPr>
          <w:sz w:val="22"/>
          <w:lang w:val="en-US" w:eastAsia="zh-CN"/>
        </w:rPr>
        <w:t xml:space="preserve"> to discuss the open issues. </w:t>
      </w:r>
    </w:p>
    <w:p w14:paraId="0B6DA61C" w14:textId="5683F9B6" w:rsidR="00602F26" w:rsidRPr="00400981" w:rsidRDefault="00602F26" w:rsidP="00F43EA8">
      <w:pPr>
        <w:jc w:val="both"/>
        <w:rPr>
          <w:sz w:val="22"/>
          <w:lang w:val="en-US" w:eastAsia="zh-CN"/>
        </w:rPr>
      </w:pPr>
      <w:r w:rsidRPr="00400981">
        <w:rPr>
          <w:sz w:val="22"/>
          <w:lang w:val="en-US" w:eastAsia="zh-CN"/>
        </w:rPr>
        <w:t>In this contribution, we take the outcome of the email discussion into account here and specifically high-light some important seen by us</w:t>
      </w:r>
      <w:r w:rsidR="00B07223" w:rsidRPr="00400981">
        <w:rPr>
          <w:sz w:val="22"/>
          <w:lang w:val="en-US" w:eastAsia="zh-CN"/>
        </w:rPr>
        <w:t xml:space="preserve"> without trying to repeat or discuss non-contentious issues based on the email discussion outcome</w:t>
      </w:r>
      <w:r w:rsidRPr="00400981">
        <w:rPr>
          <w:sz w:val="22"/>
          <w:lang w:val="en-US" w:eastAsia="zh-CN"/>
        </w:rPr>
        <w:t xml:space="preserve">. </w:t>
      </w:r>
    </w:p>
    <w:p w14:paraId="4F3C9D66" w14:textId="1E897FF6" w:rsidR="00882A52" w:rsidRPr="00400981" w:rsidRDefault="001F37AC" w:rsidP="00882A52">
      <w:pPr>
        <w:pStyle w:val="Heading1"/>
        <w:rPr>
          <w:color w:val="000000"/>
          <w:lang w:val="en-US"/>
        </w:rPr>
      </w:pPr>
      <w:r w:rsidRPr="00400981">
        <w:rPr>
          <w:color w:val="000000"/>
          <w:lang w:val="en-US"/>
        </w:rPr>
        <w:t>2</w:t>
      </w:r>
      <w:r w:rsidR="00882A52" w:rsidRPr="00400981">
        <w:rPr>
          <w:color w:val="000000"/>
          <w:lang w:val="en-US"/>
        </w:rPr>
        <w:tab/>
      </w:r>
      <w:r w:rsidR="00B07223" w:rsidRPr="00400981">
        <w:rPr>
          <w:color w:val="000000"/>
          <w:lang w:val="en-US"/>
        </w:rPr>
        <w:t>On RB-set configuration</w:t>
      </w:r>
      <w:r w:rsidR="00652A74" w:rsidRPr="00400981">
        <w:rPr>
          <w:color w:val="000000"/>
          <w:lang w:val="en-US"/>
        </w:rPr>
        <w:t xml:space="preserve"> </w:t>
      </w:r>
    </w:p>
    <w:p w14:paraId="0BD6F636" w14:textId="77777777" w:rsidR="00B07223" w:rsidRPr="00400981" w:rsidRDefault="00B07223" w:rsidP="001A20FD">
      <w:pPr>
        <w:jc w:val="both"/>
        <w:rPr>
          <w:bCs/>
          <w:sz w:val="22"/>
          <w:szCs w:val="22"/>
          <w:lang w:val="en-US"/>
        </w:rPr>
      </w:pPr>
      <w:r w:rsidRPr="00400981">
        <w:rPr>
          <w:bCs/>
          <w:sz w:val="22"/>
          <w:szCs w:val="22"/>
          <w:lang w:val="en-US"/>
        </w:rPr>
        <w:t xml:space="preserve">Based on the email discussion summary of [1], there seems to be majority support for the following proposals by the email discussion moderator: </w:t>
      </w:r>
    </w:p>
    <w:p w14:paraId="4FDD81ED" w14:textId="5A0FA18A" w:rsidR="00B07223" w:rsidRPr="00400981" w:rsidRDefault="00B07223" w:rsidP="00B07223">
      <w:pPr>
        <w:pStyle w:val="BodyText"/>
        <w:numPr>
          <w:ilvl w:val="0"/>
          <w:numId w:val="52"/>
        </w:numPr>
        <w:rPr>
          <w:rFonts w:asciiTheme="minorHAnsi" w:hAnsiTheme="minorHAnsi"/>
          <w:bCs/>
          <w:i/>
          <w:lang w:val="en-US"/>
        </w:rPr>
      </w:pPr>
      <w:r w:rsidRPr="00400981">
        <w:rPr>
          <w:rFonts w:asciiTheme="minorHAnsi" w:hAnsiTheme="minorHAnsi"/>
          <w:bCs/>
          <w:i/>
          <w:highlight w:val="green"/>
          <w:lang w:val="en-US"/>
        </w:rPr>
        <w:t>[90-06] -</w:t>
      </w:r>
      <w:r w:rsidRPr="00400981">
        <w:rPr>
          <w:i/>
          <w:sz w:val="22"/>
          <w:highlight w:val="green"/>
          <w:lang w:val="en-US" w:eastAsia="zh-CN"/>
        </w:rPr>
        <w:t xml:space="preserve"> </w:t>
      </w:r>
      <w:r w:rsidRPr="00400981">
        <w:rPr>
          <w:rFonts w:asciiTheme="minorHAnsi" w:hAnsiTheme="minorHAnsi"/>
          <w:bCs/>
          <w:i/>
          <w:highlight w:val="green"/>
          <w:u w:val="single"/>
          <w:lang w:val="en-US"/>
        </w:rPr>
        <w:t>Proposal 1:</w:t>
      </w:r>
      <w:r w:rsidRPr="00400981">
        <w:rPr>
          <w:rFonts w:asciiTheme="minorHAnsi" w:hAnsiTheme="minorHAnsi"/>
          <w:bCs/>
          <w:i/>
          <w:lang w:val="en-US"/>
        </w:rPr>
        <w:t xml:space="preserve"> No maximum size needs to be specified for an sPDCCH RB set.</w:t>
      </w:r>
    </w:p>
    <w:p w14:paraId="7FCE4739" w14:textId="4CF8B0BA" w:rsidR="00B07223" w:rsidRPr="00400981" w:rsidRDefault="00B07223" w:rsidP="00B07223">
      <w:pPr>
        <w:pStyle w:val="BodyText"/>
        <w:numPr>
          <w:ilvl w:val="0"/>
          <w:numId w:val="52"/>
        </w:numPr>
        <w:spacing w:after="0"/>
        <w:ind w:left="714" w:hanging="357"/>
        <w:rPr>
          <w:rFonts w:asciiTheme="minorHAnsi" w:hAnsiTheme="minorHAnsi"/>
          <w:bCs/>
          <w:i/>
          <w:lang w:val="en-US"/>
        </w:rPr>
      </w:pPr>
      <w:r w:rsidRPr="00400981">
        <w:rPr>
          <w:rFonts w:asciiTheme="minorHAnsi" w:hAnsiTheme="minorHAnsi"/>
          <w:bCs/>
          <w:i/>
          <w:highlight w:val="yellow"/>
          <w:lang w:val="en-US"/>
        </w:rPr>
        <w:t xml:space="preserve">[90-06] - </w:t>
      </w:r>
      <w:r w:rsidRPr="00400981">
        <w:rPr>
          <w:rFonts w:asciiTheme="minorHAnsi" w:hAnsiTheme="minorHAnsi"/>
          <w:bCs/>
          <w:i/>
          <w:highlight w:val="yellow"/>
          <w:u w:val="single"/>
          <w:lang w:val="en-US"/>
        </w:rPr>
        <w:t>Proposal 2:</w:t>
      </w:r>
      <w:r w:rsidRPr="00400981">
        <w:rPr>
          <w:rFonts w:asciiTheme="minorHAnsi" w:hAnsiTheme="minorHAnsi"/>
          <w:bCs/>
          <w:i/>
          <w:lang w:val="en-US"/>
        </w:rPr>
        <w:t xml:space="preserve"> The granularity of RB allocation for configuring an sPDCCH RB set is 1 RB.</w:t>
      </w:r>
    </w:p>
    <w:p w14:paraId="278F45A7" w14:textId="2C3E8221" w:rsidR="00B07223" w:rsidRPr="00400981" w:rsidRDefault="00B07223" w:rsidP="00B07223">
      <w:pPr>
        <w:pStyle w:val="BodyText"/>
        <w:numPr>
          <w:ilvl w:val="1"/>
          <w:numId w:val="52"/>
        </w:numPr>
        <w:overflowPunct/>
        <w:autoSpaceDE/>
        <w:autoSpaceDN/>
        <w:adjustRightInd/>
        <w:jc w:val="both"/>
        <w:textAlignment w:val="auto"/>
        <w:rPr>
          <w:rFonts w:asciiTheme="minorHAnsi" w:hAnsiTheme="minorHAnsi"/>
          <w:bCs/>
          <w:i/>
          <w:lang w:val="en-US"/>
        </w:rPr>
      </w:pPr>
      <w:r w:rsidRPr="00400981">
        <w:rPr>
          <w:rFonts w:asciiTheme="minorHAnsi" w:hAnsiTheme="minorHAnsi"/>
          <w:bCs/>
          <w:i/>
          <w:lang w:val="en-US"/>
        </w:rPr>
        <w:t xml:space="preserve">Based on Proposal 7, more discussions </w:t>
      </w:r>
      <w:r w:rsidR="00400981" w:rsidRPr="00400981">
        <w:rPr>
          <w:rFonts w:asciiTheme="minorHAnsi" w:hAnsiTheme="minorHAnsi"/>
          <w:bCs/>
          <w:i/>
          <w:lang w:val="en-US"/>
        </w:rPr>
        <w:t>are</w:t>
      </w:r>
      <w:r w:rsidRPr="00400981">
        <w:rPr>
          <w:rFonts w:asciiTheme="minorHAnsi" w:hAnsiTheme="minorHAnsi"/>
          <w:bCs/>
          <w:i/>
          <w:lang w:val="en-US"/>
        </w:rPr>
        <w:t xml:space="preserve"> needed for the DMRS-based sPDCCH.</w:t>
      </w:r>
    </w:p>
    <w:p w14:paraId="3E6FD988" w14:textId="7BA0A091" w:rsidR="00B07223" w:rsidRPr="00400981" w:rsidRDefault="00B07223" w:rsidP="00B07223">
      <w:pPr>
        <w:pStyle w:val="BodyText"/>
        <w:numPr>
          <w:ilvl w:val="0"/>
          <w:numId w:val="52"/>
        </w:numPr>
        <w:rPr>
          <w:rFonts w:asciiTheme="minorHAnsi" w:hAnsiTheme="minorHAnsi"/>
          <w:bCs/>
          <w:i/>
          <w:lang w:val="en-US"/>
        </w:rPr>
      </w:pPr>
      <w:r w:rsidRPr="00400981">
        <w:rPr>
          <w:rFonts w:asciiTheme="minorHAnsi" w:hAnsiTheme="minorHAnsi"/>
          <w:bCs/>
          <w:i/>
          <w:highlight w:val="green"/>
          <w:lang w:val="en-US"/>
        </w:rPr>
        <w:t xml:space="preserve">[90-06] - </w:t>
      </w:r>
      <w:r w:rsidRPr="00400981">
        <w:rPr>
          <w:rFonts w:asciiTheme="minorHAnsi" w:hAnsiTheme="minorHAnsi"/>
          <w:bCs/>
          <w:i/>
          <w:highlight w:val="green"/>
          <w:u w:val="single"/>
          <w:lang w:val="en-US"/>
        </w:rPr>
        <w:t>Proposal 3:</w:t>
      </w:r>
      <w:r w:rsidRPr="00400981">
        <w:rPr>
          <w:rFonts w:asciiTheme="minorHAnsi" w:hAnsiTheme="minorHAnsi"/>
          <w:bCs/>
          <w:i/>
          <w:lang w:val="en-US"/>
        </w:rPr>
        <w:t xml:space="preserve"> The frequency resources of a configured RB set are identical across all sTTIs within the same subframe type.</w:t>
      </w:r>
    </w:p>
    <w:p w14:paraId="63F90348" w14:textId="5C3CC213" w:rsidR="00B07223" w:rsidRPr="00400981" w:rsidRDefault="00B07223" w:rsidP="00B07223">
      <w:pPr>
        <w:pStyle w:val="BodyText"/>
        <w:numPr>
          <w:ilvl w:val="0"/>
          <w:numId w:val="52"/>
        </w:numPr>
        <w:rPr>
          <w:rFonts w:asciiTheme="minorHAnsi" w:hAnsiTheme="minorHAnsi"/>
          <w:bCs/>
          <w:i/>
          <w:lang w:val="en-US"/>
        </w:rPr>
      </w:pPr>
      <w:r w:rsidRPr="00400981">
        <w:rPr>
          <w:rFonts w:asciiTheme="minorHAnsi" w:hAnsiTheme="minorHAnsi"/>
          <w:bCs/>
          <w:i/>
          <w:highlight w:val="green"/>
          <w:lang w:val="en-US"/>
        </w:rPr>
        <w:t xml:space="preserve">[90-06] - </w:t>
      </w:r>
      <w:r w:rsidRPr="00400981">
        <w:rPr>
          <w:rFonts w:asciiTheme="minorHAnsi" w:hAnsiTheme="minorHAnsi"/>
          <w:bCs/>
          <w:i/>
          <w:highlight w:val="green"/>
          <w:u w:val="single"/>
          <w:lang w:val="en-US"/>
        </w:rPr>
        <w:t>Proposal 4:</w:t>
      </w:r>
      <w:r w:rsidRPr="00400981">
        <w:rPr>
          <w:rFonts w:asciiTheme="minorHAnsi" w:hAnsiTheme="minorHAnsi"/>
          <w:bCs/>
          <w:i/>
          <w:lang w:val="en-US"/>
        </w:rPr>
        <w:t xml:space="preserve"> Separate RB sets can be configured in MBSFN and non-MBSFN subframes.</w:t>
      </w:r>
    </w:p>
    <w:p w14:paraId="62FFC8EE" w14:textId="21EE4638" w:rsidR="00B07223" w:rsidRPr="00400981" w:rsidRDefault="00B07223" w:rsidP="00B07223">
      <w:pPr>
        <w:pStyle w:val="BodyText"/>
        <w:numPr>
          <w:ilvl w:val="0"/>
          <w:numId w:val="52"/>
        </w:numPr>
        <w:rPr>
          <w:rFonts w:asciiTheme="minorHAnsi" w:hAnsiTheme="minorHAnsi"/>
          <w:i/>
          <w:lang w:val="en-US"/>
        </w:rPr>
      </w:pPr>
      <w:r w:rsidRPr="00400981">
        <w:rPr>
          <w:rFonts w:asciiTheme="minorHAnsi" w:hAnsiTheme="minorHAnsi"/>
          <w:bCs/>
          <w:i/>
          <w:highlight w:val="green"/>
          <w:lang w:val="en-US"/>
        </w:rPr>
        <w:t xml:space="preserve">[90-06] - </w:t>
      </w:r>
      <w:r w:rsidRPr="00400981">
        <w:rPr>
          <w:rFonts w:asciiTheme="minorHAnsi" w:hAnsiTheme="minorHAnsi"/>
          <w:i/>
          <w:highlight w:val="green"/>
          <w:u w:val="single"/>
          <w:lang w:val="en-US"/>
        </w:rPr>
        <w:t>Proposal 5:</w:t>
      </w:r>
      <w:r w:rsidRPr="00400981">
        <w:rPr>
          <w:rFonts w:asciiTheme="minorHAnsi" w:hAnsiTheme="minorHAnsi"/>
          <w:i/>
          <w:lang w:val="en-US"/>
        </w:rPr>
        <w:t xml:space="preserve"> A UE shall not be configured with an RB set which is not required to be monitored for decoding sPDCCH.</w:t>
      </w:r>
    </w:p>
    <w:p w14:paraId="636F1F14" w14:textId="41D3E1CB" w:rsidR="004E584A" w:rsidRPr="00400981" w:rsidRDefault="004E584A" w:rsidP="00B07223">
      <w:pPr>
        <w:jc w:val="both"/>
        <w:rPr>
          <w:bCs/>
          <w:sz w:val="22"/>
          <w:szCs w:val="22"/>
          <w:lang w:val="en-US"/>
        </w:rPr>
      </w:pPr>
    </w:p>
    <w:p w14:paraId="7889F206" w14:textId="28612AD9" w:rsidR="00B07223" w:rsidRPr="00400981" w:rsidRDefault="00B07223" w:rsidP="00B07223">
      <w:pPr>
        <w:jc w:val="both"/>
        <w:rPr>
          <w:bCs/>
          <w:sz w:val="22"/>
          <w:szCs w:val="22"/>
          <w:lang w:val="en-US"/>
        </w:rPr>
      </w:pPr>
      <w:r w:rsidRPr="00400981">
        <w:rPr>
          <w:bCs/>
          <w:sz w:val="22"/>
          <w:szCs w:val="22"/>
          <w:lang w:val="en-US"/>
        </w:rPr>
        <w:t xml:space="preserve">We are basically fine with all the proposals here, but would like to note a few further things here. </w:t>
      </w:r>
    </w:p>
    <w:p w14:paraId="2AC2E963" w14:textId="596B7062" w:rsidR="005974F7" w:rsidRPr="00400981" w:rsidRDefault="005974F7" w:rsidP="005974F7">
      <w:pPr>
        <w:jc w:val="both"/>
        <w:rPr>
          <w:bCs/>
          <w:sz w:val="22"/>
          <w:szCs w:val="22"/>
          <w:lang w:val="en-US"/>
        </w:rPr>
      </w:pPr>
      <w:r w:rsidRPr="00400981">
        <w:rPr>
          <w:bCs/>
          <w:sz w:val="22"/>
          <w:szCs w:val="22"/>
          <w:lang w:val="en-US"/>
        </w:rPr>
        <w:t xml:space="preserve">Based on current agreements a UE can be configured to monitor up to two RB-sets in one sTTI. This to enable monitoring of one sPDCCH RB-set with localized and other with distributed mapping. Combining this with the [90-6] proposals 3-5, we think that there is a need to enable the configuration of up to 4 PRB sets. If separate sets can be configured in MBSFN and non-MBSFN subframes, when still having the option to have for the sTTIs within a single SF type two sets for monitoring, then up to 4 RB sets should be configurable. </w:t>
      </w:r>
    </w:p>
    <w:p w14:paraId="0FE3F170" w14:textId="36B204D1" w:rsidR="00343950" w:rsidRPr="00400981" w:rsidRDefault="00343950" w:rsidP="00B07223">
      <w:pPr>
        <w:jc w:val="both"/>
        <w:rPr>
          <w:bCs/>
          <w:sz w:val="22"/>
          <w:szCs w:val="22"/>
          <w:lang w:val="en-US"/>
        </w:rPr>
      </w:pPr>
      <w:r w:rsidRPr="00400981">
        <w:rPr>
          <w:bCs/>
          <w:sz w:val="22"/>
          <w:szCs w:val="22"/>
          <w:lang w:val="en-US"/>
        </w:rPr>
        <w:t xml:space="preserve">Having this in mind, two different configuration options can be considered: </w:t>
      </w:r>
    </w:p>
    <w:p w14:paraId="666FA96E" w14:textId="63057DE7" w:rsidR="00343950" w:rsidRPr="00400981" w:rsidRDefault="00343950" w:rsidP="00343950">
      <w:pPr>
        <w:pStyle w:val="ListParagraph"/>
        <w:numPr>
          <w:ilvl w:val="0"/>
          <w:numId w:val="53"/>
        </w:numPr>
        <w:jc w:val="both"/>
        <w:rPr>
          <w:bCs/>
          <w:sz w:val="22"/>
          <w:szCs w:val="22"/>
          <w:lang w:val="en-US"/>
        </w:rPr>
      </w:pPr>
      <w:r w:rsidRPr="00400981">
        <w:rPr>
          <w:bCs/>
          <w:sz w:val="22"/>
          <w:szCs w:val="22"/>
          <w:lang w:val="en-US"/>
        </w:rPr>
        <w:t>Option 1: Each set configuration contains an indicate on the applicability having 2 states, such as {</w:t>
      </w:r>
      <w:r w:rsidRPr="00400981">
        <w:rPr>
          <w:bCs/>
          <w:i/>
          <w:sz w:val="22"/>
          <w:szCs w:val="22"/>
          <w:lang w:val="en-US"/>
        </w:rPr>
        <w:t>MBSFN, non-MBSFN</w:t>
      </w:r>
      <w:r w:rsidRPr="00400981">
        <w:rPr>
          <w:bCs/>
          <w:sz w:val="22"/>
          <w:szCs w:val="22"/>
          <w:lang w:val="en-US"/>
        </w:rPr>
        <w:t xml:space="preserve">}. With such definition, in case the intention would be to have the same sPDCCH PRB sets applicable to all SFs (i.e. MBSFN and non-MBSFN), two separate sets would need to be configured. </w:t>
      </w:r>
    </w:p>
    <w:p w14:paraId="74D66727" w14:textId="74B6D47D" w:rsidR="00343950" w:rsidRPr="00400981" w:rsidRDefault="00343950" w:rsidP="00343950">
      <w:pPr>
        <w:pStyle w:val="ListParagraph"/>
        <w:numPr>
          <w:ilvl w:val="0"/>
          <w:numId w:val="53"/>
        </w:numPr>
        <w:jc w:val="both"/>
        <w:rPr>
          <w:bCs/>
          <w:sz w:val="22"/>
          <w:szCs w:val="22"/>
          <w:lang w:val="en-US"/>
        </w:rPr>
      </w:pPr>
      <w:r w:rsidRPr="00400981">
        <w:rPr>
          <w:bCs/>
          <w:sz w:val="22"/>
          <w:szCs w:val="22"/>
          <w:lang w:val="en-US"/>
        </w:rPr>
        <w:t>Option 2: Each set contains a 3 state applicability indications, such as {</w:t>
      </w:r>
      <w:r w:rsidRPr="00400981">
        <w:rPr>
          <w:bCs/>
          <w:i/>
          <w:sz w:val="22"/>
          <w:szCs w:val="22"/>
          <w:lang w:val="en-US"/>
        </w:rPr>
        <w:t>MBSFN, non-MBSFN, MBSFN&amp;non-MBSFN</w:t>
      </w:r>
      <w:r w:rsidRPr="00400981">
        <w:rPr>
          <w:bCs/>
          <w:sz w:val="22"/>
          <w:szCs w:val="22"/>
          <w:lang w:val="en-US"/>
        </w:rPr>
        <w:t xml:space="preserve">}. In this case, in case the same set is used for all </w:t>
      </w:r>
      <w:r w:rsidR="00400981" w:rsidRPr="00400981">
        <w:rPr>
          <w:bCs/>
          <w:sz w:val="22"/>
          <w:szCs w:val="22"/>
          <w:lang w:val="en-US"/>
        </w:rPr>
        <w:t>subframes</w:t>
      </w:r>
      <w:r w:rsidRPr="00400981">
        <w:rPr>
          <w:bCs/>
          <w:sz w:val="22"/>
          <w:szCs w:val="22"/>
          <w:lang w:val="en-US"/>
        </w:rPr>
        <w:t xml:space="preserve"> no separate sets would need to be included. From this point of view, the RRC signaling overhead could be reduced. Note, that for this alternative the state indicating applicability to all SFs is given, then the eNB is not </w:t>
      </w:r>
      <w:r w:rsidRPr="00400981">
        <w:rPr>
          <w:bCs/>
          <w:sz w:val="22"/>
          <w:szCs w:val="22"/>
          <w:lang w:val="en-US"/>
        </w:rPr>
        <w:lastRenderedPageBreak/>
        <w:t xml:space="preserve">allowed to configure 4 sPDCCH RB-sets (but e.g. only 2 in case both sets would be applicable to all SFs). </w:t>
      </w:r>
    </w:p>
    <w:p w14:paraId="154077AD" w14:textId="5EEB7B89" w:rsidR="00343950" w:rsidRPr="00400981" w:rsidRDefault="00343950" w:rsidP="00343950">
      <w:pPr>
        <w:jc w:val="both"/>
        <w:rPr>
          <w:bCs/>
          <w:sz w:val="22"/>
          <w:szCs w:val="22"/>
          <w:lang w:val="en-US"/>
        </w:rPr>
      </w:pPr>
    </w:p>
    <w:p w14:paraId="0AEF1808" w14:textId="777B71F8" w:rsidR="00343950" w:rsidRPr="00400981" w:rsidRDefault="00343950" w:rsidP="00343950">
      <w:pPr>
        <w:jc w:val="both"/>
        <w:rPr>
          <w:bCs/>
          <w:sz w:val="22"/>
          <w:szCs w:val="22"/>
          <w:lang w:val="en-US"/>
        </w:rPr>
      </w:pPr>
      <w:r w:rsidRPr="00400981">
        <w:rPr>
          <w:bCs/>
          <w:sz w:val="22"/>
          <w:szCs w:val="22"/>
          <w:lang w:val="en-US"/>
        </w:rPr>
        <w:t xml:space="preserve">Although not a big issue, we think that the Option 2 can decrease the RRC </w:t>
      </w:r>
      <w:r w:rsidR="00400981" w:rsidRPr="00400981">
        <w:rPr>
          <w:bCs/>
          <w:sz w:val="22"/>
          <w:szCs w:val="22"/>
          <w:lang w:val="en-US"/>
        </w:rPr>
        <w:t>signaling</w:t>
      </w:r>
      <w:r w:rsidRPr="00400981">
        <w:rPr>
          <w:bCs/>
          <w:sz w:val="22"/>
          <w:szCs w:val="22"/>
          <w:lang w:val="en-US"/>
        </w:rPr>
        <w:t xml:space="preserve"> load and is therefore, preferred. As a </w:t>
      </w:r>
      <w:r w:rsidR="00400981" w:rsidRPr="00400981">
        <w:rPr>
          <w:bCs/>
          <w:sz w:val="22"/>
          <w:szCs w:val="22"/>
          <w:lang w:val="en-US"/>
        </w:rPr>
        <w:t>consequence,</w:t>
      </w:r>
      <w:r w:rsidRPr="00400981">
        <w:rPr>
          <w:bCs/>
          <w:sz w:val="22"/>
          <w:szCs w:val="22"/>
          <w:lang w:val="en-US"/>
        </w:rPr>
        <w:t xml:space="preserve"> we bring the following proposals: </w:t>
      </w:r>
    </w:p>
    <w:p w14:paraId="448AB075" w14:textId="3E8CD0D1" w:rsidR="00343950" w:rsidRPr="00400981" w:rsidRDefault="00343950" w:rsidP="00343950">
      <w:pPr>
        <w:jc w:val="both"/>
        <w:rPr>
          <w:b/>
          <w:bCs/>
          <w:sz w:val="22"/>
          <w:szCs w:val="22"/>
          <w:lang w:val="en-US"/>
        </w:rPr>
      </w:pPr>
      <w:r w:rsidRPr="00400981">
        <w:rPr>
          <w:b/>
          <w:bCs/>
          <w:sz w:val="22"/>
          <w:szCs w:val="22"/>
          <w:lang w:val="en-US"/>
        </w:rPr>
        <w:t xml:space="preserve">Proposal 1: The sPDCCH RB-set configuration supports up to 4 sPDCCH RB-sets. </w:t>
      </w:r>
    </w:p>
    <w:p w14:paraId="370D1B3A" w14:textId="605E40A5" w:rsidR="00343950" w:rsidRPr="00400981" w:rsidRDefault="00343950" w:rsidP="00343950">
      <w:pPr>
        <w:jc w:val="both"/>
        <w:rPr>
          <w:b/>
          <w:bCs/>
          <w:sz w:val="22"/>
          <w:szCs w:val="22"/>
          <w:lang w:val="en-US"/>
        </w:rPr>
      </w:pPr>
      <w:r w:rsidRPr="00400981">
        <w:rPr>
          <w:b/>
          <w:bCs/>
          <w:sz w:val="22"/>
          <w:szCs w:val="22"/>
          <w:lang w:val="en-US"/>
        </w:rPr>
        <w:t xml:space="preserve">Proposal 2: </w:t>
      </w:r>
      <w:r w:rsidR="005974F7" w:rsidRPr="00400981">
        <w:rPr>
          <w:b/>
          <w:bCs/>
          <w:sz w:val="22"/>
          <w:szCs w:val="22"/>
          <w:lang w:val="en-US"/>
        </w:rPr>
        <w:t>The sPDCCH RB-set configuration i</w:t>
      </w:r>
      <w:r w:rsidRPr="00400981">
        <w:rPr>
          <w:b/>
          <w:bCs/>
          <w:sz w:val="22"/>
          <w:szCs w:val="22"/>
          <w:lang w:val="en-US"/>
        </w:rPr>
        <w:t>nclude</w:t>
      </w:r>
      <w:r w:rsidR="005974F7" w:rsidRPr="00400981">
        <w:rPr>
          <w:b/>
          <w:bCs/>
          <w:sz w:val="22"/>
          <w:szCs w:val="22"/>
          <w:lang w:val="en-US"/>
        </w:rPr>
        <w:t>s</w:t>
      </w:r>
      <w:r w:rsidRPr="00400981">
        <w:rPr>
          <w:b/>
          <w:bCs/>
          <w:sz w:val="22"/>
          <w:szCs w:val="22"/>
          <w:lang w:val="en-US"/>
        </w:rPr>
        <w:t xml:space="preserve"> an indication of the SF type applicability for the sPDCCH RB-set having 3 states, such as {</w:t>
      </w:r>
      <w:r w:rsidRPr="00400981">
        <w:rPr>
          <w:b/>
          <w:bCs/>
          <w:i/>
          <w:sz w:val="22"/>
          <w:szCs w:val="22"/>
          <w:lang w:val="en-US"/>
        </w:rPr>
        <w:t>MBSFN SFs, non-MBSFN SFs, all SFs</w:t>
      </w:r>
      <w:r w:rsidRPr="00400981">
        <w:rPr>
          <w:b/>
          <w:bCs/>
          <w:sz w:val="22"/>
          <w:szCs w:val="22"/>
          <w:lang w:val="en-US"/>
        </w:rPr>
        <w:t xml:space="preserve">}.   </w:t>
      </w:r>
    </w:p>
    <w:p w14:paraId="0B0CFEEF" w14:textId="77777777" w:rsidR="005974F7" w:rsidRPr="00400981" w:rsidRDefault="005974F7" w:rsidP="00B07223">
      <w:pPr>
        <w:jc w:val="both"/>
        <w:rPr>
          <w:bCs/>
          <w:sz w:val="22"/>
          <w:szCs w:val="22"/>
          <w:lang w:val="en-US"/>
        </w:rPr>
      </w:pPr>
    </w:p>
    <w:p w14:paraId="29F3C28D" w14:textId="36C6FE0D" w:rsidR="003109C3" w:rsidRPr="00400981" w:rsidRDefault="003109C3" w:rsidP="00B07223">
      <w:pPr>
        <w:jc w:val="both"/>
        <w:rPr>
          <w:bCs/>
          <w:sz w:val="22"/>
          <w:szCs w:val="22"/>
          <w:lang w:val="en-US"/>
        </w:rPr>
      </w:pPr>
      <w:r w:rsidRPr="00400981">
        <w:rPr>
          <w:bCs/>
          <w:sz w:val="22"/>
          <w:szCs w:val="22"/>
          <w:lang w:val="en-US"/>
        </w:rPr>
        <w:t>Maybe still a small note on issue of the granularity for sPRB (in [90-6] – Proposal</w:t>
      </w:r>
      <w:r w:rsidR="009F1068" w:rsidRPr="00400981">
        <w:rPr>
          <w:bCs/>
          <w:sz w:val="22"/>
          <w:szCs w:val="22"/>
          <w:lang w:val="en-US"/>
        </w:rPr>
        <w:t xml:space="preserve"> 2): RAN1</w:t>
      </w:r>
      <w:r w:rsidRPr="00400981">
        <w:rPr>
          <w:bCs/>
          <w:sz w:val="22"/>
          <w:szCs w:val="22"/>
          <w:lang w:val="en-US"/>
        </w:rPr>
        <w:t xml:space="preserve"> could try to swiftly agree to support 1 RB for an CRS-based sPDCCH set, and discuss the granularity for DMRS-based sPDCCH sets separately</w:t>
      </w:r>
      <w:r w:rsidR="009F1068" w:rsidRPr="00400981">
        <w:rPr>
          <w:bCs/>
          <w:sz w:val="22"/>
          <w:szCs w:val="22"/>
          <w:lang w:val="en-US"/>
        </w:rPr>
        <w:t xml:space="preserve"> (after the DMRS bundling decision)</w:t>
      </w:r>
      <w:r w:rsidRPr="00400981">
        <w:rPr>
          <w:bCs/>
          <w:sz w:val="22"/>
          <w:szCs w:val="22"/>
          <w:lang w:val="en-US"/>
        </w:rPr>
        <w:t xml:space="preserve">. </w:t>
      </w:r>
    </w:p>
    <w:p w14:paraId="443B759C" w14:textId="77777777" w:rsidR="009F1068" w:rsidRPr="00400981" w:rsidRDefault="009F1068" w:rsidP="00B07223">
      <w:pPr>
        <w:jc w:val="both"/>
        <w:rPr>
          <w:bCs/>
          <w:sz w:val="22"/>
          <w:szCs w:val="22"/>
          <w:lang w:val="en-US"/>
        </w:rPr>
      </w:pPr>
    </w:p>
    <w:p w14:paraId="4957125F" w14:textId="307DEDA9" w:rsidR="009F1068" w:rsidRPr="00400981" w:rsidRDefault="009F1068" w:rsidP="009F1068">
      <w:pPr>
        <w:pStyle w:val="Heading1"/>
        <w:rPr>
          <w:color w:val="000000"/>
          <w:lang w:val="en-US"/>
        </w:rPr>
      </w:pPr>
      <w:r w:rsidRPr="00400981">
        <w:rPr>
          <w:color w:val="000000"/>
          <w:lang w:val="en-US"/>
        </w:rPr>
        <w:t>3</w:t>
      </w:r>
      <w:r w:rsidRPr="00400981">
        <w:rPr>
          <w:color w:val="000000"/>
          <w:lang w:val="en-US"/>
        </w:rPr>
        <w:tab/>
        <w:t>DMRS-bundling &amp; sREGs per sCCE</w:t>
      </w:r>
    </w:p>
    <w:p w14:paraId="60E11B52" w14:textId="24B05DA8" w:rsidR="00B07223" w:rsidRPr="00400981" w:rsidRDefault="009F1068" w:rsidP="00B07223">
      <w:pPr>
        <w:jc w:val="both"/>
        <w:rPr>
          <w:bCs/>
          <w:sz w:val="22"/>
          <w:szCs w:val="22"/>
          <w:lang w:val="en-US"/>
        </w:rPr>
      </w:pPr>
      <w:r w:rsidRPr="00400981">
        <w:rPr>
          <w:bCs/>
          <w:sz w:val="22"/>
          <w:szCs w:val="22"/>
          <w:lang w:val="en-US"/>
        </w:rPr>
        <w:t xml:space="preserve">As noted already in our reply to [90-6], we would be fine to support a mandatory DMRS-bundling over 2 consecutive PRBs (based on [90-6] Proposals 7 &amp; 8). </w:t>
      </w:r>
    </w:p>
    <w:p w14:paraId="6B8FB682" w14:textId="36C568FD" w:rsidR="00693FCF" w:rsidRPr="00400981" w:rsidRDefault="009F1068" w:rsidP="00B07223">
      <w:pPr>
        <w:jc w:val="both"/>
        <w:rPr>
          <w:bCs/>
          <w:sz w:val="22"/>
          <w:szCs w:val="22"/>
          <w:lang w:val="en-US"/>
        </w:rPr>
      </w:pPr>
      <w:r w:rsidRPr="00400981">
        <w:rPr>
          <w:bCs/>
          <w:sz w:val="22"/>
          <w:szCs w:val="22"/>
          <w:lang w:val="en-US"/>
        </w:rPr>
        <w:t xml:space="preserve">Assuming now this bundling size, we think that the granularity of RB allocation for configuring an sPDCCH RB set should be aligned with the DMRS bundling size, i.e. 2 RBs (related to [90-6] Proposal 2). Moreover, we think that it would be of advantage to </w:t>
      </w:r>
      <w:r w:rsidR="00950D89" w:rsidRPr="00400981">
        <w:rPr>
          <w:bCs/>
          <w:sz w:val="22"/>
          <w:szCs w:val="22"/>
          <w:lang w:val="en-US"/>
        </w:rPr>
        <w:t xml:space="preserve">define </w:t>
      </w:r>
      <w:r w:rsidR="00693FCF" w:rsidRPr="00400981">
        <w:rPr>
          <w:bCs/>
          <w:sz w:val="22"/>
          <w:szCs w:val="22"/>
          <w:lang w:val="en-US"/>
        </w:rPr>
        <w:t>the number of sREGs per sCCE</w:t>
      </w:r>
      <w:r w:rsidR="00950D89" w:rsidRPr="00400981">
        <w:rPr>
          <w:bCs/>
          <w:sz w:val="22"/>
          <w:szCs w:val="22"/>
          <w:lang w:val="en-US"/>
        </w:rPr>
        <w:t xml:space="preserve"> in a way</w:t>
      </w:r>
      <w:r w:rsidR="00693FCF" w:rsidRPr="00400981">
        <w:rPr>
          <w:bCs/>
          <w:sz w:val="22"/>
          <w:szCs w:val="22"/>
          <w:lang w:val="en-US"/>
        </w:rPr>
        <w:t xml:space="preserve">, that a single sCCE is contained within a single DMRS bundle (Option 3 of Question 5, i.e. 4 sREGs for 2OS, 6 sREGs). </w:t>
      </w:r>
    </w:p>
    <w:p w14:paraId="76D88B37" w14:textId="48EFC998" w:rsidR="00693FCF" w:rsidRPr="00400981" w:rsidRDefault="00693FCF" w:rsidP="00B07223">
      <w:pPr>
        <w:jc w:val="both"/>
        <w:rPr>
          <w:bCs/>
          <w:sz w:val="22"/>
          <w:szCs w:val="22"/>
          <w:lang w:val="en-US"/>
        </w:rPr>
      </w:pPr>
      <w:r w:rsidRPr="00400981">
        <w:rPr>
          <w:bCs/>
          <w:sz w:val="22"/>
          <w:szCs w:val="22"/>
          <w:lang w:val="en-US"/>
        </w:rPr>
        <w:t>In case DMRS-bundling over 2 PRBs would not be agreed, we don’t see a need to support a larger PRB granularity (i.e. 1 PRB) and prefer Option 2 of Question 5 (i.e. 4 sREG</w:t>
      </w:r>
      <w:r w:rsidR="00400981">
        <w:rPr>
          <w:bCs/>
          <w:sz w:val="22"/>
          <w:szCs w:val="22"/>
          <w:lang w:val="en-US"/>
        </w:rPr>
        <w:t>s</w:t>
      </w:r>
      <w:r w:rsidRPr="00400981">
        <w:rPr>
          <w:bCs/>
          <w:sz w:val="22"/>
          <w:szCs w:val="22"/>
          <w:lang w:val="en-US"/>
        </w:rPr>
        <w:t xml:space="preserve"> for 2OS, 3 sREGs for 3OS)</w:t>
      </w:r>
      <w:r w:rsidR="0024078D" w:rsidRPr="00400981">
        <w:rPr>
          <w:bCs/>
          <w:sz w:val="22"/>
          <w:szCs w:val="22"/>
          <w:lang w:val="en-US"/>
        </w:rPr>
        <w:t>, as overall 6 sREGs per sCCE are seen as too large</w:t>
      </w:r>
      <w:r w:rsidRPr="00400981">
        <w:rPr>
          <w:bCs/>
          <w:sz w:val="22"/>
          <w:szCs w:val="22"/>
          <w:lang w:val="en-US"/>
        </w:rPr>
        <w:t>.</w:t>
      </w:r>
    </w:p>
    <w:p w14:paraId="5698F967" w14:textId="77777777" w:rsidR="00693FCF" w:rsidRPr="00400981" w:rsidRDefault="00693FCF" w:rsidP="0024078D">
      <w:pPr>
        <w:spacing w:after="0"/>
        <w:jc w:val="both"/>
        <w:rPr>
          <w:b/>
          <w:bCs/>
          <w:sz w:val="22"/>
          <w:szCs w:val="22"/>
          <w:lang w:val="en-US"/>
        </w:rPr>
      </w:pPr>
      <w:r w:rsidRPr="00400981">
        <w:rPr>
          <w:b/>
          <w:bCs/>
          <w:sz w:val="22"/>
          <w:szCs w:val="22"/>
          <w:lang w:val="en-US"/>
        </w:rPr>
        <w:t>Proposal 3: In case mandatory DMRS bunding with an sRBG size of 2 is specified:</w:t>
      </w:r>
    </w:p>
    <w:p w14:paraId="2F2EE54B" w14:textId="5860AC0C" w:rsidR="0024078D" w:rsidRPr="00400981" w:rsidRDefault="0024078D" w:rsidP="0024078D">
      <w:pPr>
        <w:pStyle w:val="ListParagraph"/>
        <w:numPr>
          <w:ilvl w:val="0"/>
          <w:numId w:val="54"/>
        </w:numPr>
        <w:jc w:val="both"/>
        <w:rPr>
          <w:b/>
          <w:bCs/>
          <w:sz w:val="22"/>
          <w:szCs w:val="22"/>
          <w:lang w:val="en-US"/>
        </w:rPr>
      </w:pPr>
      <w:r w:rsidRPr="00400981">
        <w:rPr>
          <w:b/>
          <w:bCs/>
          <w:sz w:val="22"/>
          <w:szCs w:val="22"/>
          <w:lang w:val="en-US"/>
        </w:rPr>
        <w:t>The granularity of RB allocation for configuring an DMRS-based sPDCCH RB set is 2 RBs.</w:t>
      </w:r>
    </w:p>
    <w:p w14:paraId="54EC15B9" w14:textId="07F04914" w:rsidR="0024078D" w:rsidRPr="00400981" w:rsidRDefault="0024078D" w:rsidP="0024078D">
      <w:pPr>
        <w:pStyle w:val="ListParagraph"/>
        <w:numPr>
          <w:ilvl w:val="0"/>
          <w:numId w:val="54"/>
        </w:numPr>
        <w:jc w:val="both"/>
        <w:rPr>
          <w:b/>
          <w:bCs/>
          <w:sz w:val="22"/>
          <w:szCs w:val="22"/>
          <w:lang w:val="en-US"/>
        </w:rPr>
      </w:pPr>
      <w:r w:rsidRPr="00400981">
        <w:rPr>
          <w:b/>
          <w:bCs/>
          <w:sz w:val="22"/>
          <w:szCs w:val="22"/>
          <w:lang w:val="en-US"/>
        </w:rPr>
        <w:t>For DMRS-based sPDCCH, the number of sREGs forming an sCCE is 4 in a 2-symbol sPDCCH and is 6 in a 3-symbol sPDCCH.</w:t>
      </w:r>
    </w:p>
    <w:p w14:paraId="28302CA7" w14:textId="77777777" w:rsidR="00950D89" w:rsidRPr="00400981" w:rsidRDefault="00950D89" w:rsidP="00950D89">
      <w:pPr>
        <w:pStyle w:val="ListParagraph"/>
        <w:jc w:val="both"/>
        <w:rPr>
          <w:b/>
          <w:bCs/>
          <w:sz w:val="22"/>
          <w:szCs w:val="22"/>
          <w:lang w:val="en-US"/>
        </w:rPr>
      </w:pPr>
    </w:p>
    <w:p w14:paraId="33F46B6F" w14:textId="5DED7CFA" w:rsidR="0024078D" w:rsidRPr="00400981" w:rsidRDefault="0024078D" w:rsidP="0024078D">
      <w:pPr>
        <w:spacing w:after="0"/>
        <w:jc w:val="both"/>
        <w:rPr>
          <w:b/>
          <w:bCs/>
          <w:sz w:val="22"/>
          <w:szCs w:val="22"/>
          <w:lang w:val="en-US"/>
        </w:rPr>
      </w:pPr>
      <w:r w:rsidRPr="00400981">
        <w:rPr>
          <w:b/>
          <w:bCs/>
          <w:sz w:val="22"/>
          <w:szCs w:val="22"/>
          <w:lang w:val="en-US"/>
        </w:rPr>
        <w:t>Proposal 4: In case mandatory DMRS bunding is not specified:</w:t>
      </w:r>
    </w:p>
    <w:p w14:paraId="42CA5266" w14:textId="149535BA" w:rsidR="0024078D" w:rsidRPr="00400981" w:rsidRDefault="0024078D" w:rsidP="0024078D">
      <w:pPr>
        <w:pStyle w:val="ListParagraph"/>
        <w:numPr>
          <w:ilvl w:val="0"/>
          <w:numId w:val="54"/>
        </w:numPr>
        <w:jc w:val="both"/>
        <w:rPr>
          <w:b/>
          <w:bCs/>
          <w:sz w:val="22"/>
          <w:szCs w:val="22"/>
          <w:lang w:val="en-US"/>
        </w:rPr>
      </w:pPr>
      <w:r w:rsidRPr="00400981">
        <w:rPr>
          <w:b/>
          <w:bCs/>
          <w:sz w:val="22"/>
          <w:szCs w:val="22"/>
          <w:lang w:val="en-US"/>
        </w:rPr>
        <w:t>The granularity of RB allocation for configuring an DMRS-based sPDCCH RB set is 1 RBs.</w:t>
      </w:r>
    </w:p>
    <w:p w14:paraId="66C7DB0F" w14:textId="503863FB" w:rsidR="0024078D" w:rsidRPr="00400981" w:rsidRDefault="0024078D" w:rsidP="0024078D">
      <w:pPr>
        <w:pStyle w:val="ListParagraph"/>
        <w:numPr>
          <w:ilvl w:val="0"/>
          <w:numId w:val="54"/>
        </w:numPr>
        <w:jc w:val="both"/>
        <w:rPr>
          <w:b/>
          <w:bCs/>
          <w:sz w:val="22"/>
          <w:szCs w:val="22"/>
          <w:lang w:val="en-US"/>
        </w:rPr>
      </w:pPr>
      <w:r w:rsidRPr="00400981">
        <w:rPr>
          <w:b/>
          <w:bCs/>
          <w:sz w:val="22"/>
          <w:szCs w:val="22"/>
          <w:lang w:val="en-US"/>
        </w:rPr>
        <w:t>For DMRS-based sPDCCH, the number of sREGs forming an sCCE is 4 in a 2-symbol sPDCCH and is 3 in a 3-symbol sPDCCH.</w:t>
      </w:r>
    </w:p>
    <w:p w14:paraId="7990B68D" w14:textId="71D6A470" w:rsidR="0024078D" w:rsidRPr="00400981" w:rsidRDefault="0024078D" w:rsidP="0024078D">
      <w:pPr>
        <w:jc w:val="both"/>
        <w:rPr>
          <w:bCs/>
          <w:sz w:val="22"/>
          <w:szCs w:val="22"/>
          <w:lang w:val="en-US"/>
        </w:rPr>
      </w:pPr>
    </w:p>
    <w:p w14:paraId="3FB8280C" w14:textId="40C714C8" w:rsidR="0024078D" w:rsidRPr="00400981" w:rsidRDefault="0024078D" w:rsidP="0024078D">
      <w:pPr>
        <w:pStyle w:val="Heading1"/>
        <w:rPr>
          <w:color w:val="000000"/>
          <w:lang w:val="en-US"/>
        </w:rPr>
      </w:pPr>
      <w:r w:rsidRPr="00400981">
        <w:rPr>
          <w:color w:val="000000"/>
          <w:lang w:val="en-US"/>
        </w:rPr>
        <w:t>4</w:t>
      </w:r>
      <w:r w:rsidRPr="00400981">
        <w:rPr>
          <w:color w:val="000000"/>
          <w:lang w:val="en-US"/>
        </w:rPr>
        <w:tab/>
        <w:t>Support of 2-port DM-RS based sPDCCH</w:t>
      </w:r>
    </w:p>
    <w:p w14:paraId="0C304746" w14:textId="11C3AB8F" w:rsidR="0024078D" w:rsidRPr="00400981" w:rsidRDefault="0024078D" w:rsidP="0024078D">
      <w:pPr>
        <w:jc w:val="both"/>
        <w:rPr>
          <w:bCs/>
          <w:sz w:val="22"/>
          <w:szCs w:val="22"/>
          <w:lang w:val="en-US"/>
        </w:rPr>
      </w:pPr>
      <w:r w:rsidRPr="00400981">
        <w:rPr>
          <w:bCs/>
          <w:sz w:val="22"/>
          <w:szCs w:val="22"/>
          <w:lang w:val="en-US"/>
        </w:rPr>
        <w:t xml:space="preserve">At RAN1#90 the working assumption to support this feature has been taken. But in the email discussion [90-6], some companies feel that this is not needed now (but will be anyhow </w:t>
      </w:r>
      <w:r w:rsidR="00400981" w:rsidRPr="00400981">
        <w:rPr>
          <w:bCs/>
          <w:sz w:val="22"/>
          <w:szCs w:val="22"/>
          <w:lang w:val="en-US"/>
        </w:rPr>
        <w:t>needed</w:t>
      </w:r>
      <w:r w:rsidRPr="00400981">
        <w:rPr>
          <w:bCs/>
          <w:sz w:val="22"/>
          <w:szCs w:val="22"/>
          <w:lang w:val="en-US"/>
        </w:rPr>
        <w:t xml:space="preserve"> to be specified as part of the URLLC for LTE WI). </w:t>
      </w:r>
    </w:p>
    <w:p w14:paraId="0932688D" w14:textId="0DAFE1DB" w:rsidR="0024078D" w:rsidRPr="00400981" w:rsidRDefault="0024078D" w:rsidP="0024078D">
      <w:pPr>
        <w:jc w:val="both"/>
        <w:rPr>
          <w:bCs/>
          <w:sz w:val="22"/>
          <w:szCs w:val="22"/>
          <w:lang w:val="en-US"/>
        </w:rPr>
      </w:pPr>
      <w:r w:rsidRPr="00400981">
        <w:rPr>
          <w:bCs/>
          <w:sz w:val="22"/>
          <w:szCs w:val="22"/>
          <w:lang w:val="en-US"/>
        </w:rPr>
        <w:t>We still feel that this could be supported, as an overall package considering the rather clear guidance on how to operate this (i.e. it seems only a single company is pre</w:t>
      </w:r>
      <w:r w:rsidR="00950D89" w:rsidRPr="00400981">
        <w:rPr>
          <w:bCs/>
          <w:sz w:val="22"/>
          <w:szCs w:val="22"/>
          <w:lang w:val="en-US"/>
        </w:rPr>
        <w:t xml:space="preserve">ferring SFBC over AP hopping, Nokia is </w:t>
      </w:r>
      <w:r w:rsidRPr="00400981">
        <w:rPr>
          <w:bCs/>
          <w:sz w:val="22"/>
          <w:szCs w:val="22"/>
          <w:lang w:val="en-US"/>
        </w:rPr>
        <w:t xml:space="preserve">willing to compromise to only support for distributed mapping). </w:t>
      </w:r>
    </w:p>
    <w:p w14:paraId="53E641CB" w14:textId="1F894708" w:rsidR="0024078D" w:rsidRPr="00400981" w:rsidRDefault="0024078D" w:rsidP="0024078D">
      <w:pPr>
        <w:jc w:val="both"/>
        <w:rPr>
          <w:bCs/>
          <w:sz w:val="22"/>
          <w:szCs w:val="22"/>
          <w:lang w:val="en-US"/>
        </w:rPr>
      </w:pPr>
      <w:r w:rsidRPr="00400981">
        <w:rPr>
          <w:bCs/>
          <w:sz w:val="22"/>
          <w:szCs w:val="22"/>
          <w:lang w:val="en-US"/>
        </w:rPr>
        <w:t>We therefore propose to check the support for the full set of specification of this feature, but do not spend much online time on it!</w:t>
      </w:r>
    </w:p>
    <w:p w14:paraId="3E0BBC21" w14:textId="7B431A7B" w:rsidR="0024078D" w:rsidRPr="00400981" w:rsidRDefault="0024078D" w:rsidP="0024078D">
      <w:pPr>
        <w:spacing w:after="0"/>
        <w:jc w:val="both"/>
        <w:rPr>
          <w:b/>
          <w:bCs/>
          <w:sz w:val="22"/>
          <w:szCs w:val="22"/>
          <w:lang w:val="en-US"/>
        </w:rPr>
      </w:pPr>
      <w:r w:rsidRPr="00400981">
        <w:rPr>
          <w:b/>
          <w:bCs/>
          <w:sz w:val="22"/>
          <w:szCs w:val="22"/>
          <w:lang w:val="en-US"/>
        </w:rPr>
        <w:lastRenderedPageBreak/>
        <w:t xml:space="preserve">Proposal 5: </w:t>
      </w:r>
      <w:r w:rsidRPr="00400981">
        <w:rPr>
          <w:b/>
          <w:bCs/>
          <w:i/>
          <w:sz w:val="22"/>
          <w:szCs w:val="22"/>
          <w:lang w:val="en-US"/>
        </w:rPr>
        <w:t>Decide the support of 2-TX DM-RS based as a package without spending much online time</w:t>
      </w:r>
      <w:r w:rsidRPr="00400981">
        <w:rPr>
          <w:b/>
          <w:bCs/>
          <w:sz w:val="22"/>
          <w:szCs w:val="22"/>
          <w:lang w:val="en-US"/>
        </w:rPr>
        <w:t xml:space="preserve">: </w:t>
      </w:r>
    </w:p>
    <w:p w14:paraId="3B6CCF74" w14:textId="58F748F7" w:rsidR="0024078D" w:rsidRPr="00400981" w:rsidRDefault="0024078D" w:rsidP="00F03356">
      <w:pPr>
        <w:pStyle w:val="ListParagraph"/>
        <w:numPr>
          <w:ilvl w:val="0"/>
          <w:numId w:val="56"/>
        </w:numPr>
        <w:jc w:val="both"/>
        <w:rPr>
          <w:b/>
          <w:bCs/>
          <w:sz w:val="22"/>
          <w:szCs w:val="22"/>
          <w:lang w:val="en-US"/>
        </w:rPr>
      </w:pPr>
      <w:r w:rsidRPr="00400981">
        <w:rPr>
          <w:b/>
          <w:bCs/>
          <w:sz w:val="22"/>
          <w:szCs w:val="22"/>
          <w:lang w:val="en-US"/>
        </w:rPr>
        <w:t>Confirm the working assumption on supporting a 2-port DMRS-based sPDCCH</w:t>
      </w:r>
    </w:p>
    <w:p w14:paraId="4600F966" w14:textId="070410B4" w:rsidR="0024078D" w:rsidRPr="00400981" w:rsidRDefault="0024078D" w:rsidP="0024078D">
      <w:pPr>
        <w:pStyle w:val="ListParagraph"/>
        <w:numPr>
          <w:ilvl w:val="1"/>
          <w:numId w:val="56"/>
        </w:numPr>
        <w:jc w:val="both"/>
        <w:rPr>
          <w:b/>
          <w:bCs/>
          <w:sz w:val="22"/>
          <w:szCs w:val="22"/>
          <w:lang w:val="en-US"/>
        </w:rPr>
      </w:pPr>
      <w:r w:rsidRPr="00400981">
        <w:rPr>
          <w:b/>
          <w:bCs/>
          <w:sz w:val="22"/>
          <w:szCs w:val="22"/>
          <w:lang w:val="en-US"/>
        </w:rPr>
        <w:t>2-port DMRS-based sPDCCH is only supported distributed sCCE-to-sREG mapping</w:t>
      </w:r>
    </w:p>
    <w:p w14:paraId="6CF2B008" w14:textId="4F427542" w:rsidR="0024078D" w:rsidRPr="00400981" w:rsidRDefault="0024078D" w:rsidP="0024078D">
      <w:pPr>
        <w:pStyle w:val="ListParagraph"/>
        <w:numPr>
          <w:ilvl w:val="1"/>
          <w:numId w:val="56"/>
        </w:numPr>
        <w:jc w:val="both"/>
        <w:rPr>
          <w:b/>
          <w:bCs/>
          <w:sz w:val="22"/>
          <w:szCs w:val="22"/>
          <w:lang w:val="en-US"/>
        </w:rPr>
      </w:pPr>
      <w:r w:rsidRPr="00400981">
        <w:rPr>
          <w:b/>
          <w:bCs/>
          <w:sz w:val="22"/>
          <w:szCs w:val="22"/>
          <w:lang w:val="en-US"/>
        </w:rPr>
        <w:t xml:space="preserve">2-port DMRS-based sPDCCH applies antenna hopping using two ports within an sREG </w:t>
      </w:r>
    </w:p>
    <w:p w14:paraId="4782EDD6" w14:textId="66EEBB31" w:rsidR="0024078D" w:rsidRPr="00400981" w:rsidRDefault="0024078D" w:rsidP="0024078D">
      <w:pPr>
        <w:pStyle w:val="ListParagraph"/>
        <w:numPr>
          <w:ilvl w:val="1"/>
          <w:numId w:val="56"/>
        </w:numPr>
        <w:jc w:val="both"/>
        <w:rPr>
          <w:b/>
          <w:bCs/>
          <w:sz w:val="22"/>
          <w:szCs w:val="22"/>
          <w:lang w:val="en-US"/>
        </w:rPr>
      </w:pPr>
      <w:r w:rsidRPr="00400981">
        <w:rPr>
          <w:b/>
          <w:bCs/>
          <w:sz w:val="22"/>
          <w:szCs w:val="22"/>
          <w:lang w:val="en-US"/>
        </w:rPr>
        <w:t>The 2 DMRS ports are multiplexed via OCC-2 in the time domain. The DMRS density for 2-port DMRS-based sPDCCH is the same as for single port DMRS-based sPDCCH.</w:t>
      </w:r>
    </w:p>
    <w:p w14:paraId="7B8E65F5" w14:textId="0C09B169" w:rsidR="00E62A62" w:rsidRPr="00400981" w:rsidRDefault="00E62A62" w:rsidP="00E62A62">
      <w:pPr>
        <w:jc w:val="both"/>
        <w:rPr>
          <w:bCs/>
          <w:sz w:val="22"/>
          <w:szCs w:val="22"/>
          <w:lang w:val="en-US"/>
        </w:rPr>
      </w:pPr>
    </w:p>
    <w:p w14:paraId="20EA63F0" w14:textId="24E1949A" w:rsidR="00E62A62" w:rsidRPr="00400981" w:rsidRDefault="00E62A62" w:rsidP="00E62A62">
      <w:pPr>
        <w:pStyle w:val="Heading1"/>
        <w:rPr>
          <w:color w:val="000000"/>
          <w:lang w:val="en-US"/>
        </w:rPr>
      </w:pPr>
      <w:r w:rsidRPr="00400981">
        <w:rPr>
          <w:color w:val="000000"/>
          <w:lang w:val="en-US"/>
        </w:rPr>
        <w:t>5</w:t>
      </w:r>
      <w:r w:rsidRPr="00400981">
        <w:rPr>
          <w:color w:val="000000"/>
          <w:lang w:val="en-US"/>
        </w:rPr>
        <w:tab/>
        <w:t xml:space="preserve">sREG numbering &amp; distributed mapping </w:t>
      </w:r>
    </w:p>
    <w:p w14:paraId="15742F87" w14:textId="30FEBAB2" w:rsidR="00E62A62" w:rsidRPr="00400981" w:rsidRDefault="00E62A62" w:rsidP="0024078D">
      <w:pPr>
        <w:jc w:val="both"/>
        <w:rPr>
          <w:bCs/>
          <w:sz w:val="22"/>
          <w:szCs w:val="22"/>
          <w:lang w:val="en-US"/>
        </w:rPr>
      </w:pPr>
      <w:r w:rsidRPr="00400981">
        <w:rPr>
          <w:bCs/>
          <w:sz w:val="22"/>
          <w:szCs w:val="22"/>
          <w:lang w:val="en-US"/>
        </w:rPr>
        <w:t xml:space="preserve">In short, </w:t>
      </w:r>
      <w:r w:rsidRPr="00400981">
        <w:rPr>
          <w:b/>
          <w:bCs/>
          <w:sz w:val="22"/>
          <w:szCs w:val="22"/>
          <w:lang w:val="en-US"/>
        </w:rPr>
        <w:t>we are fine with the related proposals given in the email summary as</w:t>
      </w:r>
      <w:r w:rsidRPr="00400981">
        <w:rPr>
          <w:bCs/>
          <w:sz w:val="22"/>
          <w:szCs w:val="22"/>
          <w:lang w:val="en-US"/>
        </w:rPr>
        <w:t xml:space="preserve">: </w:t>
      </w:r>
    </w:p>
    <w:p w14:paraId="3F178047" w14:textId="12AE3D19" w:rsidR="00E62A62" w:rsidRPr="00400981" w:rsidRDefault="00E62A62" w:rsidP="00E62A62">
      <w:pPr>
        <w:pStyle w:val="ListParagraph"/>
        <w:numPr>
          <w:ilvl w:val="0"/>
          <w:numId w:val="56"/>
        </w:numPr>
        <w:spacing w:after="120"/>
        <w:ind w:left="357" w:hanging="357"/>
        <w:rPr>
          <w:i/>
          <w:sz w:val="22"/>
          <w:szCs w:val="22"/>
          <w:lang w:val="en-US"/>
        </w:rPr>
      </w:pPr>
      <w:r w:rsidRPr="00400981">
        <w:rPr>
          <w:bCs/>
          <w:i/>
          <w:sz w:val="22"/>
          <w:szCs w:val="22"/>
          <w:highlight w:val="green"/>
          <w:lang w:val="en-US"/>
        </w:rPr>
        <w:t>[90-06] -</w:t>
      </w:r>
      <w:r w:rsidRPr="00400981">
        <w:rPr>
          <w:i/>
          <w:sz w:val="22"/>
          <w:szCs w:val="22"/>
          <w:highlight w:val="green"/>
          <w:lang w:val="en-US"/>
        </w:rPr>
        <w:t xml:space="preserve"> </w:t>
      </w:r>
      <w:r w:rsidRPr="00400981">
        <w:rPr>
          <w:bCs/>
          <w:i/>
          <w:sz w:val="22"/>
          <w:szCs w:val="22"/>
          <w:highlight w:val="green"/>
          <w:u w:val="single"/>
          <w:lang w:val="en-US"/>
        </w:rPr>
        <w:t>Proposal 13:</w:t>
      </w:r>
      <w:r w:rsidRPr="00400981">
        <w:rPr>
          <w:bCs/>
          <w:i/>
          <w:sz w:val="22"/>
          <w:szCs w:val="22"/>
          <w:lang w:val="en-US"/>
        </w:rPr>
        <w:t xml:space="preserve"> </w:t>
      </w:r>
      <w:r w:rsidRPr="00400981">
        <w:rPr>
          <w:i/>
          <w:sz w:val="22"/>
          <w:szCs w:val="22"/>
          <w:lang w:val="en-US"/>
        </w:rPr>
        <w:t>For an RB set configured with more than 1 symbol and CRS-based sPDCCH, the distributed sCCE-to-sREG mapping is implemented at the sREG level.</w:t>
      </w:r>
    </w:p>
    <w:p w14:paraId="03A0E91B" w14:textId="416AAA9E" w:rsidR="00E62A62" w:rsidRPr="00400981" w:rsidRDefault="00E62A62" w:rsidP="00E62A62">
      <w:pPr>
        <w:pStyle w:val="BodyText"/>
        <w:numPr>
          <w:ilvl w:val="0"/>
          <w:numId w:val="56"/>
        </w:numPr>
        <w:rPr>
          <w:bCs/>
          <w:i/>
          <w:sz w:val="22"/>
          <w:szCs w:val="22"/>
          <w:lang w:val="en-US"/>
        </w:rPr>
      </w:pPr>
      <w:r w:rsidRPr="00400981">
        <w:rPr>
          <w:bCs/>
          <w:i/>
          <w:sz w:val="22"/>
          <w:szCs w:val="22"/>
          <w:highlight w:val="green"/>
          <w:lang w:val="en-US"/>
        </w:rPr>
        <w:t>[90-06] -</w:t>
      </w:r>
      <w:r w:rsidRPr="00400981">
        <w:rPr>
          <w:i/>
          <w:sz w:val="22"/>
          <w:szCs w:val="22"/>
          <w:highlight w:val="green"/>
          <w:lang w:val="en-US" w:eastAsia="zh-CN"/>
        </w:rPr>
        <w:t xml:space="preserve"> </w:t>
      </w:r>
      <w:r w:rsidRPr="00400981">
        <w:rPr>
          <w:i/>
          <w:sz w:val="22"/>
          <w:szCs w:val="22"/>
          <w:highlight w:val="green"/>
          <w:u w:val="single"/>
          <w:lang w:val="en-US"/>
        </w:rPr>
        <w:t>Proposal 14:</w:t>
      </w:r>
      <w:r w:rsidRPr="00400981">
        <w:rPr>
          <w:bCs/>
          <w:i/>
          <w:sz w:val="22"/>
          <w:szCs w:val="22"/>
          <w:lang w:val="en-US"/>
        </w:rPr>
        <w:t xml:space="preserve"> </w:t>
      </w:r>
      <w:r w:rsidRPr="00400981">
        <w:rPr>
          <w:i/>
          <w:sz w:val="22"/>
          <w:szCs w:val="22"/>
          <w:lang w:val="en-US"/>
        </w:rPr>
        <w:t>For an RB set configured with DMRS-based mapping, the distributed sCCE-to-sREG mapping is implemented at the sCCE level.</w:t>
      </w:r>
    </w:p>
    <w:p w14:paraId="4F1B64F5" w14:textId="063747DC" w:rsidR="00E62A62" w:rsidRPr="00400981" w:rsidRDefault="00E62A62" w:rsidP="00E62A62">
      <w:pPr>
        <w:pStyle w:val="BodyText"/>
        <w:numPr>
          <w:ilvl w:val="0"/>
          <w:numId w:val="56"/>
        </w:numPr>
        <w:rPr>
          <w:bCs/>
          <w:i/>
          <w:sz w:val="22"/>
          <w:szCs w:val="22"/>
          <w:lang w:val="en-US"/>
        </w:rPr>
      </w:pPr>
      <w:r w:rsidRPr="00400981">
        <w:rPr>
          <w:bCs/>
          <w:i/>
          <w:sz w:val="22"/>
          <w:szCs w:val="22"/>
          <w:highlight w:val="green"/>
          <w:lang w:val="en-US"/>
        </w:rPr>
        <w:t>[90-06] -</w:t>
      </w:r>
      <w:r w:rsidRPr="00400981">
        <w:rPr>
          <w:i/>
          <w:sz w:val="22"/>
          <w:szCs w:val="22"/>
          <w:highlight w:val="green"/>
          <w:lang w:val="en-US" w:eastAsia="zh-CN"/>
        </w:rPr>
        <w:t xml:space="preserve"> </w:t>
      </w:r>
      <w:r w:rsidRPr="00400981">
        <w:rPr>
          <w:i/>
          <w:sz w:val="22"/>
          <w:szCs w:val="22"/>
          <w:highlight w:val="green"/>
          <w:u w:val="single"/>
          <w:lang w:val="en-US"/>
        </w:rPr>
        <w:t>Proposal 15:</w:t>
      </w:r>
      <w:r w:rsidRPr="00400981">
        <w:rPr>
          <w:bCs/>
          <w:i/>
          <w:sz w:val="22"/>
          <w:szCs w:val="22"/>
          <w:lang w:val="en-US"/>
        </w:rPr>
        <w:t xml:space="preserve"> </w:t>
      </w:r>
      <w:r w:rsidRPr="00400981">
        <w:rPr>
          <w:i/>
          <w:sz w:val="22"/>
          <w:szCs w:val="22"/>
          <w:lang w:val="en-US"/>
        </w:rPr>
        <w:t xml:space="preserve">For a CRS-based sPDCCH, sREGs within an sPDCCH set </w:t>
      </w:r>
      <m:oMath>
        <m:sSub>
          <m:sSubPr>
            <m:ctrlPr>
              <w:rPr>
                <w:rFonts w:ascii="Cambria Math" w:hAnsi="Cambria Math"/>
                <w:i/>
                <w:sz w:val="22"/>
                <w:szCs w:val="22"/>
                <w:lang w:val="en-US"/>
              </w:rPr>
            </m:ctrlPr>
          </m:sSubPr>
          <m:e>
            <m:r>
              <w:rPr>
                <w:rFonts w:ascii="Cambria Math" w:hAnsi="Cambria Math"/>
                <w:sz w:val="22"/>
                <w:szCs w:val="22"/>
                <w:lang w:val="en-US"/>
              </w:rPr>
              <m:t>X</m:t>
            </m:r>
          </m:e>
          <m:sub>
            <m:r>
              <w:rPr>
                <w:rFonts w:ascii="Cambria Math" w:hAnsi="Cambria Math"/>
                <w:sz w:val="22"/>
                <w:szCs w:val="22"/>
                <w:lang w:val="en-US"/>
              </w:rPr>
              <m:t>m</m:t>
            </m:r>
          </m:sub>
        </m:sSub>
      </m:oMath>
      <w:r w:rsidRPr="00400981">
        <w:rPr>
          <w:i/>
          <w:sz w:val="22"/>
          <w:szCs w:val="22"/>
          <w:lang w:val="en-US"/>
        </w:rPr>
        <w:t xml:space="preserve"> are numbered in a frequency-first time-second manner from 0 to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RB</m:t>
            </m:r>
          </m:sub>
          <m:sup>
            <m:sSub>
              <m:sSubPr>
                <m:ctrlPr>
                  <w:rPr>
                    <w:rFonts w:ascii="Cambria Math" w:hAnsi="Cambria Math"/>
                    <w:i/>
                    <w:sz w:val="22"/>
                    <w:szCs w:val="22"/>
                    <w:lang w:val="en-US"/>
                  </w:rPr>
                </m:ctrlPr>
              </m:sSubPr>
              <m:e>
                <m:r>
                  <w:rPr>
                    <w:rFonts w:ascii="Cambria Math" w:hAnsi="Cambria Math"/>
                    <w:sz w:val="22"/>
                    <w:szCs w:val="22"/>
                    <w:lang w:val="en-US"/>
                  </w:rPr>
                  <m:t>X</m:t>
                </m:r>
              </m:e>
              <m:sub>
                <m:r>
                  <w:rPr>
                    <w:rFonts w:ascii="Cambria Math" w:hAnsi="Cambria Math"/>
                    <w:sz w:val="22"/>
                    <w:szCs w:val="22"/>
                    <w:lang w:val="en-US"/>
                  </w:rPr>
                  <m:t>m</m:t>
                </m:r>
              </m:sub>
            </m:sSub>
          </m:sup>
        </m:sSubSup>
        <m:r>
          <w:rPr>
            <w:rFonts w:ascii="Cambria Math" w:hAnsi="Cambria Math"/>
            <w:sz w:val="22"/>
            <w:szCs w:val="22"/>
            <w:lang w:val="en-US"/>
          </w:rPr>
          <m:t>-1</m:t>
        </m:r>
      </m:oMath>
      <w:r w:rsidRPr="00400981">
        <w:rPr>
          <w:i/>
          <w:sz w:val="22"/>
          <w:szCs w:val="22"/>
          <w:lang w:val="en-US"/>
        </w:rPr>
        <w:t>.</w:t>
      </w:r>
    </w:p>
    <w:p w14:paraId="68FCF506" w14:textId="18E0E4DC" w:rsidR="00E62A62" w:rsidRPr="00400981" w:rsidRDefault="00E62A62" w:rsidP="00E62A62">
      <w:pPr>
        <w:pStyle w:val="BodyText"/>
        <w:numPr>
          <w:ilvl w:val="0"/>
          <w:numId w:val="56"/>
        </w:numPr>
        <w:rPr>
          <w:bCs/>
          <w:i/>
          <w:sz w:val="22"/>
          <w:szCs w:val="22"/>
          <w:lang w:val="en-US"/>
        </w:rPr>
      </w:pPr>
      <w:r w:rsidRPr="00400981">
        <w:rPr>
          <w:bCs/>
          <w:i/>
          <w:sz w:val="22"/>
          <w:szCs w:val="22"/>
          <w:highlight w:val="green"/>
          <w:lang w:val="en-US"/>
        </w:rPr>
        <w:t>[90-06] -</w:t>
      </w:r>
      <w:r w:rsidRPr="00400981">
        <w:rPr>
          <w:i/>
          <w:sz w:val="22"/>
          <w:szCs w:val="22"/>
          <w:highlight w:val="green"/>
          <w:lang w:val="en-US" w:eastAsia="zh-CN"/>
        </w:rPr>
        <w:t xml:space="preserve"> </w:t>
      </w:r>
      <w:r w:rsidRPr="00400981">
        <w:rPr>
          <w:i/>
          <w:sz w:val="22"/>
          <w:szCs w:val="22"/>
          <w:highlight w:val="green"/>
          <w:u w:val="single"/>
          <w:lang w:val="en-US"/>
        </w:rPr>
        <w:t>Proposal 16:</w:t>
      </w:r>
      <w:r w:rsidRPr="00400981">
        <w:rPr>
          <w:bCs/>
          <w:i/>
          <w:sz w:val="22"/>
          <w:szCs w:val="22"/>
          <w:lang w:val="en-US"/>
        </w:rPr>
        <w:t xml:space="preserve"> </w:t>
      </w:r>
      <w:r w:rsidRPr="00400981">
        <w:rPr>
          <w:i/>
          <w:sz w:val="22"/>
          <w:szCs w:val="22"/>
          <w:lang w:val="en-US"/>
        </w:rPr>
        <w:t xml:space="preserve">For a DMRS-based sPDCCH, sREGs within an sPDCCH set </w:t>
      </w:r>
      <m:oMath>
        <m:sSub>
          <m:sSubPr>
            <m:ctrlPr>
              <w:rPr>
                <w:rFonts w:ascii="Cambria Math" w:hAnsi="Cambria Math"/>
                <w:i/>
                <w:sz w:val="22"/>
                <w:szCs w:val="22"/>
                <w:lang w:val="en-US"/>
              </w:rPr>
            </m:ctrlPr>
          </m:sSubPr>
          <m:e>
            <m:r>
              <w:rPr>
                <w:rFonts w:ascii="Cambria Math" w:hAnsi="Cambria Math"/>
                <w:sz w:val="22"/>
                <w:szCs w:val="22"/>
                <w:lang w:val="en-US"/>
              </w:rPr>
              <m:t>X</m:t>
            </m:r>
          </m:e>
          <m:sub>
            <m:r>
              <w:rPr>
                <w:rFonts w:ascii="Cambria Math" w:hAnsi="Cambria Math"/>
                <w:sz w:val="22"/>
                <w:szCs w:val="22"/>
                <w:lang w:val="en-US"/>
              </w:rPr>
              <m:t>m</m:t>
            </m:r>
          </m:sub>
        </m:sSub>
      </m:oMath>
      <w:r w:rsidRPr="00400981">
        <w:rPr>
          <w:i/>
          <w:sz w:val="22"/>
          <w:szCs w:val="22"/>
          <w:lang w:val="en-US"/>
        </w:rPr>
        <w:t xml:space="preserve"> are numbered in a time-first frequency-second manner from 0 to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RB</m:t>
            </m:r>
          </m:sub>
          <m:sup>
            <m:sSub>
              <m:sSubPr>
                <m:ctrlPr>
                  <w:rPr>
                    <w:rFonts w:ascii="Cambria Math" w:hAnsi="Cambria Math"/>
                    <w:i/>
                    <w:sz w:val="22"/>
                    <w:szCs w:val="22"/>
                    <w:lang w:val="en-US"/>
                  </w:rPr>
                </m:ctrlPr>
              </m:sSubPr>
              <m:e>
                <m:r>
                  <w:rPr>
                    <w:rFonts w:ascii="Cambria Math" w:hAnsi="Cambria Math"/>
                    <w:sz w:val="22"/>
                    <w:szCs w:val="22"/>
                    <w:lang w:val="en-US"/>
                  </w:rPr>
                  <m:t>X</m:t>
                </m:r>
              </m:e>
              <m:sub>
                <m:r>
                  <w:rPr>
                    <w:rFonts w:ascii="Cambria Math" w:hAnsi="Cambria Math"/>
                    <w:sz w:val="22"/>
                    <w:szCs w:val="22"/>
                    <w:lang w:val="en-US"/>
                  </w:rPr>
                  <m:t>m</m:t>
                </m:r>
              </m:sub>
            </m:sSub>
          </m:sup>
        </m:sSubSup>
        <m:r>
          <w:rPr>
            <w:rFonts w:ascii="Cambria Math" w:hAnsi="Cambria Math"/>
            <w:sz w:val="22"/>
            <w:szCs w:val="22"/>
            <w:lang w:val="en-US"/>
          </w:rPr>
          <m:t>-1</m:t>
        </m:r>
      </m:oMath>
      <w:r w:rsidRPr="00400981">
        <w:rPr>
          <w:i/>
          <w:sz w:val="22"/>
          <w:szCs w:val="22"/>
          <w:lang w:val="en-US"/>
        </w:rPr>
        <w:t>.</w:t>
      </w:r>
    </w:p>
    <w:p w14:paraId="1876F470" w14:textId="77777777" w:rsidR="00A373ED" w:rsidRPr="00400981" w:rsidRDefault="00A373ED" w:rsidP="00A373ED">
      <w:pPr>
        <w:jc w:val="both"/>
        <w:rPr>
          <w:b/>
          <w:bCs/>
          <w:i/>
          <w:sz w:val="22"/>
          <w:szCs w:val="22"/>
          <w:lang w:val="en-US"/>
        </w:rPr>
      </w:pPr>
    </w:p>
    <w:p w14:paraId="5273E093" w14:textId="24D542B4" w:rsidR="00166A66" w:rsidRPr="00400981" w:rsidRDefault="00E62A62" w:rsidP="00C923E9">
      <w:pPr>
        <w:pStyle w:val="Heading1"/>
        <w:rPr>
          <w:color w:val="000000"/>
          <w:lang w:val="en-US"/>
        </w:rPr>
      </w:pPr>
      <w:r w:rsidRPr="00400981">
        <w:rPr>
          <w:color w:val="000000"/>
          <w:lang w:val="en-US"/>
        </w:rPr>
        <w:t>6</w:t>
      </w:r>
      <w:r w:rsidR="0034111C" w:rsidRPr="00400981">
        <w:rPr>
          <w:color w:val="000000"/>
          <w:lang w:val="en-US"/>
        </w:rPr>
        <w:tab/>
      </w:r>
      <w:r w:rsidR="00EE7FA7" w:rsidRPr="00400981">
        <w:rPr>
          <w:color w:val="000000"/>
          <w:lang w:val="en-US"/>
        </w:rPr>
        <w:t>Conclusion</w:t>
      </w:r>
      <w:r w:rsidR="00DB39D4" w:rsidRPr="00400981">
        <w:rPr>
          <w:color w:val="000000"/>
          <w:lang w:val="en-US"/>
        </w:rPr>
        <w:t>s</w:t>
      </w:r>
    </w:p>
    <w:p w14:paraId="4C4C317D" w14:textId="77777777" w:rsidR="00E62A62" w:rsidRPr="00400981" w:rsidRDefault="00C923E9" w:rsidP="00E30EC9">
      <w:pPr>
        <w:jc w:val="both"/>
        <w:rPr>
          <w:sz w:val="22"/>
          <w:lang w:val="en-US"/>
        </w:rPr>
      </w:pPr>
      <w:r w:rsidRPr="00400981">
        <w:rPr>
          <w:sz w:val="22"/>
          <w:lang w:val="en-US"/>
        </w:rPr>
        <w:t xml:space="preserve">In this </w:t>
      </w:r>
      <w:r w:rsidR="00F54E08" w:rsidRPr="00400981">
        <w:rPr>
          <w:sz w:val="22"/>
          <w:lang w:val="en-US"/>
        </w:rPr>
        <w:t>contribution,</w:t>
      </w:r>
      <w:r w:rsidRPr="00400981">
        <w:rPr>
          <w:sz w:val="22"/>
          <w:lang w:val="en-US"/>
        </w:rPr>
        <w:t xml:space="preserve"> we </w:t>
      </w:r>
      <w:r w:rsidR="00C44B56" w:rsidRPr="00400981">
        <w:rPr>
          <w:sz w:val="22"/>
          <w:lang w:val="en-US"/>
        </w:rPr>
        <w:t>discussed details of the short sP</w:t>
      </w:r>
      <w:r w:rsidR="00E62A62" w:rsidRPr="00400981">
        <w:rPr>
          <w:sz w:val="22"/>
          <w:lang w:val="en-US"/>
        </w:rPr>
        <w:t>DC</w:t>
      </w:r>
      <w:r w:rsidR="00C44B56" w:rsidRPr="00400981">
        <w:rPr>
          <w:sz w:val="22"/>
          <w:lang w:val="en-US"/>
        </w:rPr>
        <w:t xml:space="preserve">CH design </w:t>
      </w:r>
      <w:r w:rsidR="00E62A62" w:rsidRPr="00400981">
        <w:rPr>
          <w:sz w:val="22"/>
          <w:lang w:val="en-US"/>
        </w:rPr>
        <w:t xml:space="preserve">taking the outcome of the email discussion in [90-6] into account. </w:t>
      </w:r>
    </w:p>
    <w:p w14:paraId="429AD8DD" w14:textId="77777777" w:rsidR="00E62A62" w:rsidRPr="00400981" w:rsidRDefault="00E62A62" w:rsidP="00E30EC9">
      <w:pPr>
        <w:jc w:val="both"/>
        <w:rPr>
          <w:sz w:val="22"/>
          <w:lang w:val="en-US"/>
        </w:rPr>
      </w:pPr>
      <w:r w:rsidRPr="00400981">
        <w:rPr>
          <w:sz w:val="22"/>
          <w:lang w:val="en-US"/>
        </w:rPr>
        <w:t>We would highlight in this respect the following proposals:</w:t>
      </w:r>
    </w:p>
    <w:p w14:paraId="650E488E" w14:textId="77777777" w:rsidR="00950D89" w:rsidRPr="00400981" w:rsidRDefault="00950D89" w:rsidP="00950D89">
      <w:pPr>
        <w:jc w:val="both"/>
        <w:rPr>
          <w:b/>
          <w:bCs/>
          <w:sz w:val="22"/>
          <w:szCs w:val="22"/>
          <w:lang w:val="en-US"/>
        </w:rPr>
      </w:pPr>
      <w:r w:rsidRPr="00400981">
        <w:rPr>
          <w:b/>
          <w:bCs/>
          <w:sz w:val="22"/>
          <w:szCs w:val="22"/>
          <w:lang w:val="en-US"/>
        </w:rPr>
        <w:t xml:space="preserve">Proposal 1: The sPDCCH RB-set configuration supports up to 4 sPDCCH RB-sets. </w:t>
      </w:r>
    </w:p>
    <w:p w14:paraId="5C61FB9F" w14:textId="77777777" w:rsidR="00950D89" w:rsidRPr="00400981" w:rsidRDefault="00950D89" w:rsidP="00950D89">
      <w:pPr>
        <w:spacing w:after="0"/>
        <w:jc w:val="both"/>
        <w:rPr>
          <w:b/>
          <w:bCs/>
          <w:sz w:val="22"/>
          <w:szCs w:val="22"/>
          <w:lang w:val="en-US"/>
        </w:rPr>
      </w:pPr>
      <w:r w:rsidRPr="00400981">
        <w:rPr>
          <w:b/>
          <w:bCs/>
          <w:sz w:val="22"/>
          <w:szCs w:val="22"/>
          <w:lang w:val="en-US"/>
        </w:rPr>
        <w:t>Proposal 2: The sPDCCH RB-set configuration includes an indication of the SF type applicability for the sPDCCH RB-set having 3 states, such as {</w:t>
      </w:r>
      <w:r w:rsidRPr="00400981">
        <w:rPr>
          <w:b/>
          <w:bCs/>
          <w:i/>
          <w:sz w:val="22"/>
          <w:szCs w:val="22"/>
          <w:lang w:val="en-US"/>
        </w:rPr>
        <w:t>MBSFN SFs, non-MBSFN SFs, all SFs</w:t>
      </w:r>
      <w:r w:rsidRPr="00400981">
        <w:rPr>
          <w:b/>
          <w:bCs/>
          <w:sz w:val="22"/>
          <w:szCs w:val="22"/>
          <w:lang w:val="en-US"/>
        </w:rPr>
        <w:t xml:space="preserve">}.   </w:t>
      </w:r>
    </w:p>
    <w:p w14:paraId="0FE2D4C8" w14:textId="77777777" w:rsidR="00950D89" w:rsidRPr="00400981" w:rsidRDefault="00950D89" w:rsidP="00950D89">
      <w:pPr>
        <w:spacing w:after="0"/>
        <w:jc w:val="both"/>
        <w:rPr>
          <w:b/>
          <w:bCs/>
          <w:sz w:val="22"/>
          <w:szCs w:val="22"/>
          <w:lang w:val="en-US"/>
        </w:rPr>
      </w:pPr>
    </w:p>
    <w:p w14:paraId="1AC89C43" w14:textId="35FEED50" w:rsidR="00E62A62" w:rsidRPr="00400981" w:rsidRDefault="00E62A62" w:rsidP="00950D89">
      <w:pPr>
        <w:spacing w:after="0"/>
        <w:jc w:val="both"/>
        <w:rPr>
          <w:b/>
          <w:bCs/>
          <w:sz w:val="22"/>
          <w:szCs w:val="22"/>
          <w:lang w:val="en-US"/>
        </w:rPr>
      </w:pPr>
      <w:r w:rsidRPr="00400981">
        <w:rPr>
          <w:b/>
          <w:bCs/>
          <w:sz w:val="22"/>
          <w:szCs w:val="22"/>
          <w:lang w:val="en-US"/>
        </w:rPr>
        <w:t>Proposal 3: In case mandatory DMRS bunding with an sRBG size of 2 is specified:</w:t>
      </w:r>
    </w:p>
    <w:p w14:paraId="1D1F785B" w14:textId="77777777" w:rsidR="00E62A62" w:rsidRPr="00400981" w:rsidRDefault="00E62A62" w:rsidP="00E62A62">
      <w:pPr>
        <w:pStyle w:val="ListParagraph"/>
        <w:numPr>
          <w:ilvl w:val="0"/>
          <w:numId w:val="54"/>
        </w:numPr>
        <w:jc w:val="both"/>
        <w:rPr>
          <w:b/>
          <w:bCs/>
          <w:sz w:val="22"/>
          <w:szCs w:val="22"/>
          <w:lang w:val="en-US"/>
        </w:rPr>
      </w:pPr>
      <w:r w:rsidRPr="00400981">
        <w:rPr>
          <w:b/>
          <w:bCs/>
          <w:sz w:val="22"/>
          <w:szCs w:val="22"/>
          <w:lang w:val="en-US"/>
        </w:rPr>
        <w:t>The granularity of RB allocation for configuring an DMRS-based sPDCCH RB set is 2 RBs.</w:t>
      </w:r>
    </w:p>
    <w:p w14:paraId="7DE92DC2" w14:textId="6AAF3B89" w:rsidR="00E62A62" w:rsidRPr="00400981" w:rsidRDefault="00E62A62" w:rsidP="00E62A62">
      <w:pPr>
        <w:pStyle w:val="ListParagraph"/>
        <w:numPr>
          <w:ilvl w:val="0"/>
          <w:numId w:val="54"/>
        </w:numPr>
        <w:spacing w:after="120"/>
        <w:ind w:left="714" w:hanging="357"/>
        <w:jc w:val="both"/>
        <w:rPr>
          <w:b/>
          <w:bCs/>
          <w:sz w:val="22"/>
          <w:szCs w:val="22"/>
          <w:lang w:val="en-US"/>
        </w:rPr>
      </w:pPr>
      <w:r w:rsidRPr="00400981">
        <w:rPr>
          <w:b/>
          <w:bCs/>
          <w:sz w:val="22"/>
          <w:szCs w:val="22"/>
          <w:lang w:val="en-US"/>
        </w:rPr>
        <w:t>For DMRS-based sPDCCH, the number of sREGs forming an sCCE is 4 in a 2-symbol sPDCCH and is 6 in a 3-symbol sPDCCH.</w:t>
      </w:r>
    </w:p>
    <w:p w14:paraId="758D5C04" w14:textId="77777777" w:rsidR="00E62A62" w:rsidRPr="00400981" w:rsidRDefault="00E62A62" w:rsidP="00E62A62">
      <w:pPr>
        <w:spacing w:after="0"/>
        <w:jc w:val="both"/>
        <w:rPr>
          <w:b/>
          <w:bCs/>
          <w:sz w:val="22"/>
          <w:szCs w:val="22"/>
          <w:lang w:val="en-US"/>
        </w:rPr>
      </w:pPr>
      <w:r w:rsidRPr="00400981">
        <w:rPr>
          <w:b/>
          <w:bCs/>
          <w:sz w:val="22"/>
          <w:szCs w:val="22"/>
          <w:lang w:val="en-US"/>
        </w:rPr>
        <w:t>Proposal 4: In case mandatory DMRS bunding is not specified:</w:t>
      </w:r>
    </w:p>
    <w:p w14:paraId="4B0FFF10" w14:textId="77777777" w:rsidR="00E62A62" w:rsidRPr="00400981" w:rsidRDefault="00E62A62" w:rsidP="00E62A62">
      <w:pPr>
        <w:pStyle w:val="ListParagraph"/>
        <w:numPr>
          <w:ilvl w:val="0"/>
          <w:numId w:val="54"/>
        </w:numPr>
        <w:jc w:val="both"/>
        <w:rPr>
          <w:b/>
          <w:bCs/>
          <w:sz w:val="22"/>
          <w:szCs w:val="22"/>
          <w:lang w:val="en-US"/>
        </w:rPr>
      </w:pPr>
      <w:r w:rsidRPr="00400981">
        <w:rPr>
          <w:b/>
          <w:bCs/>
          <w:sz w:val="22"/>
          <w:szCs w:val="22"/>
          <w:lang w:val="en-US"/>
        </w:rPr>
        <w:t>The granularity of RB allocation for configuring an DMRS-based sPDCCH RB set is 1 RBs.</w:t>
      </w:r>
    </w:p>
    <w:p w14:paraId="626CC1CB" w14:textId="549A16C4" w:rsidR="00E62A62" w:rsidRPr="00400981" w:rsidRDefault="00E62A62" w:rsidP="00E62A62">
      <w:pPr>
        <w:pStyle w:val="ListParagraph"/>
        <w:numPr>
          <w:ilvl w:val="0"/>
          <w:numId w:val="54"/>
        </w:numPr>
        <w:spacing w:after="120"/>
        <w:ind w:left="714" w:hanging="357"/>
        <w:jc w:val="both"/>
        <w:rPr>
          <w:b/>
          <w:bCs/>
          <w:sz w:val="22"/>
          <w:szCs w:val="22"/>
          <w:lang w:val="en-US"/>
        </w:rPr>
      </w:pPr>
      <w:r w:rsidRPr="00400981">
        <w:rPr>
          <w:b/>
          <w:bCs/>
          <w:sz w:val="22"/>
          <w:szCs w:val="22"/>
          <w:lang w:val="en-US"/>
        </w:rPr>
        <w:t>For DMRS-based sPDCCH, the number of sREGs forming an sCCE is 4 in a 2-symbol sPDCCH and is 3 in a 3-symbol sPDCCH.</w:t>
      </w:r>
    </w:p>
    <w:p w14:paraId="31BC7F46" w14:textId="5DB0CB1B" w:rsidR="00E62A62" w:rsidRPr="00400981" w:rsidRDefault="00E62A62" w:rsidP="00E62A62">
      <w:pPr>
        <w:spacing w:after="0"/>
        <w:jc w:val="both"/>
        <w:rPr>
          <w:b/>
          <w:bCs/>
          <w:sz w:val="22"/>
          <w:szCs w:val="22"/>
          <w:lang w:val="en-US"/>
        </w:rPr>
      </w:pPr>
      <w:r w:rsidRPr="00400981">
        <w:rPr>
          <w:b/>
          <w:bCs/>
          <w:sz w:val="22"/>
          <w:szCs w:val="22"/>
          <w:lang w:val="en-US"/>
        </w:rPr>
        <w:t xml:space="preserve">Proposal 5: </w:t>
      </w:r>
      <w:r w:rsidRPr="00400981">
        <w:rPr>
          <w:b/>
          <w:bCs/>
          <w:i/>
          <w:sz w:val="22"/>
          <w:szCs w:val="22"/>
          <w:lang w:val="en-US"/>
        </w:rPr>
        <w:t>Decide the support of 2-TX DM-RS based as a package without spending much online time</w:t>
      </w:r>
      <w:r w:rsidRPr="00400981">
        <w:rPr>
          <w:b/>
          <w:bCs/>
          <w:sz w:val="22"/>
          <w:szCs w:val="22"/>
          <w:lang w:val="en-US"/>
        </w:rPr>
        <w:t xml:space="preserve">: </w:t>
      </w:r>
    </w:p>
    <w:p w14:paraId="276B6FEE" w14:textId="77777777" w:rsidR="00E62A62" w:rsidRPr="00400981" w:rsidRDefault="00E62A62" w:rsidP="00E62A62">
      <w:pPr>
        <w:pStyle w:val="ListParagraph"/>
        <w:numPr>
          <w:ilvl w:val="0"/>
          <w:numId w:val="56"/>
        </w:numPr>
        <w:jc w:val="both"/>
        <w:rPr>
          <w:b/>
          <w:bCs/>
          <w:sz w:val="22"/>
          <w:szCs w:val="22"/>
          <w:lang w:val="en-US"/>
        </w:rPr>
      </w:pPr>
      <w:r w:rsidRPr="00400981">
        <w:rPr>
          <w:b/>
          <w:bCs/>
          <w:sz w:val="22"/>
          <w:szCs w:val="22"/>
          <w:lang w:val="en-US"/>
        </w:rPr>
        <w:t>Confirm the working assumption on supporting a 2-port DMRS-based sPDCCH</w:t>
      </w:r>
    </w:p>
    <w:p w14:paraId="5FB1CC95" w14:textId="77777777" w:rsidR="00E62A62" w:rsidRPr="00400981" w:rsidRDefault="00E62A62" w:rsidP="00E62A62">
      <w:pPr>
        <w:pStyle w:val="ListParagraph"/>
        <w:numPr>
          <w:ilvl w:val="1"/>
          <w:numId w:val="56"/>
        </w:numPr>
        <w:jc w:val="both"/>
        <w:rPr>
          <w:b/>
          <w:bCs/>
          <w:sz w:val="22"/>
          <w:szCs w:val="22"/>
          <w:lang w:val="en-US"/>
        </w:rPr>
      </w:pPr>
      <w:r w:rsidRPr="00400981">
        <w:rPr>
          <w:b/>
          <w:bCs/>
          <w:sz w:val="22"/>
          <w:szCs w:val="22"/>
          <w:lang w:val="en-US"/>
        </w:rPr>
        <w:t>2-port DMRS-based sPDCCH is only supported distributed sCCE-to-sREG mapping</w:t>
      </w:r>
    </w:p>
    <w:p w14:paraId="43026923" w14:textId="77777777" w:rsidR="00E62A62" w:rsidRPr="00400981" w:rsidRDefault="00E62A62" w:rsidP="00E62A62">
      <w:pPr>
        <w:pStyle w:val="ListParagraph"/>
        <w:numPr>
          <w:ilvl w:val="1"/>
          <w:numId w:val="56"/>
        </w:numPr>
        <w:jc w:val="both"/>
        <w:rPr>
          <w:b/>
          <w:bCs/>
          <w:sz w:val="22"/>
          <w:szCs w:val="22"/>
          <w:lang w:val="en-US"/>
        </w:rPr>
      </w:pPr>
      <w:r w:rsidRPr="00400981">
        <w:rPr>
          <w:b/>
          <w:bCs/>
          <w:sz w:val="22"/>
          <w:szCs w:val="22"/>
          <w:lang w:val="en-US"/>
        </w:rPr>
        <w:t xml:space="preserve">2-port DMRS-based sPDCCH applies antenna hopping using two ports within an sREG </w:t>
      </w:r>
    </w:p>
    <w:p w14:paraId="4E884AF7" w14:textId="77777777" w:rsidR="00E62A62" w:rsidRPr="00400981" w:rsidRDefault="00E62A62" w:rsidP="00E62A62">
      <w:pPr>
        <w:pStyle w:val="ListParagraph"/>
        <w:numPr>
          <w:ilvl w:val="1"/>
          <w:numId w:val="56"/>
        </w:numPr>
        <w:jc w:val="both"/>
        <w:rPr>
          <w:b/>
          <w:bCs/>
          <w:sz w:val="22"/>
          <w:szCs w:val="22"/>
          <w:lang w:val="en-US"/>
        </w:rPr>
      </w:pPr>
      <w:r w:rsidRPr="00400981">
        <w:rPr>
          <w:b/>
          <w:bCs/>
          <w:sz w:val="22"/>
          <w:szCs w:val="22"/>
          <w:lang w:val="en-US"/>
        </w:rPr>
        <w:t>The 2 DMRS ports are multiplexed via OCC-2 in the time domain. The DMRS density for 2-port DMRS-based sPDCCH is the same as for single port DMRS-based sPDCCH.</w:t>
      </w:r>
    </w:p>
    <w:p w14:paraId="122963CC" w14:textId="0CFE3321" w:rsidR="0034111C" w:rsidRPr="00400981" w:rsidRDefault="00353E56">
      <w:pPr>
        <w:pStyle w:val="Heading1"/>
        <w:rPr>
          <w:lang w:val="en-US"/>
        </w:rPr>
      </w:pPr>
      <w:r w:rsidRPr="00400981">
        <w:rPr>
          <w:lang w:val="en-US"/>
        </w:rPr>
        <w:lastRenderedPageBreak/>
        <w:t xml:space="preserve">6 </w:t>
      </w:r>
      <w:r w:rsidR="00631BC0" w:rsidRPr="00400981">
        <w:rPr>
          <w:lang w:val="en-US"/>
        </w:rPr>
        <w:tab/>
      </w:r>
      <w:r w:rsidR="0034111C" w:rsidRPr="00400981">
        <w:rPr>
          <w:lang w:val="en-US"/>
        </w:rPr>
        <w:t>References</w:t>
      </w:r>
      <w:r w:rsidR="00A2459D" w:rsidRPr="00400981">
        <w:rPr>
          <w:lang w:val="en-US"/>
        </w:rPr>
        <w:t xml:space="preserve"> </w:t>
      </w:r>
    </w:p>
    <w:p w14:paraId="1E7112E8" w14:textId="175ADC2A" w:rsidR="00000E72" w:rsidRPr="00400981" w:rsidRDefault="00B07223" w:rsidP="00B07223">
      <w:pPr>
        <w:numPr>
          <w:ilvl w:val="0"/>
          <w:numId w:val="1"/>
        </w:numPr>
        <w:rPr>
          <w:lang w:val="en-US"/>
        </w:rPr>
      </w:pPr>
      <w:r w:rsidRPr="00400981">
        <w:rPr>
          <w:i/>
          <w:lang w:val="en-US"/>
        </w:rPr>
        <w:t>[90-06][sTTI and sPT] Email discussion on sPDCCH design</w:t>
      </w:r>
      <w:r w:rsidR="00602F26" w:rsidRPr="00400981">
        <w:rPr>
          <w:lang w:val="en-US"/>
        </w:rPr>
        <w:t>, RAN1 reflector, Sept. 2017</w:t>
      </w:r>
    </w:p>
    <w:sectPr w:rsidR="00000E72" w:rsidRPr="0040098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5EF6F" w14:textId="77777777" w:rsidR="004B3998" w:rsidRDefault="004B3998">
      <w:r>
        <w:separator/>
      </w:r>
    </w:p>
  </w:endnote>
  <w:endnote w:type="continuationSeparator" w:id="0">
    <w:p w14:paraId="309F0E10" w14:textId="77777777" w:rsidR="004B3998" w:rsidRDefault="004B3998">
      <w:r>
        <w:continuationSeparator/>
      </w:r>
    </w:p>
  </w:endnote>
  <w:endnote w:type="continuationNotice" w:id="1">
    <w:p w14:paraId="3F5E780C" w14:textId="77777777" w:rsidR="004B3998" w:rsidRDefault="004B3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67657" w14:textId="77777777" w:rsidR="004B3998" w:rsidRDefault="004B3998">
      <w:r>
        <w:separator/>
      </w:r>
    </w:p>
  </w:footnote>
  <w:footnote w:type="continuationSeparator" w:id="0">
    <w:p w14:paraId="4766F05F" w14:textId="77777777" w:rsidR="004B3998" w:rsidRDefault="004B3998">
      <w:r>
        <w:continuationSeparator/>
      </w:r>
    </w:p>
  </w:footnote>
  <w:footnote w:type="continuationNotice" w:id="1">
    <w:p w14:paraId="19544F91" w14:textId="77777777" w:rsidR="004B3998" w:rsidRDefault="004B39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409AE"/>
    <w:multiLevelType w:val="hybridMultilevel"/>
    <w:tmpl w:val="1354F25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 w15:restartNumberingAfterBreak="0">
    <w:nsid w:val="065226F3"/>
    <w:multiLevelType w:val="hybridMultilevel"/>
    <w:tmpl w:val="DA7A254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6CD15C5"/>
    <w:multiLevelType w:val="hybridMultilevel"/>
    <w:tmpl w:val="C24EDBF6"/>
    <w:lvl w:ilvl="0" w:tplc="5784CB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C7C15"/>
    <w:multiLevelType w:val="hybridMultilevel"/>
    <w:tmpl w:val="11C4D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870FC"/>
    <w:multiLevelType w:val="hybridMultilevel"/>
    <w:tmpl w:val="5454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D6A33"/>
    <w:multiLevelType w:val="hybridMultilevel"/>
    <w:tmpl w:val="EA0C641A"/>
    <w:lvl w:ilvl="0" w:tplc="0C070001">
      <w:start w:val="1"/>
      <w:numFmt w:val="bullet"/>
      <w:lvlText w:val=""/>
      <w:lvlJc w:val="left"/>
      <w:pPr>
        <w:ind w:left="720" w:hanging="360"/>
      </w:pPr>
      <w:rPr>
        <w:rFonts w:ascii="Symbol" w:hAnsi="Symbol" w:hint="default"/>
      </w:rPr>
    </w:lvl>
    <w:lvl w:ilvl="1" w:tplc="56F66C40">
      <w:start w:val="20"/>
      <w:numFmt w:val="bullet"/>
      <w:lvlText w:val="-"/>
      <w:lvlJc w:val="left"/>
      <w:pPr>
        <w:ind w:left="1440" w:hanging="360"/>
      </w:pPr>
      <w:rPr>
        <w:rFonts w:ascii="Lucida Grande" w:hAnsi="Lucida Gran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9555F"/>
    <w:multiLevelType w:val="hybridMultilevel"/>
    <w:tmpl w:val="C4B2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10"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31B1E"/>
    <w:multiLevelType w:val="hybridMultilevel"/>
    <w:tmpl w:val="0E4004E0"/>
    <w:lvl w:ilvl="0" w:tplc="04090001">
      <w:start w:val="1"/>
      <w:numFmt w:val="bullet"/>
      <w:lvlText w:val=""/>
      <w:lvlJc w:val="left"/>
      <w:pPr>
        <w:ind w:left="1001" w:hanging="360"/>
      </w:pPr>
      <w:rPr>
        <w:rFonts w:ascii="Symbol" w:hAnsi="Symbol"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2" w15:restartNumberingAfterBreak="0">
    <w:nsid w:val="182B7132"/>
    <w:multiLevelType w:val="hybridMultilevel"/>
    <w:tmpl w:val="455A11E4"/>
    <w:lvl w:ilvl="0" w:tplc="7E9A42F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6F7D99"/>
    <w:multiLevelType w:val="hybridMultilevel"/>
    <w:tmpl w:val="3DC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40B31"/>
    <w:multiLevelType w:val="hybridMultilevel"/>
    <w:tmpl w:val="22DCC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63DC1"/>
    <w:multiLevelType w:val="hybridMultilevel"/>
    <w:tmpl w:val="9C8C2DF0"/>
    <w:lvl w:ilvl="0" w:tplc="04090001">
      <w:start w:val="1"/>
      <w:numFmt w:val="bullet"/>
      <w:lvlText w:val=""/>
      <w:lvlJc w:val="left"/>
      <w:pPr>
        <w:ind w:left="602" w:hanging="360"/>
      </w:pPr>
      <w:rPr>
        <w:rFonts w:ascii="Symbol" w:hAnsi="Symbol" w:hint="default"/>
      </w:rPr>
    </w:lvl>
    <w:lvl w:ilvl="1" w:tplc="04090003">
      <w:start w:val="1"/>
      <w:numFmt w:val="bullet"/>
      <w:lvlText w:val="o"/>
      <w:lvlJc w:val="left"/>
      <w:pPr>
        <w:ind w:left="1322" w:hanging="360"/>
      </w:pPr>
      <w:rPr>
        <w:rFonts w:ascii="Courier New" w:hAnsi="Courier New" w:cs="Courier New" w:hint="default"/>
      </w:rPr>
    </w:lvl>
    <w:lvl w:ilvl="2" w:tplc="04090005">
      <w:start w:val="1"/>
      <w:numFmt w:val="bullet"/>
      <w:lvlText w:val=""/>
      <w:lvlJc w:val="left"/>
      <w:pPr>
        <w:ind w:left="2042" w:hanging="360"/>
      </w:pPr>
      <w:rPr>
        <w:rFonts w:ascii="Wingdings" w:hAnsi="Wingdings" w:hint="default"/>
      </w:rPr>
    </w:lvl>
    <w:lvl w:ilvl="3" w:tplc="04090001">
      <w:start w:val="1"/>
      <w:numFmt w:val="bullet"/>
      <w:lvlText w:val=""/>
      <w:lvlJc w:val="left"/>
      <w:pPr>
        <w:ind w:left="2762" w:hanging="360"/>
      </w:pPr>
      <w:rPr>
        <w:rFonts w:ascii="Symbol" w:hAnsi="Symbol" w:hint="default"/>
      </w:rPr>
    </w:lvl>
    <w:lvl w:ilvl="4" w:tplc="04090003">
      <w:start w:val="1"/>
      <w:numFmt w:val="bullet"/>
      <w:lvlText w:val="o"/>
      <w:lvlJc w:val="left"/>
      <w:pPr>
        <w:ind w:left="3482" w:hanging="360"/>
      </w:pPr>
      <w:rPr>
        <w:rFonts w:ascii="Courier New" w:hAnsi="Courier New" w:cs="Courier New" w:hint="default"/>
      </w:rPr>
    </w:lvl>
    <w:lvl w:ilvl="5" w:tplc="04090005">
      <w:start w:val="1"/>
      <w:numFmt w:val="bullet"/>
      <w:lvlText w:val=""/>
      <w:lvlJc w:val="left"/>
      <w:pPr>
        <w:ind w:left="4202" w:hanging="360"/>
      </w:pPr>
      <w:rPr>
        <w:rFonts w:ascii="Wingdings" w:hAnsi="Wingdings" w:hint="default"/>
      </w:rPr>
    </w:lvl>
    <w:lvl w:ilvl="6" w:tplc="04090001">
      <w:start w:val="1"/>
      <w:numFmt w:val="bullet"/>
      <w:lvlText w:val=""/>
      <w:lvlJc w:val="left"/>
      <w:pPr>
        <w:ind w:left="4922" w:hanging="360"/>
      </w:pPr>
      <w:rPr>
        <w:rFonts w:ascii="Symbol" w:hAnsi="Symbol" w:hint="default"/>
      </w:rPr>
    </w:lvl>
    <w:lvl w:ilvl="7" w:tplc="04090003">
      <w:start w:val="1"/>
      <w:numFmt w:val="bullet"/>
      <w:lvlText w:val="o"/>
      <w:lvlJc w:val="left"/>
      <w:pPr>
        <w:ind w:left="5642" w:hanging="360"/>
      </w:pPr>
      <w:rPr>
        <w:rFonts w:ascii="Courier New" w:hAnsi="Courier New" w:cs="Courier New" w:hint="default"/>
      </w:rPr>
    </w:lvl>
    <w:lvl w:ilvl="8" w:tplc="04090005">
      <w:start w:val="1"/>
      <w:numFmt w:val="bullet"/>
      <w:lvlText w:val=""/>
      <w:lvlJc w:val="left"/>
      <w:pPr>
        <w:ind w:left="6362" w:hanging="360"/>
      </w:pPr>
      <w:rPr>
        <w:rFonts w:ascii="Wingdings" w:hAnsi="Wingdings" w:hint="default"/>
      </w:rPr>
    </w:lvl>
  </w:abstractNum>
  <w:abstractNum w:abstractNumId="16"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D150B"/>
    <w:multiLevelType w:val="hybridMultilevel"/>
    <w:tmpl w:val="E3025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172A88"/>
    <w:multiLevelType w:val="hybridMultilevel"/>
    <w:tmpl w:val="78DC2154"/>
    <w:lvl w:ilvl="0" w:tplc="0409000F">
      <w:start w:val="1"/>
      <w:numFmt w:val="decimal"/>
      <w:lvlText w:val="%1."/>
      <w:lvlJc w:val="left"/>
      <w:pPr>
        <w:ind w:left="2160" w:hanging="360"/>
      </w:pPr>
    </w:lvl>
    <w:lvl w:ilvl="1" w:tplc="04090019">
      <w:start w:val="1"/>
      <w:numFmt w:val="lowerLetter"/>
      <w:lvlText w:val="%2."/>
      <w:lvlJc w:val="left"/>
      <w:pPr>
        <w:ind w:left="2880" w:hanging="360"/>
      </w:pPr>
      <w:rPr>
        <w:rFonts w:cs="Times New Roman"/>
      </w:rPr>
    </w:lvl>
    <w:lvl w:ilvl="2" w:tplc="0409001B">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start w:val="1"/>
      <w:numFmt w:val="lowerLetter"/>
      <w:lvlText w:val="%5."/>
      <w:lvlJc w:val="left"/>
      <w:pPr>
        <w:ind w:left="5040" w:hanging="360"/>
      </w:pPr>
      <w:rPr>
        <w:rFonts w:cs="Times New Roman"/>
      </w:rPr>
    </w:lvl>
    <w:lvl w:ilvl="5" w:tplc="0409001B">
      <w:start w:val="1"/>
      <w:numFmt w:val="lowerRoman"/>
      <w:lvlText w:val="%6."/>
      <w:lvlJc w:val="right"/>
      <w:pPr>
        <w:ind w:left="5760" w:hanging="180"/>
      </w:pPr>
      <w:rPr>
        <w:rFonts w:cs="Times New Roman"/>
      </w:rPr>
    </w:lvl>
    <w:lvl w:ilvl="6" w:tplc="0409000F">
      <w:start w:val="1"/>
      <w:numFmt w:val="decimal"/>
      <w:lvlText w:val="%7."/>
      <w:lvlJc w:val="left"/>
      <w:pPr>
        <w:ind w:left="6480" w:hanging="360"/>
      </w:pPr>
      <w:rPr>
        <w:rFonts w:cs="Times New Roman"/>
      </w:rPr>
    </w:lvl>
    <w:lvl w:ilvl="7" w:tplc="04090019">
      <w:start w:val="1"/>
      <w:numFmt w:val="lowerLetter"/>
      <w:lvlText w:val="%8."/>
      <w:lvlJc w:val="left"/>
      <w:pPr>
        <w:ind w:left="7200" w:hanging="360"/>
      </w:pPr>
      <w:rPr>
        <w:rFonts w:cs="Times New Roman"/>
      </w:rPr>
    </w:lvl>
    <w:lvl w:ilvl="8" w:tplc="0409001B">
      <w:start w:val="1"/>
      <w:numFmt w:val="lowerRoman"/>
      <w:lvlText w:val="%9."/>
      <w:lvlJc w:val="right"/>
      <w:pPr>
        <w:ind w:left="7920" w:hanging="180"/>
      </w:pPr>
      <w:rPr>
        <w:rFonts w:cs="Times New Roman"/>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92586B"/>
    <w:multiLevelType w:val="hybridMultilevel"/>
    <w:tmpl w:val="8F1C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B9D263E"/>
    <w:multiLevelType w:val="hybridMultilevel"/>
    <w:tmpl w:val="F9747D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195F8E"/>
    <w:multiLevelType w:val="hybridMultilevel"/>
    <w:tmpl w:val="1938F7F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0"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4E6C559B"/>
    <w:multiLevelType w:val="hybridMultilevel"/>
    <w:tmpl w:val="C5C0E4FC"/>
    <w:lvl w:ilvl="0" w:tplc="4F1C5E32">
      <w:start w:val="1"/>
      <w:numFmt w:val="bullet"/>
      <w:lvlText w:val="•"/>
      <w:lvlJc w:val="left"/>
      <w:pPr>
        <w:tabs>
          <w:tab w:val="num" w:pos="720"/>
        </w:tabs>
        <w:ind w:left="720" w:hanging="360"/>
      </w:pPr>
      <w:rPr>
        <w:rFonts w:ascii="Arial" w:hAnsi="Arial" w:hint="default"/>
      </w:rPr>
    </w:lvl>
    <w:lvl w:ilvl="1" w:tplc="1E7CFA32">
      <w:numFmt w:val="bullet"/>
      <w:lvlText w:val="–"/>
      <w:lvlJc w:val="left"/>
      <w:pPr>
        <w:tabs>
          <w:tab w:val="num" w:pos="1440"/>
        </w:tabs>
        <w:ind w:left="1440" w:hanging="360"/>
      </w:pPr>
      <w:rPr>
        <w:rFonts w:ascii="Arial" w:hAnsi="Arial" w:hint="default"/>
      </w:rPr>
    </w:lvl>
    <w:lvl w:ilvl="2" w:tplc="1C206250">
      <w:numFmt w:val="bullet"/>
      <w:lvlText w:val="•"/>
      <w:lvlJc w:val="left"/>
      <w:pPr>
        <w:tabs>
          <w:tab w:val="num" w:pos="2160"/>
        </w:tabs>
        <w:ind w:left="2160" w:hanging="360"/>
      </w:pPr>
      <w:rPr>
        <w:rFonts w:ascii="Arial" w:hAnsi="Arial" w:hint="default"/>
      </w:rPr>
    </w:lvl>
    <w:lvl w:ilvl="3" w:tplc="F48AD8FA" w:tentative="1">
      <w:start w:val="1"/>
      <w:numFmt w:val="bullet"/>
      <w:lvlText w:val="•"/>
      <w:lvlJc w:val="left"/>
      <w:pPr>
        <w:tabs>
          <w:tab w:val="num" w:pos="2880"/>
        </w:tabs>
        <w:ind w:left="2880" w:hanging="360"/>
      </w:pPr>
      <w:rPr>
        <w:rFonts w:ascii="Arial" w:hAnsi="Arial" w:hint="default"/>
      </w:rPr>
    </w:lvl>
    <w:lvl w:ilvl="4" w:tplc="90B607CE" w:tentative="1">
      <w:start w:val="1"/>
      <w:numFmt w:val="bullet"/>
      <w:lvlText w:val="•"/>
      <w:lvlJc w:val="left"/>
      <w:pPr>
        <w:tabs>
          <w:tab w:val="num" w:pos="3600"/>
        </w:tabs>
        <w:ind w:left="3600" w:hanging="360"/>
      </w:pPr>
      <w:rPr>
        <w:rFonts w:ascii="Arial" w:hAnsi="Arial" w:hint="default"/>
      </w:rPr>
    </w:lvl>
    <w:lvl w:ilvl="5" w:tplc="E9FC1416" w:tentative="1">
      <w:start w:val="1"/>
      <w:numFmt w:val="bullet"/>
      <w:lvlText w:val="•"/>
      <w:lvlJc w:val="left"/>
      <w:pPr>
        <w:tabs>
          <w:tab w:val="num" w:pos="4320"/>
        </w:tabs>
        <w:ind w:left="4320" w:hanging="360"/>
      </w:pPr>
      <w:rPr>
        <w:rFonts w:ascii="Arial" w:hAnsi="Arial" w:hint="default"/>
      </w:rPr>
    </w:lvl>
    <w:lvl w:ilvl="6" w:tplc="E1E483AA" w:tentative="1">
      <w:start w:val="1"/>
      <w:numFmt w:val="bullet"/>
      <w:lvlText w:val="•"/>
      <w:lvlJc w:val="left"/>
      <w:pPr>
        <w:tabs>
          <w:tab w:val="num" w:pos="5040"/>
        </w:tabs>
        <w:ind w:left="5040" w:hanging="360"/>
      </w:pPr>
      <w:rPr>
        <w:rFonts w:ascii="Arial" w:hAnsi="Arial" w:hint="default"/>
      </w:rPr>
    </w:lvl>
    <w:lvl w:ilvl="7" w:tplc="A5704BD4" w:tentative="1">
      <w:start w:val="1"/>
      <w:numFmt w:val="bullet"/>
      <w:lvlText w:val="•"/>
      <w:lvlJc w:val="left"/>
      <w:pPr>
        <w:tabs>
          <w:tab w:val="num" w:pos="5760"/>
        </w:tabs>
        <w:ind w:left="5760" w:hanging="360"/>
      </w:pPr>
      <w:rPr>
        <w:rFonts w:ascii="Arial" w:hAnsi="Arial" w:hint="default"/>
      </w:rPr>
    </w:lvl>
    <w:lvl w:ilvl="8" w:tplc="91CE00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AF136C"/>
    <w:multiLevelType w:val="hybridMultilevel"/>
    <w:tmpl w:val="A2704C08"/>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5"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6"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43D0279"/>
    <w:multiLevelType w:val="hybridMultilevel"/>
    <w:tmpl w:val="6D6422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FF0DEA"/>
    <w:multiLevelType w:val="hybridMultilevel"/>
    <w:tmpl w:val="049E966C"/>
    <w:lvl w:ilvl="0" w:tplc="35601B44">
      <w:start w:val="1"/>
      <w:numFmt w:val="bullet"/>
      <w:lvlText w:val="•"/>
      <w:lvlJc w:val="left"/>
      <w:pPr>
        <w:tabs>
          <w:tab w:val="num" w:pos="720"/>
        </w:tabs>
        <w:ind w:left="720" w:hanging="360"/>
      </w:pPr>
      <w:rPr>
        <w:rFonts w:ascii="Arial" w:hAnsi="Arial" w:hint="default"/>
      </w:rPr>
    </w:lvl>
    <w:lvl w:ilvl="1" w:tplc="56F66C40">
      <w:start w:val="20"/>
      <w:numFmt w:val="bullet"/>
      <w:lvlText w:val="-"/>
      <w:lvlJc w:val="left"/>
      <w:pPr>
        <w:tabs>
          <w:tab w:val="num" w:pos="1440"/>
        </w:tabs>
        <w:ind w:left="1440" w:hanging="360"/>
      </w:pPr>
      <w:rPr>
        <w:rFonts w:ascii="Lucida Grande" w:hAnsi="Lucida Grande" w:hint="default"/>
      </w:rPr>
    </w:lvl>
    <w:lvl w:ilvl="2" w:tplc="3A28A100">
      <w:start w:val="20"/>
      <w:numFmt w:val="bullet"/>
      <w:lvlText w:val="•"/>
      <w:lvlJc w:val="left"/>
      <w:pPr>
        <w:tabs>
          <w:tab w:val="num" w:pos="2160"/>
        </w:tabs>
        <w:ind w:left="2160" w:hanging="360"/>
      </w:pPr>
      <w:rPr>
        <w:rFonts w:ascii="Arial" w:hAnsi="Arial" w:hint="default"/>
      </w:rPr>
    </w:lvl>
    <w:lvl w:ilvl="3" w:tplc="EF7C2798" w:tentative="1">
      <w:start w:val="1"/>
      <w:numFmt w:val="bullet"/>
      <w:lvlText w:val="•"/>
      <w:lvlJc w:val="left"/>
      <w:pPr>
        <w:tabs>
          <w:tab w:val="num" w:pos="2880"/>
        </w:tabs>
        <w:ind w:left="2880" w:hanging="360"/>
      </w:pPr>
      <w:rPr>
        <w:rFonts w:ascii="Arial" w:hAnsi="Arial" w:hint="default"/>
      </w:rPr>
    </w:lvl>
    <w:lvl w:ilvl="4" w:tplc="52C01A10" w:tentative="1">
      <w:start w:val="1"/>
      <w:numFmt w:val="bullet"/>
      <w:lvlText w:val="•"/>
      <w:lvlJc w:val="left"/>
      <w:pPr>
        <w:tabs>
          <w:tab w:val="num" w:pos="3600"/>
        </w:tabs>
        <w:ind w:left="3600" w:hanging="360"/>
      </w:pPr>
      <w:rPr>
        <w:rFonts w:ascii="Arial" w:hAnsi="Arial" w:hint="default"/>
      </w:rPr>
    </w:lvl>
    <w:lvl w:ilvl="5" w:tplc="4E302062" w:tentative="1">
      <w:start w:val="1"/>
      <w:numFmt w:val="bullet"/>
      <w:lvlText w:val="•"/>
      <w:lvlJc w:val="left"/>
      <w:pPr>
        <w:tabs>
          <w:tab w:val="num" w:pos="4320"/>
        </w:tabs>
        <w:ind w:left="4320" w:hanging="360"/>
      </w:pPr>
      <w:rPr>
        <w:rFonts w:ascii="Arial" w:hAnsi="Arial" w:hint="default"/>
      </w:rPr>
    </w:lvl>
    <w:lvl w:ilvl="6" w:tplc="A288C1CA" w:tentative="1">
      <w:start w:val="1"/>
      <w:numFmt w:val="bullet"/>
      <w:lvlText w:val="•"/>
      <w:lvlJc w:val="left"/>
      <w:pPr>
        <w:tabs>
          <w:tab w:val="num" w:pos="5040"/>
        </w:tabs>
        <w:ind w:left="5040" w:hanging="360"/>
      </w:pPr>
      <w:rPr>
        <w:rFonts w:ascii="Arial" w:hAnsi="Arial" w:hint="default"/>
      </w:rPr>
    </w:lvl>
    <w:lvl w:ilvl="7" w:tplc="02ACB836" w:tentative="1">
      <w:start w:val="1"/>
      <w:numFmt w:val="bullet"/>
      <w:lvlText w:val="•"/>
      <w:lvlJc w:val="left"/>
      <w:pPr>
        <w:tabs>
          <w:tab w:val="num" w:pos="5760"/>
        </w:tabs>
        <w:ind w:left="5760" w:hanging="360"/>
      </w:pPr>
      <w:rPr>
        <w:rFonts w:ascii="Arial" w:hAnsi="Arial" w:hint="default"/>
      </w:rPr>
    </w:lvl>
    <w:lvl w:ilvl="8" w:tplc="79F29BF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644"/>
        </w:tabs>
        <w:ind w:left="644" w:hanging="360"/>
      </w:pPr>
      <w:rPr>
        <w:rFonts w:ascii="Arial" w:hAnsi="Arial" w:hint="default"/>
      </w:rPr>
    </w:lvl>
    <w:lvl w:ilvl="1" w:tplc="0A1E6FEC" w:tentative="1">
      <w:start w:val="1"/>
      <w:numFmt w:val="bullet"/>
      <w:lvlText w:val="•"/>
      <w:lvlJc w:val="left"/>
      <w:pPr>
        <w:tabs>
          <w:tab w:val="num" w:pos="1364"/>
        </w:tabs>
        <w:ind w:left="1364" w:hanging="360"/>
      </w:pPr>
      <w:rPr>
        <w:rFonts w:ascii="Arial" w:hAnsi="Arial" w:hint="default"/>
      </w:rPr>
    </w:lvl>
    <w:lvl w:ilvl="2" w:tplc="0D6AF888" w:tentative="1">
      <w:start w:val="1"/>
      <w:numFmt w:val="bullet"/>
      <w:lvlText w:val="•"/>
      <w:lvlJc w:val="left"/>
      <w:pPr>
        <w:tabs>
          <w:tab w:val="num" w:pos="2084"/>
        </w:tabs>
        <w:ind w:left="2084" w:hanging="360"/>
      </w:pPr>
      <w:rPr>
        <w:rFonts w:ascii="Arial" w:hAnsi="Arial" w:hint="default"/>
      </w:rPr>
    </w:lvl>
    <w:lvl w:ilvl="3" w:tplc="15EC7050" w:tentative="1">
      <w:start w:val="1"/>
      <w:numFmt w:val="bullet"/>
      <w:lvlText w:val="•"/>
      <w:lvlJc w:val="left"/>
      <w:pPr>
        <w:tabs>
          <w:tab w:val="num" w:pos="2804"/>
        </w:tabs>
        <w:ind w:left="2804" w:hanging="360"/>
      </w:pPr>
      <w:rPr>
        <w:rFonts w:ascii="Arial" w:hAnsi="Arial" w:hint="default"/>
      </w:rPr>
    </w:lvl>
    <w:lvl w:ilvl="4" w:tplc="1910CF72" w:tentative="1">
      <w:start w:val="1"/>
      <w:numFmt w:val="bullet"/>
      <w:lvlText w:val="•"/>
      <w:lvlJc w:val="left"/>
      <w:pPr>
        <w:tabs>
          <w:tab w:val="num" w:pos="3524"/>
        </w:tabs>
        <w:ind w:left="3524" w:hanging="360"/>
      </w:pPr>
      <w:rPr>
        <w:rFonts w:ascii="Arial" w:hAnsi="Arial" w:hint="default"/>
      </w:rPr>
    </w:lvl>
    <w:lvl w:ilvl="5" w:tplc="C44415DC" w:tentative="1">
      <w:start w:val="1"/>
      <w:numFmt w:val="bullet"/>
      <w:lvlText w:val="•"/>
      <w:lvlJc w:val="left"/>
      <w:pPr>
        <w:tabs>
          <w:tab w:val="num" w:pos="4244"/>
        </w:tabs>
        <w:ind w:left="4244" w:hanging="360"/>
      </w:pPr>
      <w:rPr>
        <w:rFonts w:ascii="Arial" w:hAnsi="Arial" w:hint="default"/>
      </w:rPr>
    </w:lvl>
    <w:lvl w:ilvl="6" w:tplc="F7F284CC" w:tentative="1">
      <w:start w:val="1"/>
      <w:numFmt w:val="bullet"/>
      <w:lvlText w:val="•"/>
      <w:lvlJc w:val="left"/>
      <w:pPr>
        <w:tabs>
          <w:tab w:val="num" w:pos="4964"/>
        </w:tabs>
        <w:ind w:left="4964" w:hanging="360"/>
      </w:pPr>
      <w:rPr>
        <w:rFonts w:ascii="Arial" w:hAnsi="Arial" w:hint="default"/>
      </w:rPr>
    </w:lvl>
    <w:lvl w:ilvl="7" w:tplc="16B47764" w:tentative="1">
      <w:start w:val="1"/>
      <w:numFmt w:val="bullet"/>
      <w:lvlText w:val="•"/>
      <w:lvlJc w:val="left"/>
      <w:pPr>
        <w:tabs>
          <w:tab w:val="num" w:pos="5684"/>
        </w:tabs>
        <w:ind w:left="5684" w:hanging="360"/>
      </w:pPr>
      <w:rPr>
        <w:rFonts w:ascii="Arial" w:hAnsi="Arial" w:hint="default"/>
      </w:rPr>
    </w:lvl>
    <w:lvl w:ilvl="8" w:tplc="938846B2"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3C3BAA"/>
    <w:multiLevelType w:val="hybridMultilevel"/>
    <w:tmpl w:val="91A01A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4C24523"/>
    <w:multiLevelType w:val="hybridMultilevel"/>
    <w:tmpl w:val="26587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4"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87130D"/>
    <w:multiLevelType w:val="hybridMultilevel"/>
    <w:tmpl w:val="3E525BF2"/>
    <w:lvl w:ilvl="0" w:tplc="1CC87718">
      <w:start w:val="1"/>
      <w:numFmt w:val="decimal"/>
      <w:lvlText w:val="%1."/>
      <w:lvlJc w:val="left"/>
      <w:pPr>
        <w:ind w:left="928" w:hanging="36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51"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22"/>
  </w:num>
  <w:num w:numId="2">
    <w:abstractNumId w:val="26"/>
  </w:num>
  <w:num w:numId="3">
    <w:abstractNumId w:val="25"/>
  </w:num>
  <w:num w:numId="4">
    <w:abstractNumId w:val="53"/>
  </w:num>
  <w:num w:numId="5">
    <w:abstractNumId w:val="20"/>
  </w:num>
  <w:num w:numId="6">
    <w:abstractNumId w:val="20"/>
  </w:num>
  <w:num w:numId="7">
    <w:abstractNumId w:val="47"/>
  </w:num>
  <w:num w:numId="8">
    <w:abstractNumId w:val="48"/>
  </w:num>
  <w:num w:numId="9">
    <w:abstractNumId w:val="51"/>
  </w:num>
  <w:num w:numId="10">
    <w:abstractNumId w:val="17"/>
  </w:num>
  <w:num w:numId="11">
    <w:abstractNumId w:val="19"/>
  </w:num>
  <w:num w:numId="12">
    <w:abstractNumId w:val="9"/>
  </w:num>
  <w:num w:numId="13">
    <w:abstractNumId w:val="36"/>
  </w:num>
  <w:num w:numId="14">
    <w:abstractNumId w:val="10"/>
  </w:num>
  <w:num w:numId="15">
    <w:abstractNumId w:val="35"/>
  </w:num>
  <w:num w:numId="16">
    <w:abstractNumId w:val="16"/>
  </w:num>
  <w:num w:numId="17">
    <w:abstractNumId w:val="30"/>
  </w:num>
  <w:num w:numId="18">
    <w:abstractNumId w:val="32"/>
  </w:num>
  <w:num w:numId="19">
    <w:abstractNumId w:val="43"/>
  </w:num>
  <w:num w:numId="20">
    <w:abstractNumId w:val="44"/>
  </w:num>
  <w:num w:numId="21">
    <w:abstractNumId w:val="45"/>
  </w:num>
  <w:num w:numId="22">
    <w:abstractNumId w:val="52"/>
  </w:num>
  <w:num w:numId="23">
    <w:abstractNumId w:val="0"/>
  </w:num>
  <w:num w:numId="24">
    <w:abstractNumId w:val="7"/>
  </w:num>
  <w:num w:numId="25">
    <w:abstractNumId w:val="28"/>
  </w:num>
  <w:num w:numId="26">
    <w:abstractNumId w:val="27"/>
  </w:num>
  <w:num w:numId="27">
    <w:abstractNumId w:val="40"/>
  </w:num>
  <w:num w:numId="28">
    <w:abstractNumId w:val="46"/>
  </w:num>
  <w:num w:numId="29">
    <w:abstractNumId w:val="46"/>
  </w:num>
  <w:num w:numId="30">
    <w:abstractNumId w:val="8"/>
  </w:num>
  <w:num w:numId="31">
    <w:abstractNumId w:val="18"/>
  </w:num>
  <w:num w:numId="32">
    <w:abstractNumId w:val="15"/>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1"/>
  </w:num>
  <w:num w:numId="36">
    <w:abstractNumId w:val="5"/>
  </w:num>
  <w:num w:numId="37">
    <w:abstractNumId w:val="12"/>
  </w:num>
  <w:num w:numId="38">
    <w:abstractNumId w:val="24"/>
  </w:num>
  <w:num w:numId="39">
    <w:abstractNumId w:val="37"/>
  </w:num>
  <w:num w:numId="40">
    <w:abstractNumId w:val="38"/>
  </w:num>
  <w:num w:numId="41">
    <w:abstractNumId w:val="29"/>
  </w:num>
  <w:num w:numId="42">
    <w:abstractNumId w:val="49"/>
  </w:num>
  <w:num w:numId="43">
    <w:abstractNumId w:val="3"/>
  </w:num>
  <w:num w:numId="44">
    <w:abstractNumId w:val="31"/>
  </w:num>
  <w:num w:numId="45">
    <w:abstractNumId w:val="33"/>
  </w:num>
  <w:num w:numId="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6"/>
  </w:num>
  <w:num w:numId="49">
    <w:abstractNumId w:val="39"/>
  </w:num>
  <w:num w:numId="50">
    <w:abstractNumId w:val="34"/>
  </w:num>
  <w:num w:numId="51">
    <w:abstractNumId w:val="13"/>
  </w:num>
  <w:num w:numId="52">
    <w:abstractNumId w:val="4"/>
  </w:num>
  <w:num w:numId="53">
    <w:abstractNumId w:val="42"/>
  </w:num>
  <w:num w:numId="54">
    <w:abstractNumId w:val="14"/>
  </w:num>
  <w:num w:numId="55">
    <w:abstractNumId w:val="11"/>
  </w:num>
  <w:num w:numId="56">
    <w:abstractNumId w:val="41"/>
  </w:num>
  <w:num w:numId="57">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6AD4"/>
    <w:rsid w:val="0000725B"/>
    <w:rsid w:val="000074C4"/>
    <w:rsid w:val="000079A6"/>
    <w:rsid w:val="00007EF1"/>
    <w:rsid w:val="00012C4F"/>
    <w:rsid w:val="000131D1"/>
    <w:rsid w:val="000134E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7099"/>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C184C"/>
    <w:rsid w:val="002C1EEA"/>
    <w:rsid w:val="002C40B3"/>
    <w:rsid w:val="002C5410"/>
    <w:rsid w:val="002C55F6"/>
    <w:rsid w:val="002C6034"/>
    <w:rsid w:val="002C635B"/>
    <w:rsid w:val="002D0BC6"/>
    <w:rsid w:val="002D0D9C"/>
    <w:rsid w:val="002D1A2F"/>
    <w:rsid w:val="002D365F"/>
    <w:rsid w:val="002D3C45"/>
    <w:rsid w:val="002D49FF"/>
    <w:rsid w:val="002D79B0"/>
    <w:rsid w:val="002D7C86"/>
    <w:rsid w:val="002E0692"/>
    <w:rsid w:val="002E1404"/>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256"/>
    <w:rsid w:val="003D3514"/>
    <w:rsid w:val="003D3FBA"/>
    <w:rsid w:val="003D402B"/>
    <w:rsid w:val="003D5945"/>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13E1E"/>
    <w:rsid w:val="004154F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5FF7"/>
    <w:rsid w:val="00451AF9"/>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3998"/>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681"/>
    <w:rsid w:val="004E3D74"/>
    <w:rsid w:val="004E43C2"/>
    <w:rsid w:val="004E584A"/>
    <w:rsid w:val="004E784B"/>
    <w:rsid w:val="004E7ADE"/>
    <w:rsid w:val="004F0224"/>
    <w:rsid w:val="004F0DB4"/>
    <w:rsid w:val="004F1EBC"/>
    <w:rsid w:val="004F4662"/>
    <w:rsid w:val="004F5154"/>
    <w:rsid w:val="004F5835"/>
    <w:rsid w:val="004F661C"/>
    <w:rsid w:val="004F6C8A"/>
    <w:rsid w:val="004F6D99"/>
    <w:rsid w:val="004F6FEF"/>
    <w:rsid w:val="00501425"/>
    <w:rsid w:val="00501658"/>
    <w:rsid w:val="00504311"/>
    <w:rsid w:val="0050485C"/>
    <w:rsid w:val="00504AC6"/>
    <w:rsid w:val="00506540"/>
    <w:rsid w:val="00511079"/>
    <w:rsid w:val="00512829"/>
    <w:rsid w:val="0051423C"/>
    <w:rsid w:val="00514C91"/>
    <w:rsid w:val="00515DF8"/>
    <w:rsid w:val="005161BF"/>
    <w:rsid w:val="00516241"/>
    <w:rsid w:val="00516FD9"/>
    <w:rsid w:val="00520AA0"/>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31DD"/>
    <w:rsid w:val="00587229"/>
    <w:rsid w:val="00587503"/>
    <w:rsid w:val="00587F06"/>
    <w:rsid w:val="00590E8D"/>
    <w:rsid w:val="00592CC0"/>
    <w:rsid w:val="00593242"/>
    <w:rsid w:val="0059331A"/>
    <w:rsid w:val="005974F7"/>
    <w:rsid w:val="005975C4"/>
    <w:rsid w:val="005A163F"/>
    <w:rsid w:val="005A44D3"/>
    <w:rsid w:val="005A4904"/>
    <w:rsid w:val="005A515A"/>
    <w:rsid w:val="005A704D"/>
    <w:rsid w:val="005B1E9B"/>
    <w:rsid w:val="005B232A"/>
    <w:rsid w:val="005B33EC"/>
    <w:rsid w:val="005B3C6D"/>
    <w:rsid w:val="005B6BA2"/>
    <w:rsid w:val="005B6DF6"/>
    <w:rsid w:val="005B7B7D"/>
    <w:rsid w:val="005C1948"/>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3588"/>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8B1"/>
    <w:rsid w:val="006508B9"/>
    <w:rsid w:val="00650CA1"/>
    <w:rsid w:val="00650F63"/>
    <w:rsid w:val="00651854"/>
    <w:rsid w:val="00652467"/>
    <w:rsid w:val="00652A74"/>
    <w:rsid w:val="00655D96"/>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90E2E"/>
    <w:rsid w:val="006932E7"/>
    <w:rsid w:val="00693347"/>
    <w:rsid w:val="00693FCF"/>
    <w:rsid w:val="00696D63"/>
    <w:rsid w:val="006A41AE"/>
    <w:rsid w:val="006A4856"/>
    <w:rsid w:val="006B1545"/>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0FAD"/>
    <w:rsid w:val="007626D0"/>
    <w:rsid w:val="0076332E"/>
    <w:rsid w:val="007651CA"/>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6185"/>
    <w:rsid w:val="0088638C"/>
    <w:rsid w:val="008908E5"/>
    <w:rsid w:val="0089133F"/>
    <w:rsid w:val="00891CEA"/>
    <w:rsid w:val="00894FDC"/>
    <w:rsid w:val="00897568"/>
    <w:rsid w:val="008A095A"/>
    <w:rsid w:val="008A16F9"/>
    <w:rsid w:val="008A1D3E"/>
    <w:rsid w:val="008A3729"/>
    <w:rsid w:val="008A6158"/>
    <w:rsid w:val="008A6D62"/>
    <w:rsid w:val="008B0D0F"/>
    <w:rsid w:val="008B304E"/>
    <w:rsid w:val="008B3B51"/>
    <w:rsid w:val="008B4057"/>
    <w:rsid w:val="008B5290"/>
    <w:rsid w:val="008B6029"/>
    <w:rsid w:val="008C2CFD"/>
    <w:rsid w:val="008C71C8"/>
    <w:rsid w:val="008D4B58"/>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7354"/>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F7C"/>
    <w:rsid w:val="00A27CE3"/>
    <w:rsid w:val="00A27D38"/>
    <w:rsid w:val="00A311AE"/>
    <w:rsid w:val="00A312A6"/>
    <w:rsid w:val="00A3130E"/>
    <w:rsid w:val="00A31F33"/>
    <w:rsid w:val="00A32E8B"/>
    <w:rsid w:val="00A32ED6"/>
    <w:rsid w:val="00A345F0"/>
    <w:rsid w:val="00A373ED"/>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13F"/>
    <w:rsid w:val="00A86EA7"/>
    <w:rsid w:val="00A870AA"/>
    <w:rsid w:val="00A92776"/>
    <w:rsid w:val="00A93181"/>
    <w:rsid w:val="00A938E6"/>
    <w:rsid w:val="00A93EE7"/>
    <w:rsid w:val="00A93F71"/>
    <w:rsid w:val="00A95BD5"/>
    <w:rsid w:val="00A96BF4"/>
    <w:rsid w:val="00A96F78"/>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26A8"/>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CA3"/>
    <w:rsid w:val="00BA2B46"/>
    <w:rsid w:val="00BA6DB9"/>
    <w:rsid w:val="00BA6E3F"/>
    <w:rsid w:val="00BB3067"/>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124D"/>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2346"/>
    <w:rsid w:val="00CE3716"/>
    <w:rsid w:val="00CE39EA"/>
    <w:rsid w:val="00CE4039"/>
    <w:rsid w:val="00CE504B"/>
    <w:rsid w:val="00CE6F0F"/>
    <w:rsid w:val="00CE7A60"/>
    <w:rsid w:val="00CF002F"/>
    <w:rsid w:val="00CF10E1"/>
    <w:rsid w:val="00CF2483"/>
    <w:rsid w:val="00CF24E2"/>
    <w:rsid w:val="00CF2509"/>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1791"/>
    <w:rsid w:val="00D3232B"/>
    <w:rsid w:val="00D324A4"/>
    <w:rsid w:val="00D33E7E"/>
    <w:rsid w:val="00D35198"/>
    <w:rsid w:val="00D377E2"/>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5889"/>
    <w:rsid w:val="00D606FD"/>
    <w:rsid w:val="00D6248F"/>
    <w:rsid w:val="00D64426"/>
    <w:rsid w:val="00D67BC5"/>
    <w:rsid w:val="00D7021B"/>
    <w:rsid w:val="00D70D33"/>
    <w:rsid w:val="00D71D1D"/>
    <w:rsid w:val="00D723DE"/>
    <w:rsid w:val="00D73077"/>
    <w:rsid w:val="00D73C57"/>
    <w:rsid w:val="00D742FF"/>
    <w:rsid w:val="00D744C1"/>
    <w:rsid w:val="00D758B3"/>
    <w:rsid w:val="00D76F3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7951"/>
    <w:rsid w:val="00DD1C4B"/>
    <w:rsid w:val="00DD229E"/>
    <w:rsid w:val="00DD2C66"/>
    <w:rsid w:val="00DD3F53"/>
    <w:rsid w:val="00DD55E0"/>
    <w:rsid w:val="00DE1904"/>
    <w:rsid w:val="00DE3AAA"/>
    <w:rsid w:val="00DE3DBB"/>
    <w:rsid w:val="00DE4A74"/>
    <w:rsid w:val="00DE541C"/>
    <w:rsid w:val="00DE65C3"/>
    <w:rsid w:val="00DE737B"/>
    <w:rsid w:val="00DF2281"/>
    <w:rsid w:val="00DF2F6B"/>
    <w:rsid w:val="00DF4359"/>
    <w:rsid w:val="00DF492A"/>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F2"/>
    <w:rsid w:val="00E3409E"/>
    <w:rsid w:val="00E34F76"/>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A62"/>
    <w:rsid w:val="00E62D53"/>
    <w:rsid w:val="00E6352F"/>
    <w:rsid w:val="00E635B9"/>
    <w:rsid w:val="00E6371E"/>
    <w:rsid w:val="00E64022"/>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4D06"/>
    <w:rsid w:val="00F14D71"/>
    <w:rsid w:val="00F15C92"/>
    <w:rsid w:val="00F16739"/>
    <w:rsid w:val="00F2052B"/>
    <w:rsid w:val="00F212CC"/>
    <w:rsid w:val="00F2260F"/>
    <w:rsid w:val="00F242AD"/>
    <w:rsid w:val="00F247F2"/>
    <w:rsid w:val="00F2561E"/>
    <w:rsid w:val="00F25F19"/>
    <w:rsid w:val="00F265F7"/>
    <w:rsid w:val="00F26C1D"/>
    <w:rsid w:val="00F3287F"/>
    <w:rsid w:val="00F33690"/>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2379"/>
    <w:rsid w:val="00FB4B8A"/>
    <w:rsid w:val="00FB5152"/>
    <w:rsid w:val="00FB5404"/>
    <w:rsid w:val="00FB58A2"/>
    <w:rsid w:val="00FB680E"/>
    <w:rsid w:val="00FC0065"/>
    <w:rsid w:val="00FC3AEE"/>
    <w:rsid w:val="00FC41C5"/>
    <w:rsid w:val="00FC7A77"/>
    <w:rsid w:val="00FD33FC"/>
    <w:rsid w:val="00FD3730"/>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44"/>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33680-80CE-4B3A-85DE-1AB542AF3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2015-05-07T06:23:00Z</cp:lastPrinted>
  <dcterms:created xsi:type="dcterms:W3CDTF">2017-09-29T13:24:00Z</dcterms:created>
  <dcterms:modified xsi:type="dcterms:W3CDTF">2017-09-29T13:24:00Z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