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33949" w14:textId="6E8F4B35" w:rsidR="00C62331" w:rsidRPr="00DA12F7" w:rsidRDefault="00C62331" w:rsidP="00C62331">
      <w:pPr>
        <w:tabs>
          <w:tab w:val="right" w:pos="9630"/>
        </w:tabs>
        <w:spacing w:after="0"/>
      </w:pPr>
      <w:r w:rsidRPr="00DA12F7">
        <w:rPr>
          <w:rFonts w:ascii="Arial" w:hAnsi="Arial" w:cs="Arial"/>
          <w:b/>
          <w:sz w:val="24"/>
        </w:rPr>
        <w:t xml:space="preserve">3GPP TSG RAN WG1 </w:t>
      </w:r>
      <w:r>
        <w:rPr>
          <w:rFonts w:ascii="Arial" w:hAnsi="Arial" w:cs="Arial"/>
          <w:b/>
          <w:sz w:val="24"/>
        </w:rPr>
        <w:t xml:space="preserve">Meeting </w:t>
      </w:r>
      <w:r w:rsidRPr="00DA12F7">
        <w:rPr>
          <w:rFonts w:ascii="Arial" w:hAnsi="Arial" w:cs="Arial"/>
          <w:b/>
          <w:sz w:val="24"/>
        </w:rPr>
        <w:t>#</w:t>
      </w:r>
      <w:r>
        <w:rPr>
          <w:rFonts w:ascii="Arial" w:hAnsi="Arial" w:cs="Arial"/>
          <w:b/>
          <w:sz w:val="24"/>
        </w:rPr>
        <w:t>90</w:t>
      </w:r>
      <w:r w:rsidRPr="00DA12F7">
        <w:rPr>
          <w:rFonts w:ascii="Arial" w:hAnsi="Arial" w:cs="Arial"/>
          <w:b/>
          <w:sz w:val="24"/>
        </w:rPr>
        <w:tab/>
      </w:r>
      <w:r>
        <w:rPr>
          <w:rFonts w:ascii="Arial" w:hAnsi="Arial" w:cs="Arial"/>
          <w:b/>
          <w:sz w:val="24"/>
        </w:rPr>
        <w:t>R1-</w:t>
      </w:r>
      <w:r w:rsidRPr="00B51017">
        <w:rPr>
          <w:rFonts w:ascii="Arial" w:hAnsi="Arial" w:cs="Arial"/>
          <w:b/>
          <w:sz w:val="24"/>
        </w:rPr>
        <w:t>17</w:t>
      </w:r>
      <w:r w:rsidR="006A3547">
        <w:rPr>
          <w:rFonts w:ascii="Arial" w:hAnsi="Arial" w:cs="Arial"/>
          <w:b/>
          <w:sz w:val="24"/>
        </w:rPr>
        <w:t>13445</w:t>
      </w:r>
    </w:p>
    <w:p w14:paraId="43F964AF" w14:textId="77777777" w:rsidR="00C62331" w:rsidRPr="00DA12F7" w:rsidRDefault="00C62331" w:rsidP="00C62331">
      <w:pPr>
        <w:tabs>
          <w:tab w:val="right" w:pos="9630"/>
        </w:tabs>
        <w:spacing w:after="0"/>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51986C22" w14:textId="77777777" w:rsidR="00C62331" w:rsidRPr="00DA12F7" w:rsidRDefault="00C62331" w:rsidP="00C62331">
      <w:pPr>
        <w:rPr>
          <w:rFonts w:ascii="Arial" w:hAnsi="Arial" w:cs="Arial"/>
          <w:b/>
          <w:sz w:val="24"/>
          <w:szCs w:val="24"/>
        </w:rPr>
      </w:pPr>
      <w:r>
        <w:rPr>
          <w:rFonts w:ascii="Arial" w:hAnsi="Arial"/>
          <w:b/>
          <w:sz w:val="22"/>
          <w:szCs w:val="22"/>
          <w:lang w:val="en-AU"/>
        </w:rPr>
        <w:t>Prague, Czech Republic</w:t>
      </w:r>
    </w:p>
    <w:p w14:paraId="5F793708" w14:textId="77777777" w:rsidR="00C62331" w:rsidRPr="00E624D8" w:rsidRDefault="00C62331" w:rsidP="00C62331">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48411036" w14:textId="1B4BEA6A" w:rsidR="00C62331" w:rsidRPr="00ED3068" w:rsidRDefault="00C62331" w:rsidP="00C62331">
      <w:pPr>
        <w:tabs>
          <w:tab w:val="left" w:pos="1985"/>
        </w:tabs>
        <w:rPr>
          <w:rFonts w:ascii="Arial" w:hAnsi="Arial"/>
          <w:color w:val="FF0000"/>
          <w:sz w:val="24"/>
        </w:rPr>
      </w:pPr>
      <w:r w:rsidRPr="00E624D8">
        <w:rPr>
          <w:rFonts w:ascii="Arial" w:hAnsi="Arial"/>
          <w:b/>
          <w:sz w:val="24"/>
        </w:rPr>
        <w:t>Agenda item:</w:t>
      </w:r>
      <w:bookmarkStart w:id="0" w:name="Source"/>
      <w:bookmarkEnd w:id="0"/>
      <w:r w:rsidRPr="00E624D8">
        <w:rPr>
          <w:rFonts w:ascii="Arial" w:hAnsi="Arial"/>
          <w:sz w:val="24"/>
        </w:rPr>
        <w:tab/>
      </w:r>
      <w:r w:rsidRPr="00CE0715">
        <w:rPr>
          <w:rFonts w:ascii="Arial" w:hAnsi="Arial" w:cs="Arial"/>
          <w:sz w:val="24"/>
        </w:rPr>
        <w:t>6.1.3.3.4.1</w:t>
      </w:r>
    </w:p>
    <w:p w14:paraId="0317CD73" w14:textId="77777777" w:rsidR="00C62331" w:rsidRPr="00CC27F5" w:rsidRDefault="00C62331" w:rsidP="00C62331">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14:paraId="4331627C" w14:textId="49882D57" w:rsidR="00C62331" w:rsidRPr="0044166C" w:rsidRDefault="00C62331" w:rsidP="00C62331">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sz w:val="22"/>
        </w:rPr>
        <w:tab/>
      </w:r>
      <w:r>
        <w:rPr>
          <w:rFonts w:ascii="Arial" w:hAnsi="Arial"/>
          <w:sz w:val="24"/>
          <w:szCs w:val="24"/>
        </w:rPr>
        <w:t>Region-based CBG Construction</w:t>
      </w:r>
    </w:p>
    <w:p w14:paraId="589C013F" w14:textId="77777777" w:rsidR="00C62331" w:rsidRPr="00CC27F5" w:rsidRDefault="00C62331" w:rsidP="00C62331">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73E8A254" w14:textId="77777777" w:rsidR="00C62331" w:rsidRDefault="00C62331" w:rsidP="00C62331">
      <w:pPr>
        <w:pStyle w:val="Heading1"/>
      </w:pPr>
      <w:r>
        <w:t xml:space="preserve">1 </w:t>
      </w:r>
      <w:r w:rsidRPr="00CC27F5">
        <w:t>Introduction</w:t>
      </w:r>
    </w:p>
    <w:p w14:paraId="3EA8658E" w14:textId="77777777" w:rsidR="00C62331" w:rsidRPr="00F83956" w:rsidRDefault="00C62331" w:rsidP="00C62331">
      <w:pPr>
        <w:rPr>
          <w:lang w:val="en-GB"/>
        </w:rPr>
      </w:pPr>
      <w:r>
        <w:rPr>
          <w:lang w:val="en-GB"/>
        </w:rPr>
        <w:t>In RAN1 #89 and #89ah, the following agreements on CBG-based (re)-transmissions were reached:</w:t>
      </w:r>
    </w:p>
    <w:tbl>
      <w:tblPr>
        <w:tblStyle w:val="TableGrid"/>
        <w:tblW w:w="0" w:type="auto"/>
        <w:tblLook w:val="04A0" w:firstRow="1" w:lastRow="0" w:firstColumn="1" w:lastColumn="0" w:noHBand="0" w:noVBand="1"/>
      </w:tblPr>
      <w:tblGrid>
        <w:gridCol w:w="669"/>
        <w:gridCol w:w="8960"/>
      </w:tblGrid>
      <w:tr w:rsidR="00C62331" w14:paraId="205154C4" w14:textId="77777777" w:rsidTr="00B775F1">
        <w:tc>
          <w:tcPr>
            <w:tcW w:w="669" w:type="dxa"/>
          </w:tcPr>
          <w:p w14:paraId="5D4CC7EF" w14:textId="77777777" w:rsidR="00C62331" w:rsidRPr="00B414C1" w:rsidRDefault="00C62331" w:rsidP="00B775F1">
            <w:pPr>
              <w:jc w:val="center"/>
              <w:rPr>
                <w:b/>
              </w:rPr>
            </w:pPr>
            <w:r>
              <w:rPr>
                <w:b/>
              </w:rPr>
              <w:t>No.</w:t>
            </w:r>
          </w:p>
        </w:tc>
        <w:tc>
          <w:tcPr>
            <w:tcW w:w="8960" w:type="dxa"/>
          </w:tcPr>
          <w:p w14:paraId="659F0360" w14:textId="77777777" w:rsidR="00C62331" w:rsidRPr="00B414C1" w:rsidRDefault="00C62331" w:rsidP="00B775F1">
            <w:pPr>
              <w:jc w:val="center"/>
              <w:rPr>
                <w:b/>
              </w:rPr>
            </w:pPr>
            <w:r w:rsidRPr="00B414C1">
              <w:rPr>
                <w:b/>
              </w:rPr>
              <w:t>Agreement</w:t>
            </w:r>
          </w:p>
        </w:tc>
      </w:tr>
      <w:tr w:rsidR="00C62331" w14:paraId="04D626C8" w14:textId="77777777" w:rsidTr="00B775F1">
        <w:tc>
          <w:tcPr>
            <w:tcW w:w="669" w:type="dxa"/>
          </w:tcPr>
          <w:p w14:paraId="6B2DA357" w14:textId="77777777" w:rsidR="00C62331" w:rsidRDefault="00C62331" w:rsidP="00B775F1">
            <w:r>
              <w:t>1</w:t>
            </w:r>
          </w:p>
        </w:tc>
        <w:tc>
          <w:tcPr>
            <w:tcW w:w="8960" w:type="dxa"/>
          </w:tcPr>
          <w:p w14:paraId="50E02D07" w14:textId="77777777" w:rsidR="00C62331" w:rsidRDefault="00C62331" w:rsidP="00B775F1">
            <w:pPr>
              <w:spacing w:line="120" w:lineRule="atLeast"/>
              <w:rPr>
                <w:rFonts w:eastAsia="MS Mincho"/>
                <w:b/>
                <w:iCs/>
                <w:u w:val="single"/>
              </w:rPr>
            </w:pPr>
            <w:r>
              <w:rPr>
                <w:rFonts w:eastAsia="MS Mincho"/>
                <w:b/>
                <w:iCs/>
                <w:highlight w:val="green"/>
                <w:u w:val="single"/>
              </w:rPr>
              <w:t>Agreements:</w:t>
            </w:r>
          </w:p>
          <w:p w14:paraId="432C3917" w14:textId="77777777" w:rsidR="00C62331" w:rsidRPr="00445AF2" w:rsidRDefault="00C62331" w:rsidP="00AB54AE">
            <w:pPr>
              <w:numPr>
                <w:ilvl w:val="0"/>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For DL CBG-based (re)transmission,</w:t>
            </w:r>
          </w:p>
          <w:p w14:paraId="1296EF24" w14:textId="77777777" w:rsidR="00C62331" w:rsidRPr="00445AF2" w:rsidRDefault="00C62331" w:rsidP="00AB54A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Following information can be configured to be included in the same DCI:</w:t>
            </w:r>
          </w:p>
          <w:p w14:paraId="4360EC01" w14:textId="77777777" w:rsidR="00C62331" w:rsidRPr="00445AF2" w:rsidRDefault="00C62331" w:rsidP="00AB54AE">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Which CBG(s) is/are (re)transmitted.</w:t>
            </w:r>
          </w:p>
          <w:p w14:paraId="784AB77B" w14:textId="77777777" w:rsidR="00C62331" w:rsidRPr="00445AF2" w:rsidRDefault="00C62331" w:rsidP="00AB54AE">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Which CBG(s) is/are handled differently for soft-buffer/HARQ combining.</w:t>
            </w:r>
          </w:p>
          <w:p w14:paraId="656DD0B5" w14:textId="77777777" w:rsidR="00C62331" w:rsidRPr="00445AF2" w:rsidRDefault="00C62331" w:rsidP="00AB54AE">
            <w:pPr>
              <w:numPr>
                <w:ilvl w:val="3"/>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whether/how UE behavior is specified, e.g., part/whole of soft-buffer of indicated CBG(s) is flushed.</w:t>
            </w:r>
          </w:p>
          <w:p w14:paraId="40ECA6AA" w14:textId="77777777" w:rsidR="00C62331" w:rsidRPr="00445AF2" w:rsidRDefault="00C62331" w:rsidP="00AB54A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timing of CBG-based (re)transmission.</w:t>
            </w:r>
          </w:p>
          <w:p w14:paraId="51C2ABB6" w14:textId="77777777" w:rsidR="00C62331" w:rsidRPr="00445AF2" w:rsidRDefault="00C62331" w:rsidP="00AB54AE">
            <w:pPr>
              <w:numPr>
                <w:ilvl w:val="0"/>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For preemption indication;</w:t>
            </w:r>
          </w:p>
          <w:p w14:paraId="34424ACC" w14:textId="77777777" w:rsidR="00C62331" w:rsidRPr="00445AF2" w:rsidRDefault="00C62331" w:rsidP="00AB54A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When configured, the indication tells the UE(s) which DL physical resources has been preempted.</w:t>
            </w:r>
          </w:p>
          <w:p w14:paraId="6E3C3A3D" w14:textId="77777777" w:rsidR="00C62331" w:rsidRPr="00445AF2" w:rsidRDefault="00C62331" w:rsidP="00AB54A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The preemption indication is transmitted using a PDCCH.</w:t>
            </w:r>
          </w:p>
          <w:p w14:paraId="179336F7" w14:textId="77777777" w:rsidR="00C62331" w:rsidRPr="00445AF2" w:rsidRDefault="00C62331" w:rsidP="00AB54AE">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The preemption indication is not included in the DCI that schedules the (re)transmission of the data transmission.</w:t>
            </w:r>
          </w:p>
          <w:p w14:paraId="05B05E80" w14:textId="77777777" w:rsidR="00C62331" w:rsidRPr="00445AF2" w:rsidRDefault="00C62331" w:rsidP="00AB54A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the granularity of the time and/or frequency resources.</w:t>
            </w:r>
          </w:p>
          <w:p w14:paraId="5A2613E3" w14:textId="77777777" w:rsidR="00C62331" w:rsidRPr="00445AF2" w:rsidRDefault="00C62331" w:rsidP="00AB54A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what DCI is used.</w:t>
            </w:r>
          </w:p>
          <w:p w14:paraId="01D5DEEF" w14:textId="77777777" w:rsidR="00C62331" w:rsidRPr="00BF49D8" w:rsidRDefault="00C62331" w:rsidP="00AB54A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timing of the preemption indication.</w:t>
            </w:r>
            <w:r w:rsidRPr="00BF49D8">
              <w:rPr>
                <w:rFonts w:eastAsia="MS Mincho" w:hint="eastAsia"/>
                <w:lang w:eastAsia="ja-JP"/>
              </w:rPr>
              <w:t xml:space="preserve"> </w:t>
            </w:r>
          </w:p>
        </w:tc>
      </w:tr>
      <w:tr w:rsidR="00C62331" w14:paraId="1499A81C" w14:textId="77777777" w:rsidTr="00B775F1">
        <w:tc>
          <w:tcPr>
            <w:tcW w:w="669" w:type="dxa"/>
          </w:tcPr>
          <w:p w14:paraId="269A83BA" w14:textId="77777777" w:rsidR="00C62331" w:rsidRDefault="00C62331" w:rsidP="00B775F1">
            <w:r>
              <w:t>2</w:t>
            </w:r>
          </w:p>
        </w:tc>
        <w:tc>
          <w:tcPr>
            <w:tcW w:w="8960" w:type="dxa"/>
          </w:tcPr>
          <w:p w14:paraId="10BC4277" w14:textId="77777777" w:rsidR="00C62331" w:rsidRDefault="00C62331" w:rsidP="00B775F1">
            <w:pPr>
              <w:spacing w:line="120" w:lineRule="atLeast"/>
              <w:rPr>
                <w:rFonts w:eastAsia="MS Mincho"/>
                <w:b/>
                <w:iCs/>
                <w:u w:val="single"/>
              </w:rPr>
            </w:pPr>
            <w:r>
              <w:rPr>
                <w:rFonts w:eastAsia="MS Mincho"/>
                <w:b/>
                <w:iCs/>
                <w:highlight w:val="green"/>
                <w:u w:val="single"/>
              </w:rPr>
              <w:t>Agreements:</w:t>
            </w:r>
          </w:p>
          <w:p w14:paraId="214E99E6" w14:textId="77777777" w:rsidR="00C62331" w:rsidRPr="0037130E" w:rsidRDefault="00C62331" w:rsidP="00AB54AE">
            <w:pPr>
              <w:numPr>
                <w:ilvl w:val="0"/>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For grouping CB(s) into CBG(s), following is adopted.</w:t>
            </w:r>
          </w:p>
          <w:p w14:paraId="5F72D366" w14:textId="77777777" w:rsidR="00C62331" w:rsidRPr="0037130E" w:rsidRDefault="00C62331" w:rsidP="00AB54AE">
            <w:pPr>
              <w:numPr>
                <w:ilvl w:val="1"/>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With indicated number of CBGs, the number of CBs in a CBG changes according to TBS.</w:t>
            </w:r>
          </w:p>
          <w:p w14:paraId="5324D326" w14:textId="77777777" w:rsidR="00C62331" w:rsidRPr="0037130E" w:rsidRDefault="00C62331" w:rsidP="00AB54AE">
            <w:pPr>
              <w:numPr>
                <w:ilvl w:val="2"/>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FFS for the case of re-transmission or the case when the number of CBs is smaller than the indicated number of CBG</w:t>
            </w:r>
            <w:r w:rsidRPr="0037130E">
              <w:t xml:space="preserve"> </w:t>
            </w:r>
          </w:p>
          <w:p w14:paraId="46C527EE" w14:textId="77777777" w:rsidR="00C62331" w:rsidRPr="00F83956" w:rsidRDefault="00C62331" w:rsidP="00AB54AE">
            <w:pPr>
              <w:numPr>
                <w:ilvl w:val="0"/>
                <w:numId w:val="3"/>
              </w:numPr>
              <w:overflowPunct/>
              <w:autoSpaceDE/>
              <w:autoSpaceDN/>
              <w:adjustRightInd/>
              <w:spacing w:after="0" w:line="120" w:lineRule="atLeast"/>
              <w:textAlignment w:val="auto"/>
              <w:rPr>
                <w:rFonts w:eastAsia="MS Mincho"/>
                <w:iCs/>
              </w:rPr>
            </w:pPr>
            <w:r w:rsidRPr="0037130E">
              <w:rPr>
                <w:rFonts w:eastAsia="MS Mincho"/>
                <w:lang w:eastAsia="ja-JP"/>
              </w:rPr>
              <w:t xml:space="preserve">FFS “indicated” is </w:t>
            </w:r>
            <w:r>
              <w:rPr>
                <w:rFonts w:eastAsia="MS Mincho"/>
                <w:lang w:eastAsia="ja-JP"/>
              </w:rPr>
              <w:t>realized by RRC, MAC, L1 signal</w:t>
            </w:r>
            <w:r w:rsidRPr="0037130E">
              <w:rPr>
                <w:rFonts w:eastAsia="MS Mincho"/>
                <w:lang w:eastAsia="ja-JP"/>
              </w:rPr>
              <w:t>ing</w:t>
            </w:r>
          </w:p>
        </w:tc>
      </w:tr>
      <w:tr w:rsidR="00C62331" w14:paraId="3089CF43" w14:textId="77777777" w:rsidTr="00B775F1">
        <w:tc>
          <w:tcPr>
            <w:tcW w:w="669" w:type="dxa"/>
          </w:tcPr>
          <w:p w14:paraId="65D2FB0F" w14:textId="77777777" w:rsidR="00C62331" w:rsidRDefault="00C62331" w:rsidP="00B775F1">
            <w:r>
              <w:t>3</w:t>
            </w:r>
          </w:p>
        </w:tc>
        <w:tc>
          <w:tcPr>
            <w:tcW w:w="8960" w:type="dxa"/>
          </w:tcPr>
          <w:p w14:paraId="69F653D3" w14:textId="77777777" w:rsidR="00C62331" w:rsidRDefault="00C62331" w:rsidP="00B775F1">
            <w:pPr>
              <w:spacing w:line="120" w:lineRule="atLeast"/>
              <w:rPr>
                <w:rFonts w:eastAsia="MS Mincho"/>
                <w:b/>
                <w:iCs/>
                <w:u w:val="single"/>
              </w:rPr>
            </w:pPr>
            <w:r>
              <w:rPr>
                <w:rFonts w:eastAsia="MS Mincho"/>
                <w:b/>
                <w:iCs/>
                <w:highlight w:val="green"/>
                <w:u w:val="single"/>
              </w:rPr>
              <w:t>Agreements:</w:t>
            </w:r>
          </w:p>
          <w:p w14:paraId="29FABCA4" w14:textId="77777777" w:rsidR="00C62331" w:rsidRPr="0037130E" w:rsidRDefault="00C62331" w:rsidP="00AB54AE">
            <w:pPr>
              <w:numPr>
                <w:ilvl w:val="0"/>
                <w:numId w:val="4"/>
              </w:numPr>
              <w:overflowPunct/>
              <w:autoSpaceDE/>
              <w:autoSpaceDN/>
              <w:adjustRightInd/>
              <w:spacing w:after="0" w:line="120" w:lineRule="atLeast"/>
              <w:textAlignment w:val="auto"/>
              <w:rPr>
                <w:rFonts w:eastAsia="MS Mincho"/>
                <w:lang w:eastAsia="ja-JP"/>
              </w:rPr>
            </w:pPr>
            <w:r w:rsidRPr="0037130E">
              <w:rPr>
                <w:rFonts w:eastAsia="MS Mincho" w:hint="eastAsia"/>
                <w:lang w:eastAsia="ja-JP"/>
              </w:rPr>
              <w:t>At least following is supported.</w:t>
            </w:r>
          </w:p>
          <w:p w14:paraId="1323A424" w14:textId="77777777" w:rsidR="00C62331" w:rsidRPr="0037130E" w:rsidRDefault="00C62331" w:rsidP="00AB54AE">
            <w:pPr>
              <w:numPr>
                <w:ilvl w:val="1"/>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For a given number of CBGs for a given TB, the number of CBs per CBG should be as uniform as possible.</w:t>
            </w:r>
          </w:p>
          <w:p w14:paraId="595CB445" w14:textId="77777777" w:rsidR="00C62331" w:rsidRPr="0037130E" w:rsidRDefault="00C62331" w:rsidP="00AB54AE">
            <w:pPr>
              <w:numPr>
                <w:ilvl w:val="2"/>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The difference of CB number per CBG between any two CBGs is either 0 or 1.</w:t>
            </w:r>
          </w:p>
          <w:p w14:paraId="547CA7F0" w14:textId="77777777" w:rsidR="00C62331" w:rsidRPr="0037130E" w:rsidRDefault="00C62331" w:rsidP="00AB54AE">
            <w:pPr>
              <w:numPr>
                <w:ilvl w:val="2"/>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lastRenderedPageBreak/>
              <w:t>FFS on the detailed rule for the CB grouping.</w:t>
            </w:r>
          </w:p>
          <w:p w14:paraId="4D43791B" w14:textId="77777777" w:rsidR="00C62331" w:rsidRPr="00350C03" w:rsidRDefault="00C62331" w:rsidP="00AB54AE">
            <w:pPr>
              <w:numPr>
                <w:ilvl w:val="0"/>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Study further benefit and realization of non-uniform CB distribution across CBGs.</w:t>
            </w:r>
          </w:p>
        </w:tc>
      </w:tr>
      <w:tr w:rsidR="00C62331" w14:paraId="36DC2AFB" w14:textId="77777777" w:rsidTr="00B775F1">
        <w:tc>
          <w:tcPr>
            <w:tcW w:w="669" w:type="dxa"/>
          </w:tcPr>
          <w:p w14:paraId="31E0F7A3" w14:textId="77777777" w:rsidR="00C62331" w:rsidRDefault="00C62331" w:rsidP="00B775F1">
            <w:r>
              <w:lastRenderedPageBreak/>
              <w:t>4</w:t>
            </w:r>
          </w:p>
          <w:p w14:paraId="1E88E7D5" w14:textId="77777777" w:rsidR="00C62331" w:rsidRDefault="00C62331" w:rsidP="00B775F1"/>
        </w:tc>
        <w:tc>
          <w:tcPr>
            <w:tcW w:w="8960" w:type="dxa"/>
          </w:tcPr>
          <w:p w14:paraId="05329207" w14:textId="77777777" w:rsidR="00C62331" w:rsidRDefault="00C62331" w:rsidP="00B775F1">
            <w:pPr>
              <w:spacing w:line="120" w:lineRule="atLeast"/>
              <w:rPr>
                <w:rFonts w:eastAsia="MS Mincho"/>
                <w:b/>
                <w:iCs/>
                <w:highlight w:val="green"/>
                <w:u w:val="single"/>
              </w:rPr>
            </w:pPr>
            <w:r>
              <w:rPr>
                <w:rFonts w:eastAsia="MS Mincho"/>
                <w:b/>
                <w:iCs/>
                <w:highlight w:val="green"/>
                <w:u w:val="single"/>
              </w:rPr>
              <w:t>Agreement:</w:t>
            </w:r>
          </w:p>
          <w:p w14:paraId="4FA98EE8" w14:textId="0C14F662" w:rsidR="00C62331" w:rsidRPr="003C110D" w:rsidRDefault="00C62331" w:rsidP="00B775F1">
            <w:pPr>
              <w:numPr>
                <w:ilvl w:val="0"/>
                <w:numId w:val="8"/>
              </w:numPr>
              <w:spacing w:line="120" w:lineRule="atLeast"/>
              <w:rPr>
                <w:rFonts w:eastAsia="MS Mincho"/>
                <w:iCs/>
              </w:rPr>
            </w:pPr>
            <w:r w:rsidRPr="00350C03">
              <w:rPr>
                <w:rFonts w:eastAsia="MS Mincho"/>
                <w:iCs/>
              </w:rPr>
              <w:t>When uplink CBG-based (re)transmission is configured, the UL grant indicates which CBG(s) of a TB is/are retransmitte</w:t>
            </w:r>
            <w:r w:rsidRPr="00350C03">
              <w:rPr>
                <w:rFonts w:eastAsia="MS Mincho" w:hint="eastAsia"/>
                <w:iCs/>
              </w:rPr>
              <w:t>d</w:t>
            </w:r>
          </w:p>
        </w:tc>
      </w:tr>
      <w:tr w:rsidR="00C62331" w14:paraId="0FDE3872" w14:textId="77777777" w:rsidTr="00B775F1">
        <w:tc>
          <w:tcPr>
            <w:tcW w:w="669" w:type="dxa"/>
          </w:tcPr>
          <w:p w14:paraId="3769B859" w14:textId="77777777" w:rsidR="00C62331" w:rsidRDefault="00C62331" w:rsidP="00B775F1">
            <w:r>
              <w:t>5</w:t>
            </w:r>
          </w:p>
        </w:tc>
        <w:tc>
          <w:tcPr>
            <w:tcW w:w="8960" w:type="dxa"/>
          </w:tcPr>
          <w:p w14:paraId="6DD20E03" w14:textId="77777777" w:rsidR="00C62331" w:rsidRPr="000D627D" w:rsidRDefault="00C62331" w:rsidP="00B775F1">
            <w:pPr>
              <w:rPr>
                <w:b/>
                <w:u w:val="single"/>
              </w:rPr>
            </w:pPr>
            <w:r w:rsidRPr="000D627D">
              <w:rPr>
                <w:b/>
                <w:highlight w:val="darkYellow"/>
                <w:u w:val="single"/>
              </w:rPr>
              <w:t>Working assumption:</w:t>
            </w:r>
          </w:p>
          <w:p w14:paraId="2E708792" w14:textId="77777777" w:rsidR="00C62331" w:rsidRPr="000D627D" w:rsidRDefault="00C62331" w:rsidP="00AB54AE">
            <w:pPr>
              <w:numPr>
                <w:ilvl w:val="1"/>
                <w:numId w:val="9"/>
              </w:numPr>
              <w:overflowPunct/>
              <w:autoSpaceDE/>
              <w:autoSpaceDN/>
              <w:adjustRightInd/>
              <w:spacing w:before="0" w:after="0"/>
              <w:textAlignment w:val="auto"/>
            </w:pPr>
            <w:r w:rsidRPr="000D627D">
              <w:t>For initial transmission and retransmission, each CBG of a TB has the same set of CB(s).</w:t>
            </w:r>
          </w:p>
          <w:p w14:paraId="2E0DB6E5" w14:textId="77777777" w:rsidR="00C62331" w:rsidRPr="000D627D" w:rsidRDefault="00C62331" w:rsidP="00B775F1">
            <w:pPr>
              <w:rPr>
                <w:b/>
                <w:u w:val="single"/>
              </w:rPr>
            </w:pPr>
            <w:r w:rsidRPr="000D627D">
              <w:rPr>
                <w:rFonts w:hint="eastAsia"/>
                <w:b/>
                <w:highlight w:val="green"/>
                <w:u w:val="single"/>
              </w:rPr>
              <w:t>Agreements:</w:t>
            </w:r>
          </w:p>
          <w:p w14:paraId="0A984D68" w14:textId="4EA4AE45" w:rsidR="00C62331" w:rsidRPr="003C110D" w:rsidRDefault="00C62331" w:rsidP="003C110D">
            <w:pPr>
              <w:numPr>
                <w:ilvl w:val="0"/>
                <w:numId w:val="9"/>
              </w:numPr>
              <w:overflowPunct/>
              <w:autoSpaceDE/>
              <w:autoSpaceDN/>
              <w:adjustRightInd/>
              <w:spacing w:before="0" w:after="0"/>
              <w:textAlignment w:val="auto"/>
            </w:pPr>
            <w:r w:rsidRPr="000D627D">
              <w:rPr>
                <w:rFonts w:hint="eastAsia"/>
              </w:rPr>
              <w:t xml:space="preserve">For CBG-based (re)transmission, </w:t>
            </w:r>
            <w:r w:rsidRPr="000D627D">
              <w:t>the DCI scheduling CBG-based (re)transmission carries single RV field for the transport block</w:t>
            </w:r>
            <w:r w:rsidRPr="000D627D">
              <w:rPr>
                <w:rFonts w:hint="eastAsia"/>
              </w:rPr>
              <w:t>.</w:t>
            </w:r>
          </w:p>
        </w:tc>
      </w:tr>
    </w:tbl>
    <w:p w14:paraId="0CF68477" w14:textId="77777777" w:rsidR="006C2EC2" w:rsidRPr="00081D8A" w:rsidRDefault="006C2EC2" w:rsidP="006C2EC2">
      <w:pPr>
        <w:rPr>
          <w:rFonts w:eastAsia="MS Mincho"/>
          <w:lang w:eastAsia="ja-JP"/>
        </w:rPr>
      </w:pPr>
    </w:p>
    <w:p w14:paraId="7CC77D76" w14:textId="527105F4" w:rsidR="004A70E3" w:rsidRPr="00736619" w:rsidRDefault="00A64FF9" w:rsidP="00093582">
      <w:pPr>
        <w:rPr>
          <w:b/>
          <w:lang w:val="en-GB"/>
        </w:rPr>
      </w:pPr>
      <w:r>
        <w:t>A</w:t>
      </w:r>
      <w:r w:rsidRPr="00A64FF9">
        <w:t>s</w:t>
      </w:r>
      <w:r>
        <w:t xml:space="preserve"> shown in many contributions, CBG-based multi-bit HARQ feedback scheme is crucial to enable efficient URLLC and eMBB dynamic multiplexing based on pre-emption</w:t>
      </w:r>
      <w:r w:rsidR="00F5677C">
        <w:t>, as well as to provide higher throughput with larger transport block sizes</w:t>
      </w:r>
      <w:r>
        <w:t>.</w:t>
      </w:r>
      <w:r w:rsidR="00736619">
        <w:rPr>
          <w:b/>
          <w:lang w:val="en-GB"/>
        </w:rPr>
        <w:t xml:space="preserve"> </w:t>
      </w:r>
      <w:r w:rsidR="00093582">
        <w:t xml:space="preserve">In this paper, we </w:t>
      </w:r>
      <w:r w:rsidR="006C2EC2">
        <w:t>c</w:t>
      </w:r>
      <w:r w:rsidR="00C82A30">
        <w:t xml:space="preserve">onsider some details of </w:t>
      </w:r>
      <w:r w:rsidR="004B4423">
        <w:t>multi-bit HARQ feedback</w:t>
      </w:r>
      <w:r w:rsidR="00730918">
        <w:t xml:space="preserve"> design, in particular, some </w:t>
      </w:r>
      <w:r w:rsidR="000564CB">
        <w:t>CBG construction</w:t>
      </w:r>
      <w:r w:rsidR="00730918">
        <w:t xml:space="preserve"> aspects</w:t>
      </w:r>
      <w:r w:rsidR="004A70E3">
        <w:t>.</w:t>
      </w:r>
      <w:r w:rsidR="00223F6C">
        <w:t xml:space="preserve"> </w:t>
      </w:r>
      <w:r w:rsidR="007D424A">
        <w:t xml:space="preserve"> </w:t>
      </w:r>
      <w:bookmarkStart w:id="2" w:name="_GoBack"/>
      <w:bookmarkEnd w:id="2"/>
    </w:p>
    <w:p w14:paraId="488AD007" w14:textId="0C9014C0" w:rsidR="00491EEE" w:rsidRDefault="002A0B89" w:rsidP="00F30894">
      <w:pPr>
        <w:pStyle w:val="Heading1"/>
        <w:jc w:val="both"/>
      </w:pPr>
      <w:r>
        <w:t xml:space="preserve">2 </w:t>
      </w:r>
      <w:r w:rsidR="00CC78ED">
        <w:t>Motivation</w:t>
      </w:r>
    </w:p>
    <w:p w14:paraId="37D27A1E" w14:textId="567C8119" w:rsidR="003224D3" w:rsidRDefault="006D4E86" w:rsidP="003224D3">
      <w:pPr>
        <w:rPr>
          <w:lang w:val="en-GB"/>
        </w:rPr>
      </w:pPr>
      <w:r>
        <w:rPr>
          <w:lang w:val="en-GB"/>
        </w:rPr>
        <w:t>As mentioned</w:t>
      </w:r>
      <w:r w:rsidR="003224D3">
        <w:rPr>
          <w:lang w:val="en-GB"/>
        </w:rPr>
        <w:t xml:space="preserve"> above, there is RAN1 agreement that at least the uniform CBG construction, where the number of CBs per CBG are as uniform as possible and differing by at most 1, is supported; the case of non-uniform grouping is for further study. </w:t>
      </w:r>
    </w:p>
    <w:p w14:paraId="12290D7A" w14:textId="0F1F82C1" w:rsidR="00487369" w:rsidRDefault="003224D3" w:rsidP="003224D3">
      <w:pPr>
        <w:rPr>
          <w:lang w:val="en-GB"/>
        </w:rPr>
      </w:pPr>
      <w:r>
        <w:rPr>
          <w:lang w:val="en-GB"/>
        </w:rPr>
        <w:t xml:space="preserve">There are several scenarios where allowing </w:t>
      </w:r>
      <w:r w:rsidRPr="003224D3">
        <w:rPr>
          <w:i/>
          <w:lang w:val="en-GB"/>
        </w:rPr>
        <w:t xml:space="preserve">limited </w:t>
      </w:r>
      <w:r>
        <w:rPr>
          <w:lang w:val="en-GB"/>
        </w:rPr>
        <w:t xml:space="preserve">non-uniform </w:t>
      </w:r>
      <w:r w:rsidR="003B278B">
        <w:rPr>
          <w:lang w:val="en-GB"/>
        </w:rPr>
        <w:t xml:space="preserve">CB </w:t>
      </w:r>
      <w:r>
        <w:rPr>
          <w:lang w:val="en-GB"/>
        </w:rPr>
        <w:t>grouping can be beneficial</w:t>
      </w:r>
      <w:r w:rsidR="006D4E86">
        <w:rPr>
          <w:lang w:val="en-GB"/>
        </w:rPr>
        <w:t xml:space="preserve"> – Limiting the level of non-uniformity can </w:t>
      </w:r>
      <w:r w:rsidR="00487369">
        <w:rPr>
          <w:lang w:val="en-GB"/>
        </w:rPr>
        <w:t xml:space="preserve">still </w:t>
      </w:r>
      <w:r w:rsidR="006D4E86">
        <w:rPr>
          <w:lang w:val="en-GB"/>
        </w:rPr>
        <w:t>keep the DCI/UCI overhead low, while providing sizable gains in performance, as will be illustrated later</w:t>
      </w:r>
      <w:r>
        <w:rPr>
          <w:lang w:val="en-GB"/>
        </w:rPr>
        <w:t xml:space="preserve">. </w:t>
      </w:r>
      <w:r w:rsidR="005F0722">
        <w:rPr>
          <w:lang w:val="en-GB"/>
        </w:rPr>
        <w:t>Some</w:t>
      </w:r>
      <w:r w:rsidR="006D4E86">
        <w:rPr>
          <w:lang w:val="en-GB"/>
        </w:rPr>
        <w:t xml:space="preserve"> </w:t>
      </w:r>
      <w:r w:rsidR="005F0722">
        <w:rPr>
          <w:lang w:val="en-GB"/>
        </w:rPr>
        <w:t xml:space="preserve">specific </w:t>
      </w:r>
      <w:r w:rsidR="006D4E86">
        <w:rPr>
          <w:lang w:val="en-GB"/>
        </w:rPr>
        <w:t>scenarios that can benefit from limited non-uniform CB grouping</w:t>
      </w:r>
      <w:r w:rsidR="005F0722">
        <w:rPr>
          <w:lang w:val="en-GB"/>
        </w:rPr>
        <w:t xml:space="preserve"> are as follows</w:t>
      </w:r>
      <w:r w:rsidR="006D4E86">
        <w:rPr>
          <w:lang w:val="en-GB"/>
        </w:rPr>
        <w:t xml:space="preserve">. </w:t>
      </w:r>
      <w:r>
        <w:rPr>
          <w:lang w:val="en-GB"/>
        </w:rPr>
        <w:t xml:space="preserve">In one scenario, </w:t>
      </w:r>
      <w:r w:rsidR="000F145F">
        <w:rPr>
          <w:lang w:val="en-GB"/>
        </w:rPr>
        <w:t>a group of symbols</w:t>
      </w:r>
      <w:r w:rsidR="002934E0">
        <w:rPr>
          <w:lang w:val="en-GB"/>
        </w:rPr>
        <w:t xml:space="preserve">, e.g., </w:t>
      </w:r>
      <w:r w:rsidR="00F86520">
        <w:rPr>
          <w:lang w:val="en-GB"/>
        </w:rPr>
        <w:t xml:space="preserve">corresponding to </w:t>
      </w:r>
      <w:r w:rsidR="002934E0">
        <w:rPr>
          <w:lang w:val="en-GB"/>
        </w:rPr>
        <w:t xml:space="preserve">a URLLC mini-slot, can be more likely to have </w:t>
      </w:r>
      <w:r w:rsidR="00F86520">
        <w:rPr>
          <w:lang w:val="en-GB"/>
        </w:rPr>
        <w:t>disruption</w:t>
      </w:r>
      <w:r w:rsidR="002934E0">
        <w:rPr>
          <w:lang w:val="en-GB"/>
        </w:rPr>
        <w:t xml:space="preserve"> due to a pre-emptive URLLC transmission</w:t>
      </w:r>
      <w:r w:rsidR="00F86520">
        <w:rPr>
          <w:lang w:val="en-GB"/>
        </w:rPr>
        <w:t>.</w:t>
      </w:r>
      <w:r w:rsidR="002934E0">
        <w:rPr>
          <w:lang w:val="en-GB"/>
        </w:rPr>
        <w:t xml:space="preserve"> </w:t>
      </w:r>
      <w:r w:rsidR="006D4E86">
        <w:rPr>
          <w:lang w:val="en-GB"/>
        </w:rPr>
        <w:t>In another scenario,</w:t>
      </w:r>
      <w:r w:rsidR="00F86520" w:rsidRPr="00F86520">
        <w:rPr>
          <w:lang w:val="en-GB"/>
        </w:rPr>
        <w:t xml:space="preserve"> </w:t>
      </w:r>
      <w:r w:rsidR="00F86520">
        <w:rPr>
          <w:lang w:val="en-GB"/>
        </w:rPr>
        <w:t>some symbols of a slot may be known to have more interference than others, e.g., in dynamic TDD, a PUSCH transmission from an edge UE in a neighboring cell can lead to higher interference in the PDSCH transmission in those symbols to a UE close to the first UE</w:t>
      </w:r>
      <w:r w:rsidR="00487369">
        <w:rPr>
          <w:lang w:val="en-GB"/>
        </w:rPr>
        <w:t xml:space="preserve">. In a further scenario, there may </w:t>
      </w:r>
      <w:r w:rsidR="005F0722">
        <w:rPr>
          <w:lang w:val="en-GB"/>
        </w:rPr>
        <w:t xml:space="preserve">be </w:t>
      </w:r>
      <w:r w:rsidR="00487369">
        <w:rPr>
          <w:lang w:val="en-GB"/>
        </w:rPr>
        <w:t xml:space="preserve">differences in </w:t>
      </w:r>
      <w:r w:rsidR="005F0722">
        <w:rPr>
          <w:lang w:val="en-GB"/>
        </w:rPr>
        <w:t xml:space="preserve">the accuracy of </w:t>
      </w:r>
      <w:r w:rsidR="00487369">
        <w:rPr>
          <w:lang w:val="en-GB"/>
        </w:rPr>
        <w:t>channel estimation among different symbols of a slot, e.g., due to front-loaded reference signals.</w:t>
      </w:r>
    </w:p>
    <w:p w14:paraId="07D352EE" w14:textId="4631D072" w:rsidR="00487369" w:rsidRDefault="00487369" w:rsidP="003224D3">
      <w:pPr>
        <w:rPr>
          <w:b/>
          <w:lang w:val="en-GB"/>
        </w:rPr>
      </w:pPr>
      <w:r>
        <w:rPr>
          <w:b/>
          <w:lang w:val="en-GB"/>
        </w:rPr>
        <w:t>Observation 1: Different regions of a slot can have different level</w:t>
      </w:r>
      <w:r w:rsidR="000F145F">
        <w:rPr>
          <w:b/>
          <w:lang w:val="en-GB"/>
        </w:rPr>
        <w:t>s</w:t>
      </w:r>
      <w:r>
        <w:rPr>
          <w:b/>
          <w:lang w:val="en-GB"/>
        </w:rPr>
        <w:t xml:space="preserve"> of </w:t>
      </w:r>
      <w:r w:rsidRPr="00487369">
        <w:rPr>
          <w:b/>
          <w:i/>
          <w:lang w:val="en-GB"/>
        </w:rPr>
        <w:t>known</w:t>
      </w:r>
      <w:r>
        <w:rPr>
          <w:b/>
          <w:lang w:val="en-GB"/>
        </w:rPr>
        <w:t xml:space="preserve"> performance</w:t>
      </w:r>
      <w:r w:rsidR="000529DD">
        <w:rPr>
          <w:b/>
          <w:lang w:val="en-GB"/>
        </w:rPr>
        <w:t xml:space="preserve"> impairments</w:t>
      </w:r>
      <w:r>
        <w:rPr>
          <w:b/>
          <w:lang w:val="en-GB"/>
        </w:rPr>
        <w:t>, e.g., interference, channel estimation accuracy.</w:t>
      </w:r>
    </w:p>
    <w:p w14:paraId="55AEF23C" w14:textId="31A1F04A" w:rsidR="00CC78ED" w:rsidRDefault="00CC78ED" w:rsidP="00CC78ED">
      <w:pPr>
        <w:pStyle w:val="Heading1"/>
        <w:jc w:val="both"/>
      </w:pPr>
      <w:r>
        <w:t>3 Region-based CBG Construction</w:t>
      </w:r>
    </w:p>
    <w:p w14:paraId="68FE3DCC" w14:textId="478479BC" w:rsidR="002064DF" w:rsidRDefault="002B5B4E" w:rsidP="003224D3">
      <w:pPr>
        <w:rPr>
          <w:lang w:val="en-GB"/>
        </w:rPr>
      </w:pPr>
      <w:r>
        <w:rPr>
          <w:lang w:val="en-GB"/>
        </w:rPr>
        <w:t>I</w:t>
      </w:r>
      <w:r w:rsidR="005F0722">
        <w:rPr>
          <w:lang w:val="en-GB"/>
        </w:rPr>
        <w:t xml:space="preserve">t is natural to expect that </w:t>
      </w:r>
      <w:r w:rsidR="00003328">
        <w:rPr>
          <w:lang w:val="en-GB"/>
        </w:rPr>
        <w:t xml:space="preserve">the </w:t>
      </w:r>
      <w:r w:rsidR="005F0722">
        <w:rPr>
          <w:lang w:val="en-GB"/>
        </w:rPr>
        <w:t>aforementioned</w:t>
      </w:r>
      <w:r>
        <w:rPr>
          <w:lang w:val="en-GB"/>
        </w:rPr>
        <w:t xml:space="preserve"> known differences can potentially be exploited while constructing CBGs</w:t>
      </w:r>
      <w:r w:rsidR="004615ED">
        <w:rPr>
          <w:lang w:val="en-GB"/>
        </w:rPr>
        <w:t xml:space="preserve"> to improve performance</w:t>
      </w:r>
      <w:r>
        <w:rPr>
          <w:lang w:val="en-GB"/>
        </w:rPr>
        <w:t xml:space="preserve">. For instance, those regions/symbols with less accurate channel estimates can benefit from finer HARQ feedback, i.e., with </w:t>
      </w:r>
      <w:r w:rsidR="002064DF">
        <w:rPr>
          <w:lang w:val="en-GB"/>
        </w:rPr>
        <w:t xml:space="preserve">more number of </w:t>
      </w:r>
      <w:r>
        <w:rPr>
          <w:lang w:val="en-GB"/>
        </w:rPr>
        <w:t>CBGs</w:t>
      </w:r>
      <w:r w:rsidR="002064DF">
        <w:rPr>
          <w:lang w:val="en-GB"/>
        </w:rPr>
        <w:t>, each</w:t>
      </w:r>
      <w:r>
        <w:rPr>
          <w:lang w:val="en-GB"/>
        </w:rPr>
        <w:t xml:space="preserve"> having fewer CBs. Further, constructing CBGs such that they are localized to known regions </w:t>
      </w:r>
      <w:r w:rsidR="00C5013D">
        <w:rPr>
          <w:lang w:val="en-GB"/>
        </w:rPr>
        <w:t>of interference variation</w:t>
      </w:r>
      <w:r>
        <w:rPr>
          <w:lang w:val="en-GB"/>
        </w:rPr>
        <w:t xml:space="preserve"> can improve performance, e.g., CBGs having </w:t>
      </w:r>
      <w:r w:rsidR="00586CF9">
        <w:rPr>
          <w:lang w:val="en-GB"/>
        </w:rPr>
        <w:t xml:space="preserve">near </w:t>
      </w:r>
      <w:r>
        <w:rPr>
          <w:lang w:val="en-GB"/>
        </w:rPr>
        <w:t xml:space="preserve">alignment with mini-slot boundaries can reduce the number of CBs requiring </w:t>
      </w:r>
      <w:r w:rsidR="002064DF">
        <w:rPr>
          <w:lang w:val="en-GB"/>
        </w:rPr>
        <w:t xml:space="preserve">retransmissions when a mini-slot </w:t>
      </w:r>
      <w:r w:rsidR="009009B4">
        <w:rPr>
          <w:lang w:val="en-GB"/>
        </w:rPr>
        <w:t xml:space="preserve">region sees </w:t>
      </w:r>
      <w:r w:rsidR="002064DF">
        <w:rPr>
          <w:lang w:val="en-GB"/>
        </w:rPr>
        <w:t xml:space="preserve">interference from a URLLC transmission. </w:t>
      </w:r>
      <w:r w:rsidR="009009B4">
        <w:rPr>
          <w:lang w:val="en-GB"/>
        </w:rPr>
        <w:t>Hence, o</w:t>
      </w:r>
      <w:r w:rsidR="002064DF">
        <w:rPr>
          <w:lang w:val="en-GB"/>
        </w:rPr>
        <w:t xml:space="preserve">ne way </w:t>
      </w:r>
      <w:r w:rsidR="000529DD">
        <w:rPr>
          <w:lang w:val="en-GB"/>
        </w:rPr>
        <w:t xml:space="preserve">to utilize </w:t>
      </w:r>
      <w:r w:rsidR="009009B4">
        <w:rPr>
          <w:lang w:val="en-GB"/>
        </w:rPr>
        <w:t xml:space="preserve">the </w:t>
      </w:r>
      <w:r w:rsidR="000529DD">
        <w:rPr>
          <w:lang w:val="en-GB"/>
        </w:rPr>
        <w:t>knowledge of such impairment variation</w:t>
      </w:r>
      <w:r w:rsidR="002064DF">
        <w:rPr>
          <w:lang w:val="en-GB"/>
        </w:rPr>
        <w:t xml:space="preserve"> is to allow for different number of CBs and/or number of CBGs in different regions</w:t>
      </w:r>
      <w:r w:rsidR="00961A3B">
        <w:rPr>
          <w:lang w:val="en-GB"/>
        </w:rPr>
        <w:t xml:space="preserve"> (An example of region-based CBG construction is given in Figure 1)</w:t>
      </w:r>
      <w:r w:rsidR="002064DF">
        <w:rPr>
          <w:lang w:val="en-GB"/>
        </w:rPr>
        <w:t>.</w:t>
      </w:r>
    </w:p>
    <w:p w14:paraId="1593DDA8" w14:textId="0863AC03" w:rsidR="002064DF" w:rsidRDefault="002064DF" w:rsidP="003224D3">
      <w:pPr>
        <w:rPr>
          <w:b/>
          <w:lang w:val="en-GB"/>
        </w:rPr>
      </w:pPr>
      <w:r>
        <w:rPr>
          <w:b/>
          <w:lang w:val="en-GB"/>
        </w:rPr>
        <w:t xml:space="preserve">Proposal </w:t>
      </w:r>
      <w:r w:rsidR="00D451FE">
        <w:rPr>
          <w:b/>
          <w:lang w:val="en-GB"/>
        </w:rPr>
        <w:t>2</w:t>
      </w:r>
      <w:r>
        <w:rPr>
          <w:b/>
          <w:lang w:val="en-GB"/>
        </w:rPr>
        <w:t>: CBG construction should allow for different regions of a slot to have different number of CBs and/or different number of CBGs.</w:t>
      </w:r>
    </w:p>
    <w:p w14:paraId="5CA07C89" w14:textId="056D7F70" w:rsidR="002064DF" w:rsidRDefault="002064DF" w:rsidP="003224D3">
      <w:pPr>
        <w:rPr>
          <w:lang w:val="en-GB"/>
        </w:rPr>
      </w:pPr>
      <w:r w:rsidRPr="002064DF">
        <w:rPr>
          <w:lang w:val="en-GB"/>
        </w:rPr>
        <w:t xml:space="preserve">To keep </w:t>
      </w:r>
      <w:r>
        <w:rPr>
          <w:lang w:val="en-GB"/>
        </w:rPr>
        <w:t>the DCI/UCI overhead still low, the number of d</w:t>
      </w:r>
      <w:r w:rsidR="00B417BA">
        <w:rPr>
          <w:lang w:val="en-GB"/>
        </w:rPr>
        <w:t>ifferent regions can</w:t>
      </w:r>
      <w:r w:rsidR="000529DD">
        <w:rPr>
          <w:lang w:val="en-GB"/>
        </w:rPr>
        <w:t xml:space="preserve"> be limited – One clear upper bound on the number of regions is the number of CBGs</w:t>
      </w:r>
      <w:r w:rsidR="00586CF9">
        <w:rPr>
          <w:lang w:val="en-GB"/>
        </w:rPr>
        <w:t>; another is the number of tx symbols</w:t>
      </w:r>
      <w:r w:rsidR="000529DD">
        <w:rPr>
          <w:lang w:val="en-GB"/>
        </w:rPr>
        <w:t xml:space="preserve">. </w:t>
      </w:r>
      <w:r>
        <w:rPr>
          <w:lang w:val="en-GB"/>
        </w:rPr>
        <w:t xml:space="preserve">In addition, within each region, the previous RAN1 agreement of uniform CBG </w:t>
      </w:r>
      <w:r w:rsidR="000529DD">
        <w:rPr>
          <w:lang w:val="en-GB"/>
        </w:rPr>
        <w:t>construction can be applied to keep the overhead low</w:t>
      </w:r>
      <w:r>
        <w:rPr>
          <w:lang w:val="en-GB"/>
        </w:rPr>
        <w:t>.</w:t>
      </w:r>
    </w:p>
    <w:p w14:paraId="5C9714D3" w14:textId="24F7A12A" w:rsidR="002064DF" w:rsidRDefault="002064DF" w:rsidP="003224D3">
      <w:pPr>
        <w:rPr>
          <w:b/>
          <w:lang w:val="en-GB"/>
        </w:rPr>
      </w:pPr>
      <w:r>
        <w:rPr>
          <w:b/>
          <w:lang w:val="en-GB"/>
        </w:rPr>
        <w:t xml:space="preserve">Proposal </w:t>
      </w:r>
      <w:r w:rsidR="00D451FE">
        <w:rPr>
          <w:b/>
          <w:lang w:val="en-GB"/>
        </w:rPr>
        <w:t>3</w:t>
      </w:r>
      <w:r>
        <w:rPr>
          <w:b/>
          <w:lang w:val="en-GB"/>
        </w:rPr>
        <w:t xml:space="preserve">: CBG construction within each region of a pre-configured number of allowed regions should have as uniform distribution of CBs per CBGs as </w:t>
      </w:r>
      <w:r w:rsidR="00B66526">
        <w:rPr>
          <w:b/>
          <w:lang w:val="en-GB"/>
        </w:rPr>
        <w:t>possible</w:t>
      </w:r>
      <w:r>
        <w:rPr>
          <w:b/>
          <w:lang w:val="en-GB"/>
        </w:rPr>
        <w:t>.</w:t>
      </w:r>
    </w:p>
    <w:p w14:paraId="52709197" w14:textId="77777777" w:rsidR="0096437D" w:rsidRDefault="002064DF" w:rsidP="00E134BC">
      <w:pPr>
        <w:rPr>
          <w:lang w:val="en-GB"/>
        </w:rPr>
      </w:pPr>
      <w:r>
        <w:rPr>
          <w:b/>
          <w:lang w:val="en-GB"/>
        </w:rPr>
        <w:t xml:space="preserve"> </w:t>
      </w:r>
      <w:r w:rsidRPr="002064DF">
        <w:rPr>
          <w:lang w:val="en-GB"/>
        </w:rPr>
        <w:t xml:space="preserve"> </w:t>
      </w:r>
    </w:p>
    <w:p w14:paraId="5BA6538F" w14:textId="02F7034F" w:rsidR="0096437D" w:rsidRDefault="0096437D" w:rsidP="0096437D">
      <w:pPr>
        <w:jc w:val="center"/>
        <w:rPr>
          <w:b/>
          <w:sz w:val="22"/>
        </w:rPr>
      </w:pPr>
      <w:r w:rsidRPr="0096437D">
        <w:rPr>
          <w:b/>
          <w:sz w:val="22"/>
        </w:rPr>
        <w:object w:dxaOrig="6060" w:dyaOrig="8747" w14:anchorId="29CE0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324.75pt" o:ole="">
            <v:imagedata r:id="rId13" o:title=""/>
          </v:shape>
          <o:OLEObject Type="Embed" ProgID="Visio.Drawing.11" ShapeID="_x0000_i1025" DrawAspect="Content" ObjectID="_1563893618" r:id="rId14"/>
        </w:object>
      </w:r>
    </w:p>
    <w:p w14:paraId="156D2EA4" w14:textId="538AAD0B" w:rsidR="0096437D" w:rsidRDefault="0096437D" w:rsidP="0096437D">
      <w:pPr>
        <w:jc w:val="center"/>
        <w:rPr>
          <w:b/>
          <w:sz w:val="22"/>
        </w:rPr>
      </w:pPr>
      <w:r w:rsidRPr="001734AF">
        <w:rPr>
          <w:b/>
          <w:sz w:val="22"/>
        </w:rPr>
        <w:t>Figure</w:t>
      </w:r>
      <w:r>
        <w:rPr>
          <w:b/>
          <w:sz w:val="22"/>
        </w:rPr>
        <w:t xml:space="preserve"> 1.</w:t>
      </w:r>
      <w:r w:rsidRPr="001734AF">
        <w:rPr>
          <w:b/>
          <w:sz w:val="22"/>
        </w:rPr>
        <w:t xml:space="preserve"> </w:t>
      </w:r>
      <w:r>
        <w:rPr>
          <w:b/>
          <w:sz w:val="22"/>
        </w:rPr>
        <w:t xml:space="preserve">Example of region-based CBG construction: There are 8 regions corresponding to Symbols 0-1, 2-3, 4-5, 6-7, 8, 9, 10, 11. </w:t>
      </w:r>
      <w:r w:rsidR="001843B5">
        <w:rPr>
          <w:b/>
          <w:sz w:val="22"/>
        </w:rPr>
        <w:t>E</w:t>
      </w:r>
      <w:r w:rsidR="000F2B9E">
        <w:rPr>
          <w:b/>
          <w:sz w:val="22"/>
        </w:rPr>
        <w:t>ach region has</w:t>
      </w:r>
      <w:r>
        <w:rPr>
          <w:b/>
          <w:sz w:val="22"/>
        </w:rPr>
        <w:t xml:space="preserve"> one CBG, leading to CBGs in different regions having different number of CBs.</w:t>
      </w:r>
    </w:p>
    <w:p w14:paraId="7F1866FC" w14:textId="77777777" w:rsidR="0096437D" w:rsidRDefault="0096437D" w:rsidP="00E134BC">
      <w:pPr>
        <w:rPr>
          <w:lang w:val="en-GB"/>
        </w:rPr>
      </w:pPr>
    </w:p>
    <w:p w14:paraId="60DC5653" w14:textId="77777777" w:rsidR="008A621F" w:rsidRDefault="00E723A3" w:rsidP="008A621F">
      <w:pPr>
        <w:rPr>
          <w:lang w:val="en-GB"/>
        </w:rPr>
      </w:pPr>
      <w:r>
        <w:rPr>
          <w:lang w:val="en-GB"/>
        </w:rPr>
        <w:t xml:space="preserve">There is no RAN1 requirement on aligning CBs with symbol boundaries.  Then, in general, it is likely that some CBs span symbol/region boundaries, which also would make the corresponding CBGs (containing the aforementioned CBs) also span symbol/region boundaries. </w:t>
      </w:r>
      <w:r w:rsidR="00F41A62">
        <w:rPr>
          <w:lang w:val="en-GB"/>
        </w:rPr>
        <w:t>Now</w:t>
      </w:r>
      <w:r w:rsidR="00084B93">
        <w:rPr>
          <w:lang w:val="en-GB"/>
        </w:rPr>
        <w:t xml:space="preserve">, </w:t>
      </w:r>
      <w:r w:rsidR="007A6078">
        <w:rPr>
          <w:lang w:val="en-GB"/>
        </w:rPr>
        <w:t>i</w:t>
      </w:r>
      <w:r w:rsidR="00876C93">
        <w:rPr>
          <w:lang w:val="en-GB"/>
        </w:rPr>
        <w:t>f each CB is</w:t>
      </w:r>
      <w:r w:rsidR="0087676B">
        <w:rPr>
          <w:lang w:val="en-GB"/>
        </w:rPr>
        <w:t xml:space="preserve"> forced</w:t>
      </w:r>
      <w:r w:rsidR="00876C93">
        <w:rPr>
          <w:lang w:val="en-GB"/>
        </w:rPr>
        <w:t xml:space="preserve"> to belong to a </w:t>
      </w:r>
      <w:r w:rsidR="00653CE1">
        <w:rPr>
          <w:lang w:val="en-GB"/>
        </w:rPr>
        <w:t>single CBG, there</w:t>
      </w:r>
      <w:r w:rsidR="00BF5501">
        <w:rPr>
          <w:lang w:val="en-GB"/>
        </w:rPr>
        <w:t xml:space="preserve"> can </w:t>
      </w:r>
      <w:r w:rsidR="00653CE1">
        <w:rPr>
          <w:lang w:val="en-GB"/>
        </w:rPr>
        <w:t>be a substantial</w:t>
      </w:r>
      <w:r w:rsidR="0087676B">
        <w:rPr>
          <w:lang w:val="en-GB"/>
        </w:rPr>
        <w:t xml:space="preserve"> </w:t>
      </w:r>
      <w:r w:rsidR="00653CE1">
        <w:rPr>
          <w:lang w:val="en-GB"/>
        </w:rPr>
        <w:t xml:space="preserve">increase </w:t>
      </w:r>
      <w:r w:rsidR="007A6078">
        <w:rPr>
          <w:lang w:val="en-GB"/>
        </w:rPr>
        <w:t xml:space="preserve">in </w:t>
      </w:r>
      <w:r w:rsidR="00653CE1">
        <w:rPr>
          <w:lang w:val="en-GB"/>
        </w:rPr>
        <w:t>the number of CB</w:t>
      </w:r>
      <w:r w:rsidR="00BF5501">
        <w:rPr>
          <w:lang w:val="en-GB"/>
        </w:rPr>
        <w:t>s that n</w:t>
      </w:r>
      <w:r w:rsidR="00876C93">
        <w:rPr>
          <w:lang w:val="en-GB"/>
        </w:rPr>
        <w:t>eed to be re-transmitted</w:t>
      </w:r>
      <w:r w:rsidR="007A6078">
        <w:rPr>
          <w:lang w:val="en-GB"/>
        </w:rPr>
        <w:t xml:space="preserve"> in </w:t>
      </w:r>
      <w:r w:rsidR="00F41A62">
        <w:rPr>
          <w:lang w:val="en-GB"/>
        </w:rPr>
        <w:t xml:space="preserve">the </w:t>
      </w:r>
      <w:r w:rsidR="007A6078">
        <w:rPr>
          <w:lang w:val="en-GB"/>
        </w:rPr>
        <w:t>case of URLLC pre-emption and/or interference</w:t>
      </w:r>
      <w:r w:rsidR="00876C93">
        <w:rPr>
          <w:lang w:val="en-GB"/>
        </w:rPr>
        <w:t>, as illustrated in</w:t>
      </w:r>
      <w:r w:rsidR="00162C54">
        <w:rPr>
          <w:lang w:val="en-GB"/>
        </w:rPr>
        <w:t xml:space="preserve"> an example in</w:t>
      </w:r>
      <w:r w:rsidR="0096437D">
        <w:rPr>
          <w:lang w:val="en-GB"/>
        </w:rPr>
        <w:t xml:space="preserve"> Figure 2</w:t>
      </w:r>
      <w:r w:rsidR="00876C93">
        <w:rPr>
          <w:lang w:val="en-GB"/>
        </w:rPr>
        <w:t>.</w:t>
      </w:r>
      <w:r w:rsidR="00BF5501">
        <w:rPr>
          <w:lang w:val="en-GB"/>
        </w:rPr>
        <w:t xml:space="preserve"> </w:t>
      </w:r>
      <w:r w:rsidR="00084B93">
        <w:rPr>
          <w:lang w:val="en-GB"/>
        </w:rPr>
        <w:t xml:space="preserve">    </w:t>
      </w:r>
    </w:p>
    <w:p w14:paraId="1BD2CD12" w14:textId="284E59EB" w:rsidR="008A621F" w:rsidRDefault="008A621F" w:rsidP="008A621F">
      <w:pPr>
        <w:rPr>
          <w:lang w:val="en-GB"/>
        </w:rPr>
      </w:pPr>
      <w:r>
        <w:rPr>
          <w:lang w:val="en-GB"/>
        </w:rPr>
        <w:t xml:space="preserve">If some CBs can be part of multiple CBGs, such significant re-transmission overhead can be reduced, by allowing the CBs spanning the region boundaries to be part of the corresponding adjoining CBGs. This can entail a little increase in the UE’s Ack/Nack feedback, but can provide significant improvement in re-transmission. The gains corresponding to the example in Figure 2 are illustrated in Figure 3. </w:t>
      </w:r>
    </w:p>
    <w:p w14:paraId="68165290" w14:textId="430EFC9A" w:rsidR="00084B93" w:rsidRDefault="00084B93" w:rsidP="00E134BC">
      <w:pPr>
        <w:rPr>
          <w:lang w:val="en-GB"/>
        </w:rPr>
      </w:pPr>
    </w:p>
    <w:p w14:paraId="1FFAD004" w14:textId="204075C4" w:rsidR="00BF5501" w:rsidRDefault="00AF10E6" w:rsidP="00162C54">
      <w:pPr>
        <w:jc w:val="center"/>
        <w:rPr>
          <w:lang w:val="en-GB"/>
        </w:rPr>
      </w:pPr>
      <w:r>
        <w:rPr>
          <w:b/>
          <w:noProof/>
          <w:sz w:val="22"/>
        </w:rPr>
        <mc:AlternateContent>
          <mc:Choice Requires="wps">
            <w:drawing>
              <wp:anchor distT="0" distB="0" distL="114300" distR="114300" simplePos="0" relativeHeight="251659264" behindDoc="0" locked="0" layoutInCell="1" allowOverlap="1" wp14:anchorId="1999D105" wp14:editId="198F41ED">
                <wp:simplePos x="0" y="0"/>
                <wp:positionH relativeFrom="column">
                  <wp:posOffset>2425044</wp:posOffset>
                </wp:positionH>
                <wp:positionV relativeFrom="paragraph">
                  <wp:posOffset>476794</wp:posOffset>
                </wp:positionV>
                <wp:extent cx="428625" cy="3125038"/>
                <wp:effectExtent l="0" t="0" r="9525" b="0"/>
                <wp:wrapNone/>
                <wp:docPr id="1" name="Rectangle 1"/>
                <wp:cNvGraphicFramePr/>
                <a:graphic xmlns:a="http://schemas.openxmlformats.org/drawingml/2006/main">
                  <a:graphicData uri="http://schemas.microsoft.com/office/word/2010/wordprocessingShape">
                    <wps:wsp>
                      <wps:cNvSpPr/>
                      <wps:spPr>
                        <a:xfrm>
                          <a:off x="0" y="0"/>
                          <a:ext cx="428625" cy="3125038"/>
                        </a:xfrm>
                        <a:prstGeom prst="rect">
                          <a:avLst/>
                        </a:prstGeom>
                        <a:solidFill>
                          <a:schemeClr val="accent2">
                            <a:lumMod val="75000"/>
                            <a:alpha val="67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rect w14:anchorId="55DE1EDA" id="Rectangle 1" o:spid="_x0000_s1026" style="position:absolute;margin-left:190.95pt;margin-top:37.55pt;width:33.75pt;height:24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" fillcolor="#c45911 [2405]" stroked="f" strokeweight="1pt">
                <v:fill opacity="43947f"/>
              </v:rect>
            </w:pict>
          </mc:Fallback>
        </mc:AlternateContent>
      </w:r>
      <w:r w:rsidR="000251A9" w:rsidRPr="0096437D">
        <w:rPr>
          <w:b/>
          <w:sz w:val="22"/>
        </w:rPr>
        <w:object w:dxaOrig="6060" w:dyaOrig="8747" w14:anchorId="1D9D3C46">
          <v:shape id="_x0000_i1026" type="#_x0000_t75" style="width:286.5pt;height:306pt" o:ole="">
            <v:imagedata r:id="rId13" o:title=""/>
          </v:shape>
          <o:OLEObject Type="Embed" ProgID="Visio.Drawing.11" ShapeID="_x0000_i1026" DrawAspect="Content" ObjectID="_1563893619" r:id="rId15"/>
        </w:object>
      </w:r>
    </w:p>
    <w:p w14:paraId="2F367812" w14:textId="76C84E7C" w:rsidR="00BF5501" w:rsidRDefault="00BF5501" w:rsidP="00BF5501">
      <w:pPr>
        <w:jc w:val="center"/>
        <w:rPr>
          <w:b/>
          <w:sz w:val="22"/>
        </w:rPr>
      </w:pPr>
      <w:r w:rsidRPr="001734AF">
        <w:rPr>
          <w:b/>
          <w:sz w:val="22"/>
        </w:rPr>
        <w:t>Figure</w:t>
      </w:r>
      <w:r w:rsidR="00D451FE">
        <w:rPr>
          <w:b/>
          <w:sz w:val="22"/>
        </w:rPr>
        <w:t xml:space="preserve"> 2</w:t>
      </w:r>
      <w:r w:rsidR="00F6131D">
        <w:rPr>
          <w:b/>
          <w:sz w:val="22"/>
        </w:rPr>
        <w:t>.</w:t>
      </w:r>
      <w:r w:rsidRPr="001734AF">
        <w:rPr>
          <w:b/>
          <w:sz w:val="22"/>
        </w:rPr>
        <w:t xml:space="preserve"> </w:t>
      </w:r>
      <w:r w:rsidR="00162C54">
        <w:rPr>
          <w:b/>
          <w:sz w:val="22"/>
        </w:rPr>
        <w:t xml:space="preserve">Example of CBs spanning symbol boundaries. </w:t>
      </w:r>
      <w:r w:rsidR="000251A9">
        <w:rPr>
          <w:b/>
          <w:sz w:val="22"/>
        </w:rPr>
        <w:t>CBGs are</w:t>
      </w:r>
      <w:r w:rsidR="00AF10E6">
        <w:rPr>
          <w:b/>
          <w:sz w:val="22"/>
        </w:rPr>
        <w:t xml:space="preserve"> </w:t>
      </w:r>
      <w:r w:rsidR="000251A9">
        <w:rPr>
          <w:b/>
          <w:sz w:val="22"/>
        </w:rPr>
        <w:t xml:space="preserve">defined as </w:t>
      </w:r>
      <w:r w:rsidR="00AF10E6">
        <w:rPr>
          <w:b/>
          <w:sz w:val="22"/>
        </w:rPr>
        <w:t>CB0-9, CB10-19</w:t>
      </w:r>
      <w:r w:rsidR="00162C54">
        <w:rPr>
          <w:b/>
          <w:sz w:val="22"/>
        </w:rPr>
        <w:t xml:space="preserve">, </w:t>
      </w:r>
      <w:r w:rsidR="004C6528">
        <w:rPr>
          <w:b/>
          <w:sz w:val="22"/>
        </w:rPr>
        <w:t>CB20-29,</w:t>
      </w:r>
      <w:r w:rsidR="00162C54">
        <w:rPr>
          <w:b/>
          <w:sz w:val="22"/>
        </w:rPr>
        <w:t>…</w:t>
      </w:r>
      <w:r w:rsidR="00DB26E4">
        <w:rPr>
          <w:b/>
          <w:sz w:val="22"/>
        </w:rPr>
        <w:t xml:space="preserve"> </w:t>
      </w:r>
      <w:r w:rsidR="00162C54">
        <w:rPr>
          <w:b/>
          <w:sz w:val="22"/>
        </w:rPr>
        <w:t xml:space="preserve">Interference in </w:t>
      </w:r>
      <w:r w:rsidR="000251A9">
        <w:rPr>
          <w:b/>
          <w:sz w:val="22"/>
        </w:rPr>
        <w:t xml:space="preserve">the region corresponding to </w:t>
      </w:r>
      <w:r w:rsidR="00D451FE">
        <w:rPr>
          <w:b/>
          <w:sz w:val="22"/>
        </w:rPr>
        <w:t>S</w:t>
      </w:r>
      <w:r w:rsidR="00AF10E6">
        <w:rPr>
          <w:b/>
          <w:sz w:val="22"/>
        </w:rPr>
        <w:t>ymbols 2</w:t>
      </w:r>
      <w:r w:rsidR="000251A9">
        <w:rPr>
          <w:b/>
          <w:sz w:val="22"/>
        </w:rPr>
        <w:t>-</w:t>
      </w:r>
      <w:r w:rsidR="00AF10E6">
        <w:rPr>
          <w:b/>
          <w:sz w:val="22"/>
        </w:rPr>
        <w:t>3</w:t>
      </w:r>
      <w:r w:rsidR="00162C54">
        <w:rPr>
          <w:b/>
          <w:sz w:val="22"/>
        </w:rPr>
        <w:t xml:space="preserve"> </w:t>
      </w:r>
      <w:r w:rsidR="00AF10E6">
        <w:rPr>
          <w:b/>
          <w:sz w:val="22"/>
        </w:rPr>
        <w:t xml:space="preserve">leads to NACK for the </w:t>
      </w:r>
      <w:r w:rsidR="000251A9">
        <w:rPr>
          <w:b/>
          <w:sz w:val="22"/>
        </w:rPr>
        <w:t xml:space="preserve">second and </w:t>
      </w:r>
      <w:r w:rsidR="00961A3B">
        <w:rPr>
          <w:b/>
          <w:sz w:val="22"/>
        </w:rPr>
        <w:t>third CBGs</w:t>
      </w:r>
      <w:r w:rsidR="00AF10E6">
        <w:rPr>
          <w:b/>
          <w:sz w:val="22"/>
        </w:rPr>
        <w:t>, requiring re-transmission of</w:t>
      </w:r>
      <w:r w:rsidR="00D451FE">
        <w:rPr>
          <w:b/>
          <w:sz w:val="22"/>
        </w:rPr>
        <w:t xml:space="preserve"> 20</w:t>
      </w:r>
      <w:r w:rsidR="00162C54">
        <w:rPr>
          <w:b/>
          <w:sz w:val="22"/>
        </w:rPr>
        <w:t xml:space="preserve"> CBs.</w:t>
      </w:r>
    </w:p>
    <w:p w14:paraId="3E1C218E" w14:textId="10115B1A" w:rsidR="00162C54" w:rsidRDefault="00D451FE" w:rsidP="00D451FE">
      <w:pPr>
        <w:jc w:val="center"/>
        <w:rPr>
          <w:lang w:val="en-GB"/>
        </w:rPr>
      </w:pPr>
      <w:r>
        <w:rPr>
          <w:b/>
          <w:noProof/>
          <w:sz w:val="22"/>
        </w:rPr>
        <mc:AlternateContent>
          <mc:Choice Requires="wps">
            <w:drawing>
              <wp:anchor distT="0" distB="0" distL="114300" distR="114300" simplePos="0" relativeHeight="251661312" behindDoc="0" locked="0" layoutInCell="1" allowOverlap="1" wp14:anchorId="7445856B" wp14:editId="597231DC">
                <wp:simplePos x="0" y="0"/>
                <wp:positionH relativeFrom="column">
                  <wp:posOffset>2425044</wp:posOffset>
                </wp:positionH>
                <wp:positionV relativeFrom="paragraph">
                  <wp:posOffset>474554</wp:posOffset>
                </wp:positionV>
                <wp:extent cx="428625" cy="3145134"/>
                <wp:effectExtent l="0" t="0" r="9525" b="0"/>
                <wp:wrapNone/>
                <wp:docPr id="2" name="Rectangle 2"/>
                <wp:cNvGraphicFramePr/>
                <a:graphic xmlns:a="http://schemas.openxmlformats.org/drawingml/2006/main">
                  <a:graphicData uri="http://schemas.microsoft.com/office/word/2010/wordprocessingShape">
                    <wps:wsp>
                      <wps:cNvSpPr/>
                      <wps:spPr>
                        <a:xfrm>
                          <a:off x="0" y="0"/>
                          <a:ext cx="428625" cy="3145134"/>
                        </a:xfrm>
                        <a:prstGeom prst="rect">
                          <a:avLst/>
                        </a:prstGeom>
                        <a:solidFill>
                          <a:schemeClr val="accent2">
                            <a:lumMod val="75000"/>
                            <a:alpha val="67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rect w14:anchorId="1CA82FD9" id="Rectangle 2" o:spid="_x0000_s1026" style="position:absolute;margin-left:190.95pt;margin-top:37.35pt;width:33.75pt;height:24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" fillcolor="#c45911 [2405]" stroked="f" strokeweight="1pt">
                <v:fill opacity="43947f"/>
              </v:rect>
            </w:pict>
          </mc:Fallback>
        </mc:AlternateContent>
      </w:r>
      <w:r w:rsidR="000251A9" w:rsidRPr="0096437D">
        <w:rPr>
          <w:b/>
          <w:sz w:val="22"/>
        </w:rPr>
        <w:object w:dxaOrig="6060" w:dyaOrig="8747" w14:anchorId="5CB0BAF9">
          <v:shape id="_x0000_i1027" type="#_x0000_t75" style="width:286.5pt;height:306pt" o:ole="">
            <v:imagedata r:id="rId13" o:title=""/>
          </v:shape>
          <o:OLEObject Type="Embed" ProgID="Visio.Drawing.11" ShapeID="_x0000_i1027" DrawAspect="Content" ObjectID="_1563893620" r:id="rId16"/>
        </w:object>
      </w:r>
    </w:p>
    <w:p w14:paraId="12B06D76" w14:textId="5EFB9C8D" w:rsidR="00162C54" w:rsidRPr="00D85341" w:rsidRDefault="00162C54" w:rsidP="00162C54">
      <w:pPr>
        <w:jc w:val="center"/>
        <w:rPr>
          <w:b/>
          <w:lang w:eastAsia="ko-KR"/>
        </w:rPr>
      </w:pPr>
      <w:r w:rsidRPr="001734AF">
        <w:rPr>
          <w:b/>
          <w:sz w:val="22"/>
        </w:rPr>
        <w:t>Figure</w:t>
      </w:r>
      <w:r w:rsidR="00D451FE">
        <w:rPr>
          <w:b/>
          <w:sz w:val="22"/>
        </w:rPr>
        <w:t xml:space="preserve"> 3</w:t>
      </w:r>
      <w:r w:rsidR="00F6131D">
        <w:rPr>
          <w:b/>
          <w:sz w:val="22"/>
        </w:rPr>
        <w:t>.</w:t>
      </w:r>
      <w:r w:rsidRPr="001734AF">
        <w:rPr>
          <w:b/>
          <w:sz w:val="22"/>
        </w:rPr>
        <w:t xml:space="preserve"> </w:t>
      </w:r>
      <w:r>
        <w:rPr>
          <w:b/>
          <w:sz w:val="22"/>
        </w:rPr>
        <w:t>Allowing boundary CBs to belong to multiple CBGs,</w:t>
      </w:r>
      <w:r w:rsidR="00F91BAC">
        <w:rPr>
          <w:b/>
          <w:sz w:val="22"/>
        </w:rPr>
        <w:t xml:space="preserve"> e.g.</w:t>
      </w:r>
      <w:r w:rsidR="00F6131D">
        <w:rPr>
          <w:b/>
          <w:sz w:val="22"/>
        </w:rPr>
        <w:t xml:space="preserve">, </w:t>
      </w:r>
      <w:r w:rsidR="000251A9">
        <w:rPr>
          <w:b/>
          <w:sz w:val="22"/>
        </w:rPr>
        <w:t>with CBGs:</w:t>
      </w:r>
      <w:r w:rsidR="00D451FE">
        <w:rPr>
          <w:b/>
          <w:sz w:val="22"/>
        </w:rPr>
        <w:t xml:space="preserve"> CB0-10, CB10-20</w:t>
      </w:r>
      <w:r w:rsidR="00F91BAC">
        <w:rPr>
          <w:b/>
          <w:sz w:val="22"/>
        </w:rPr>
        <w:t>,</w:t>
      </w:r>
      <w:r w:rsidR="00961A3B">
        <w:rPr>
          <w:b/>
          <w:sz w:val="22"/>
        </w:rPr>
        <w:t xml:space="preserve"> CB20-30,</w:t>
      </w:r>
      <w:r w:rsidR="00F91BAC">
        <w:rPr>
          <w:b/>
          <w:sz w:val="22"/>
        </w:rPr>
        <w:t>…,</w:t>
      </w:r>
      <w:r w:rsidR="00D451FE">
        <w:rPr>
          <w:b/>
          <w:sz w:val="22"/>
        </w:rPr>
        <w:t xml:space="preserve"> reduces NACK</w:t>
      </w:r>
      <w:r w:rsidR="000251A9">
        <w:rPr>
          <w:b/>
          <w:sz w:val="22"/>
        </w:rPr>
        <w:t xml:space="preserve"> to only for</w:t>
      </w:r>
      <w:r w:rsidR="00D451FE">
        <w:rPr>
          <w:b/>
          <w:sz w:val="22"/>
        </w:rPr>
        <w:t xml:space="preserve"> </w:t>
      </w:r>
      <w:r w:rsidR="000251A9">
        <w:rPr>
          <w:b/>
          <w:sz w:val="22"/>
        </w:rPr>
        <w:t xml:space="preserve">the second </w:t>
      </w:r>
      <w:r w:rsidR="00D451FE">
        <w:rPr>
          <w:b/>
          <w:sz w:val="22"/>
        </w:rPr>
        <w:t>CBG</w:t>
      </w:r>
      <w:r w:rsidR="00961A3B">
        <w:rPr>
          <w:b/>
          <w:sz w:val="22"/>
        </w:rPr>
        <w:t xml:space="preserve">, requiring </w:t>
      </w:r>
      <w:r w:rsidR="00D451FE">
        <w:rPr>
          <w:b/>
          <w:sz w:val="22"/>
        </w:rPr>
        <w:t>re</w:t>
      </w:r>
      <w:r w:rsidR="00961A3B">
        <w:rPr>
          <w:b/>
          <w:sz w:val="22"/>
        </w:rPr>
        <w:t>-</w:t>
      </w:r>
      <w:r w:rsidR="00D451FE">
        <w:rPr>
          <w:b/>
          <w:sz w:val="22"/>
        </w:rPr>
        <w:t xml:space="preserve">transmission of only </w:t>
      </w:r>
      <w:r w:rsidR="00F6131D">
        <w:rPr>
          <w:b/>
          <w:sz w:val="22"/>
        </w:rPr>
        <w:t>11 CBs.</w:t>
      </w:r>
    </w:p>
    <w:p w14:paraId="6A3F409D" w14:textId="77777777" w:rsidR="00162C54" w:rsidRDefault="00162C54" w:rsidP="00E134BC">
      <w:pPr>
        <w:rPr>
          <w:lang w:val="en-GB"/>
        </w:rPr>
      </w:pPr>
    </w:p>
    <w:p w14:paraId="3D665686" w14:textId="010E2B04" w:rsidR="0042247D" w:rsidRDefault="00A54628" w:rsidP="0042247D">
      <w:pPr>
        <w:rPr>
          <w:b/>
          <w:lang w:val="en-GB"/>
        </w:rPr>
      </w:pPr>
      <w:bookmarkStart w:id="3" w:name="p3"/>
      <w:r>
        <w:rPr>
          <w:b/>
          <w:lang w:val="en-GB"/>
        </w:rPr>
        <w:t xml:space="preserve">Proposal </w:t>
      </w:r>
      <w:r w:rsidR="00D451FE">
        <w:rPr>
          <w:b/>
          <w:lang w:val="en-GB"/>
        </w:rPr>
        <w:t>4</w:t>
      </w:r>
      <w:r w:rsidR="00471B22">
        <w:rPr>
          <w:b/>
          <w:lang w:val="en-GB"/>
        </w:rPr>
        <w:t xml:space="preserve">: </w:t>
      </w:r>
      <w:r w:rsidR="00C346A2">
        <w:rPr>
          <w:b/>
          <w:lang w:val="en-GB"/>
        </w:rPr>
        <w:t xml:space="preserve">CBG </w:t>
      </w:r>
      <w:r w:rsidR="0042247D">
        <w:rPr>
          <w:b/>
          <w:lang w:val="en-GB"/>
        </w:rPr>
        <w:t>cons</w:t>
      </w:r>
      <w:r w:rsidR="00D451FE">
        <w:rPr>
          <w:b/>
          <w:lang w:val="en-GB"/>
        </w:rPr>
        <w:t>truction should allow</w:t>
      </w:r>
      <w:r w:rsidR="0042247D" w:rsidRPr="00471B22">
        <w:rPr>
          <w:b/>
          <w:lang w:val="en-GB"/>
        </w:rPr>
        <w:t xml:space="preserve"> </w:t>
      </w:r>
      <w:r w:rsidR="0042247D">
        <w:rPr>
          <w:b/>
          <w:lang w:val="en-GB"/>
        </w:rPr>
        <w:t xml:space="preserve">some </w:t>
      </w:r>
      <w:r w:rsidR="0042247D" w:rsidRPr="00471B22">
        <w:rPr>
          <w:b/>
          <w:lang w:val="en-GB"/>
        </w:rPr>
        <w:t>CB</w:t>
      </w:r>
      <w:r w:rsidR="0042247D">
        <w:rPr>
          <w:b/>
          <w:lang w:val="en-GB"/>
        </w:rPr>
        <w:t xml:space="preserve">s </w:t>
      </w:r>
      <w:r w:rsidR="001D4605">
        <w:rPr>
          <w:b/>
          <w:lang w:val="en-GB"/>
        </w:rPr>
        <w:t>to belong</w:t>
      </w:r>
      <w:r w:rsidR="0042247D">
        <w:rPr>
          <w:b/>
          <w:lang w:val="en-GB"/>
        </w:rPr>
        <w:t xml:space="preserve"> to multiple</w:t>
      </w:r>
      <w:r w:rsidR="0042247D" w:rsidRPr="00471B22">
        <w:rPr>
          <w:b/>
          <w:lang w:val="en-GB"/>
        </w:rPr>
        <w:t xml:space="preserve"> CBGs</w:t>
      </w:r>
      <w:r w:rsidR="0042247D">
        <w:rPr>
          <w:b/>
          <w:lang w:val="en-GB"/>
        </w:rPr>
        <w:t>.</w:t>
      </w:r>
    </w:p>
    <w:bookmarkEnd w:id="3"/>
    <w:p w14:paraId="7E5F9FAA" w14:textId="34AD5356" w:rsidR="002A0B89" w:rsidRDefault="00CD17EC" w:rsidP="00CD17EC">
      <w:pPr>
        <w:pStyle w:val="Heading1"/>
        <w:jc w:val="both"/>
      </w:pPr>
      <w:r>
        <w:t>4 Performance Comparison</w:t>
      </w:r>
    </w:p>
    <w:p w14:paraId="01550812" w14:textId="306DA1D3" w:rsidR="004C6528" w:rsidRDefault="00D451FE" w:rsidP="004C6528">
      <w:pPr>
        <w:rPr>
          <w:lang w:val="en-GB"/>
        </w:rPr>
      </w:pPr>
      <w:r>
        <w:rPr>
          <w:lang w:val="en-GB"/>
        </w:rPr>
        <w:t xml:space="preserve">We next illustrate performance gains with region-based CBG construction allowing CBs spanning region boundaries to belong to multiple CBGs. For simplicity in presentation, we consider </w:t>
      </w:r>
      <w:r w:rsidR="00C56ABC">
        <w:rPr>
          <w:lang w:val="en-GB"/>
        </w:rPr>
        <w:t xml:space="preserve">the scenario of </w:t>
      </w:r>
      <w:r w:rsidR="00CD17EC">
        <w:rPr>
          <w:lang w:val="en-GB"/>
        </w:rPr>
        <w:t xml:space="preserve">6 </w:t>
      </w:r>
      <w:r w:rsidR="009009B4">
        <w:rPr>
          <w:lang w:val="en-GB"/>
        </w:rPr>
        <w:t xml:space="preserve">uniform </w:t>
      </w:r>
      <w:r w:rsidR="00CD17EC">
        <w:rPr>
          <w:lang w:val="en-GB"/>
        </w:rPr>
        <w:t>regions, each having 2 symbols. Each region is</w:t>
      </w:r>
      <w:r>
        <w:rPr>
          <w:lang w:val="en-GB"/>
        </w:rPr>
        <w:t xml:space="preserve"> </w:t>
      </w:r>
      <w:r w:rsidR="00CD17EC">
        <w:rPr>
          <w:lang w:val="en-GB"/>
        </w:rPr>
        <w:t xml:space="preserve">likely to be affected by interference with equal probability and </w:t>
      </w:r>
      <w:r>
        <w:rPr>
          <w:lang w:val="en-GB"/>
        </w:rPr>
        <w:t xml:space="preserve">independently </w:t>
      </w:r>
      <w:r w:rsidR="00CD17EC">
        <w:rPr>
          <w:lang w:val="en-GB"/>
        </w:rPr>
        <w:t>of each other</w:t>
      </w:r>
      <w:r>
        <w:rPr>
          <w:lang w:val="en-GB"/>
        </w:rPr>
        <w:t>. If a region is so affected, all CBs in that region, whether</w:t>
      </w:r>
      <w:r w:rsidR="00C56ABC">
        <w:rPr>
          <w:lang w:val="en-GB"/>
        </w:rPr>
        <w:t xml:space="preserve"> whole or in-part, fail</w:t>
      </w:r>
      <w:r>
        <w:rPr>
          <w:lang w:val="en-GB"/>
        </w:rPr>
        <w:t>.</w:t>
      </w:r>
      <w:r w:rsidR="00CD17EC">
        <w:rPr>
          <w:lang w:val="en-GB"/>
        </w:rPr>
        <w:t xml:space="preserve"> The performance comparison between uniform CBG </w:t>
      </w:r>
      <w:r w:rsidR="004C6528" w:rsidRPr="00CD17EC">
        <w:rPr>
          <w:lang w:val="en-GB"/>
        </w:rPr>
        <w:t>and</w:t>
      </w:r>
      <w:r w:rsidR="004C6528">
        <w:rPr>
          <w:lang w:val="en-GB"/>
        </w:rPr>
        <w:t xml:space="preserve"> region-based CBG constructions is given in Figure 4. Except when the number of CBs is a multiple of </w:t>
      </w:r>
      <w:r w:rsidR="001D1AC5">
        <w:rPr>
          <w:lang w:val="en-GB"/>
        </w:rPr>
        <w:t xml:space="preserve">the </w:t>
      </w:r>
      <w:r w:rsidR="004C6528">
        <w:rPr>
          <w:lang w:val="en-GB"/>
        </w:rPr>
        <w:t>number of CBGs</w:t>
      </w:r>
      <w:r w:rsidR="00351728">
        <w:rPr>
          <w:lang w:val="en-GB"/>
        </w:rPr>
        <w:t xml:space="preserve"> and the number of regions (C</w:t>
      </w:r>
      <w:r w:rsidR="009009B4">
        <w:rPr>
          <w:lang w:val="en-GB"/>
        </w:rPr>
        <w:t>ase c)</w:t>
      </w:r>
      <w:r w:rsidR="004C6528">
        <w:rPr>
          <w:lang w:val="en-GB"/>
        </w:rPr>
        <w:t xml:space="preserve">, the region-based CBG construction provides </w:t>
      </w:r>
      <w:r w:rsidR="00FE4AB6">
        <w:rPr>
          <w:lang w:val="en-GB"/>
        </w:rPr>
        <w:t xml:space="preserve">sizable </w:t>
      </w:r>
      <w:r w:rsidR="004C6528">
        <w:rPr>
          <w:lang w:val="en-GB"/>
        </w:rPr>
        <w:t xml:space="preserve">reduction in the expected number of CBs needing </w:t>
      </w:r>
      <w:r w:rsidR="001D1AC5">
        <w:rPr>
          <w:lang w:val="en-GB"/>
        </w:rPr>
        <w:t>re-</w:t>
      </w:r>
      <w:r w:rsidR="004C6528">
        <w:rPr>
          <w:lang w:val="en-GB"/>
        </w:rPr>
        <w:t>transmission</w:t>
      </w:r>
      <w:r w:rsidR="00351728">
        <w:rPr>
          <w:lang w:val="en-GB"/>
        </w:rPr>
        <w:t xml:space="preserve"> (C</w:t>
      </w:r>
      <w:r w:rsidR="009009B4">
        <w:rPr>
          <w:lang w:val="en-GB"/>
        </w:rPr>
        <w:t>ase</w:t>
      </w:r>
      <w:r w:rsidR="001D1AC5">
        <w:rPr>
          <w:lang w:val="en-GB"/>
        </w:rPr>
        <w:t>s</w:t>
      </w:r>
      <w:r w:rsidR="009009B4">
        <w:rPr>
          <w:lang w:val="en-GB"/>
        </w:rPr>
        <w:t xml:space="preserve"> a and b)</w:t>
      </w:r>
      <w:r w:rsidR="004C6528">
        <w:rPr>
          <w:lang w:val="en-GB"/>
        </w:rPr>
        <w:t>. In Figure 5, the comparison is m</w:t>
      </w:r>
      <w:r w:rsidR="00434AA0">
        <w:rPr>
          <w:lang w:val="en-GB"/>
        </w:rPr>
        <w:t xml:space="preserve">ade for a given number of CBs, 50, and </w:t>
      </w:r>
      <w:r w:rsidR="004C6528">
        <w:rPr>
          <w:lang w:val="en-GB"/>
        </w:rPr>
        <w:t>a given region interference probability, 0.1</w:t>
      </w:r>
      <w:r w:rsidR="00434AA0">
        <w:rPr>
          <w:lang w:val="en-GB"/>
        </w:rPr>
        <w:t>, allowing for different number of CBGs</w:t>
      </w:r>
      <w:r w:rsidR="004C6528">
        <w:rPr>
          <w:lang w:val="en-GB"/>
        </w:rPr>
        <w:t>.</w:t>
      </w:r>
      <w:r w:rsidR="001D1AC5">
        <w:rPr>
          <w:lang w:val="en-GB"/>
        </w:rPr>
        <w:t xml:space="preserve"> As the number of CBGs is increased</w:t>
      </w:r>
      <w:r w:rsidR="004C6528">
        <w:rPr>
          <w:lang w:val="en-GB"/>
        </w:rPr>
        <w:t xml:space="preserve">, the performance of </w:t>
      </w:r>
      <w:r w:rsidR="001D1AC5">
        <w:rPr>
          <w:lang w:val="en-GB"/>
        </w:rPr>
        <w:t xml:space="preserve">the </w:t>
      </w:r>
      <w:r w:rsidR="004C6528">
        <w:rPr>
          <w:lang w:val="en-GB"/>
        </w:rPr>
        <w:t>uniform CBG constru</w:t>
      </w:r>
      <w:r w:rsidR="00C5013D">
        <w:rPr>
          <w:lang w:val="en-GB"/>
        </w:rPr>
        <w:t>ction improves but catches with that of the region-based CBG construction only with a very large number of CBGs</w:t>
      </w:r>
      <w:r w:rsidR="004C6528">
        <w:rPr>
          <w:lang w:val="en-GB"/>
        </w:rPr>
        <w:t>.</w:t>
      </w:r>
    </w:p>
    <w:p w14:paraId="3ACBDF9A" w14:textId="0E1651F0" w:rsidR="00C56ABC" w:rsidRPr="000251A9" w:rsidRDefault="00434AA0" w:rsidP="00D451FE">
      <w:pPr>
        <w:rPr>
          <w:b/>
          <w:lang w:val="en-GB"/>
        </w:rPr>
      </w:pPr>
      <w:r>
        <w:rPr>
          <w:b/>
          <w:lang w:val="en-GB"/>
        </w:rPr>
        <w:t>Observation 5: Region-based CBG construction</w:t>
      </w:r>
      <w:r w:rsidR="004615ED">
        <w:rPr>
          <w:b/>
          <w:lang w:val="en-GB"/>
        </w:rPr>
        <w:t xml:space="preserve"> with </w:t>
      </w:r>
      <w:r>
        <w:rPr>
          <w:b/>
          <w:lang w:val="en-GB"/>
        </w:rPr>
        <w:t xml:space="preserve">CBs </w:t>
      </w:r>
      <w:r w:rsidR="004615ED">
        <w:rPr>
          <w:b/>
          <w:lang w:val="en-GB"/>
        </w:rPr>
        <w:t>spanning region boundaries belonging</w:t>
      </w:r>
      <w:r>
        <w:rPr>
          <w:b/>
          <w:lang w:val="en-GB"/>
        </w:rPr>
        <w:t xml:space="preserve"> to multiple CBGs can provide sizable reduction in the</w:t>
      </w:r>
      <w:r w:rsidR="00351728">
        <w:rPr>
          <w:b/>
          <w:lang w:val="en-GB"/>
        </w:rPr>
        <w:t xml:space="preserve"> expected</w:t>
      </w:r>
      <w:r>
        <w:rPr>
          <w:b/>
          <w:lang w:val="en-GB"/>
        </w:rPr>
        <w:t xml:space="preserve"> number of CBs requiring re-transmission. </w:t>
      </w:r>
    </w:p>
    <w:p w14:paraId="5E48DC21" w14:textId="0B194304" w:rsidR="009D564C" w:rsidRPr="00CD17EC" w:rsidRDefault="004C6528" w:rsidP="00CD17EC">
      <w:pPr>
        <w:jc w:val="center"/>
        <w:rPr>
          <w:lang w:val="en-GB"/>
        </w:rPr>
      </w:pPr>
      <w:r w:rsidRPr="00C56ABC">
        <w:rPr>
          <w:noProof/>
        </w:rPr>
        <w:drawing>
          <wp:anchor distT="0" distB="0" distL="114300" distR="114300" simplePos="0" relativeHeight="251662336" behindDoc="0" locked="0" layoutInCell="1" allowOverlap="1" wp14:anchorId="5F0CC765" wp14:editId="087E8468">
            <wp:simplePos x="0" y="0"/>
            <wp:positionH relativeFrom="column">
              <wp:posOffset>3039745</wp:posOffset>
            </wp:positionH>
            <wp:positionV relativeFrom="paragraph">
              <wp:posOffset>20955</wp:posOffset>
            </wp:positionV>
            <wp:extent cx="3236595" cy="2423160"/>
            <wp:effectExtent l="0" t="0" r="1905" b="0"/>
            <wp:wrapSquare wrapText="bothSides"/>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36595" cy="2423160"/>
                    </a:xfrm>
                    <a:prstGeom prst="rect">
                      <a:avLst/>
                    </a:prstGeom>
                  </pic:spPr>
                </pic:pic>
              </a:graphicData>
            </a:graphic>
            <wp14:sizeRelH relativeFrom="margin">
              <wp14:pctWidth>0</wp14:pctWidth>
            </wp14:sizeRelH>
            <wp14:sizeRelV relativeFrom="margin">
              <wp14:pctHeight>0</wp14:pctHeight>
            </wp14:sizeRelV>
          </wp:anchor>
        </w:drawing>
      </w:r>
      <w:r w:rsidRPr="00C56ABC">
        <w:rPr>
          <w:noProof/>
        </w:rPr>
        <w:drawing>
          <wp:anchor distT="0" distB="0" distL="114300" distR="114300" simplePos="0" relativeHeight="251663360" behindDoc="1" locked="0" layoutInCell="1" allowOverlap="1" wp14:anchorId="3940B622" wp14:editId="5E630EA0">
            <wp:simplePos x="0" y="0"/>
            <wp:positionH relativeFrom="column">
              <wp:posOffset>-226060</wp:posOffset>
            </wp:positionH>
            <wp:positionV relativeFrom="paragraph">
              <wp:posOffset>0</wp:posOffset>
            </wp:positionV>
            <wp:extent cx="3221355" cy="2413635"/>
            <wp:effectExtent l="0" t="0" r="0" b="5715"/>
            <wp:wrapTight wrapText="bothSides">
              <wp:wrapPolygon edited="0">
                <wp:start x="0" y="0"/>
                <wp:lineTo x="0" y="21481"/>
                <wp:lineTo x="21459" y="21481"/>
                <wp:lineTo x="21459" y="0"/>
                <wp:lineTo x="0" y="0"/>
              </wp:wrapPolygon>
            </wp:wrapTight>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21355" cy="2413635"/>
                    </a:xfrm>
                    <a:prstGeom prst="rect">
                      <a:avLst/>
                    </a:prstGeom>
                  </pic:spPr>
                </pic:pic>
              </a:graphicData>
            </a:graphic>
            <wp14:sizeRelH relativeFrom="page">
              <wp14:pctWidth>0</wp14:pctWidth>
            </wp14:sizeRelH>
            <wp14:sizeRelV relativeFrom="page">
              <wp14:pctHeight>0</wp14:pctHeight>
            </wp14:sizeRelV>
          </wp:anchor>
        </w:drawing>
      </w:r>
      <w:r w:rsidR="009D564C" w:rsidRPr="009D564C">
        <w:rPr>
          <w:sz w:val="24"/>
          <w:szCs w:val="24"/>
          <w:lang w:val="en-GB"/>
        </w:rPr>
        <w:t>(a)</w:t>
      </w:r>
      <w:r w:rsidR="009D564C">
        <w:rPr>
          <w:lang w:val="en-GB"/>
        </w:rPr>
        <w:t xml:space="preserve"> </w:t>
      </w:r>
      <w:r w:rsidR="009D564C" w:rsidRPr="009D564C">
        <w:rPr>
          <w:lang w:val="en-GB"/>
        </w:rPr>
        <w:t xml:space="preserve">                  </w:t>
      </w:r>
      <w:r w:rsidR="00CD17EC">
        <w:rPr>
          <w:lang w:val="en-GB"/>
        </w:rPr>
        <w:t xml:space="preserve">                                                                                  </w:t>
      </w:r>
      <w:r w:rsidR="009D564C" w:rsidRPr="009D564C">
        <w:rPr>
          <w:sz w:val="24"/>
          <w:szCs w:val="24"/>
          <w:lang w:val="en-GB"/>
        </w:rPr>
        <w:t>(b)</w:t>
      </w:r>
    </w:p>
    <w:p w14:paraId="545F8273" w14:textId="19A0770E" w:rsidR="009D564C" w:rsidRDefault="009D564C" w:rsidP="009D564C">
      <w:pPr>
        <w:jc w:val="center"/>
        <w:rPr>
          <w:b/>
          <w:sz w:val="22"/>
        </w:rPr>
      </w:pPr>
      <w:r w:rsidRPr="009D564C">
        <w:rPr>
          <w:b/>
          <w:noProof/>
          <w:sz w:val="22"/>
        </w:rPr>
        <w:drawing>
          <wp:inline distT="0" distB="0" distL="0" distR="0" wp14:anchorId="3C04040A" wp14:editId="0EA72DA0">
            <wp:extent cx="3246120" cy="2432304"/>
            <wp:effectExtent l="0" t="0" r="0" b="6350"/>
            <wp:docPr id="3"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46120" cy="2432304"/>
                    </a:xfrm>
                    <a:prstGeom prst="rect">
                      <a:avLst/>
                    </a:prstGeom>
                  </pic:spPr>
                </pic:pic>
              </a:graphicData>
            </a:graphic>
          </wp:inline>
        </w:drawing>
      </w:r>
    </w:p>
    <w:p w14:paraId="134BBA82" w14:textId="35052762" w:rsidR="009D564C" w:rsidRPr="00CD17EC" w:rsidRDefault="009D564C" w:rsidP="00CD17EC">
      <w:pPr>
        <w:jc w:val="center"/>
        <w:rPr>
          <w:sz w:val="24"/>
          <w:szCs w:val="24"/>
        </w:rPr>
      </w:pPr>
      <w:r w:rsidRPr="009D564C">
        <w:rPr>
          <w:sz w:val="24"/>
          <w:szCs w:val="24"/>
          <w:lang w:val="en-GB"/>
        </w:rPr>
        <w:t>(c)</w:t>
      </w:r>
    </w:p>
    <w:p w14:paraId="2046EE29" w14:textId="4D34D6FD" w:rsidR="00D451FE" w:rsidRPr="009744C9" w:rsidRDefault="00C56ABC" w:rsidP="00D451FE">
      <w:pPr>
        <w:rPr>
          <w:lang w:val="en-GB"/>
        </w:rPr>
      </w:pPr>
      <w:r w:rsidRPr="001734AF">
        <w:rPr>
          <w:b/>
          <w:sz w:val="22"/>
        </w:rPr>
        <w:t>Figure</w:t>
      </w:r>
      <w:r>
        <w:rPr>
          <w:b/>
          <w:sz w:val="22"/>
        </w:rPr>
        <w:t xml:space="preserve"> 4. Performance comparison between uniform CBGs and region-based CBGs for a given number of CBGs, 12, </w:t>
      </w:r>
      <w:r w:rsidR="00351728">
        <w:rPr>
          <w:b/>
          <w:sz w:val="22"/>
        </w:rPr>
        <w:t>and a</w:t>
      </w:r>
      <w:r>
        <w:rPr>
          <w:b/>
          <w:sz w:val="22"/>
        </w:rPr>
        <w:t xml:space="preserve"> varying</w:t>
      </w:r>
      <w:r w:rsidR="009D564C">
        <w:rPr>
          <w:b/>
          <w:sz w:val="22"/>
        </w:rPr>
        <w:t xml:space="preserve"> number of CBs: (a) 21 (b) 30 (c) 36.</w:t>
      </w:r>
      <w:r w:rsidR="00CD17EC">
        <w:rPr>
          <w:b/>
          <w:sz w:val="22"/>
        </w:rPr>
        <w:t xml:space="preserve"> </w:t>
      </w:r>
    </w:p>
    <w:p w14:paraId="6E65E842" w14:textId="13BE2B31" w:rsidR="004C6528" w:rsidRDefault="004C6528" w:rsidP="004C6528">
      <w:pPr>
        <w:jc w:val="center"/>
        <w:rPr>
          <w:lang w:val="en-GB"/>
        </w:rPr>
      </w:pPr>
      <w:bookmarkStart w:id="4" w:name="p4"/>
      <w:r w:rsidRPr="004C6528">
        <w:rPr>
          <w:noProof/>
        </w:rPr>
        <w:drawing>
          <wp:inline distT="0" distB="0" distL="0" distR="0" wp14:anchorId="018BA4D0" wp14:editId="1ABC08EA">
            <wp:extent cx="3209544" cy="2404872"/>
            <wp:effectExtent l="0" t="0" r="0" b="0"/>
            <wp:docPr id="5"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09544" cy="2404872"/>
                    </a:xfrm>
                    <a:prstGeom prst="rect">
                      <a:avLst/>
                    </a:prstGeom>
                  </pic:spPr>
                </pic:pic>
              </a:graphicData>
            </a:graphic>
          </wp:inline>
        </w:drawing>
      </w:r>
    </w:p>
    <w:p w14:paraId="01376699" w14:textId="10C7FC9F" w:rsidR="004C6528" w:rsidRDefault="004C6528" w:rsidP="008D745F">
      <w:pPr>
        <w:rPr>
          <w:lang w:val="en-GB"/>
        </w:rPr>
      </w:pPr>
      <w:r w:rsidRPr="001734AF">
        <w:rPr>
          <w:b/>
          <w:sz w:val="22"/>
        </w:rPr>
        <w:t>Figure</w:t>
      </w:r>
      <w:r>
        <w:rPr>
          <w:b/>
          <w:sz w:val="22"/>
        </w:rPr>
        <w:t xml:space="preserve"> 5. Performance comparison between uniform CBGs and region-based CBGs for a given number of CBs, 50, </w:t>
      </w:r>
      <w:r w:rsidR="008677D1">
        <w:rPr>
          <w:b/>
          <w:sz w:val="22"/>
        </w:rPr>
        <w:t xml:space="preserve">and </w:t>
      </w:r>
      <w:r>
        <w:rPr>
          <w:b/>
          <w:sz w:val="22"/>
        </w:rPr>
        <w:t>re</w:t>
      </w:r>
      <w:r w:rsidR="00351728">
        <w:rPr>
          <w:b/>
          <w:sz w:val="22"/>
        </w:rPr>
        <w:t>gion-interference probability,</w:t>
      </w:r>
      <w:r>
        <w:rPr>
          <w:b/>
          <w:sz w:val="22"/>
        </w:rPr>
        <w:t xml:space="preserve"> 0.1.</w:t>
      </w:r>
    </w:p>
    <w:p w14:paraId="13FF585A" w14:textId="2DECBEF1" w:rsidR="009D564C" w:rsidRPr="00CD17EC" w:rsidRDefault="004C6528" w:rsidP="008D745F">
      <w:pPr>
        <w:rPr>
          <w:lang w:val="en-GB"/>
        </w:rPr>
      </w:pPr>
      <w:r>
        <w:rPr>
          <w:lang w:val="en-GB"/>
        </w:rPr>
        <w:t xml:space="preserve"> </w:t>
      </w:r>
    </w:p>
    <w:bookmarkEnd w:id="4"/>
    <w:p w14:paraId="2F77E7C7" w14:textId="0472DA05" w:rsidR="00491EEE" w:rsidRDefault="00CD17EC" w:rsidP="00843B71">
      <w:pPr>
        <w:pStyle w:val="Heading1"/>
        <w:jc w:val="both"/>
      </w:pPr>
      <w:r>
        <w:t>5</w:t>
      </w:r>
      <w:r w:rsidR="00641519">
        <w:t xml:space="preserve"> </w:t>
      </w:r>
      <w:r w:rsidR="00491EEE" w:rsidRPr="00E05A22">
        <w:t xml:space="preserve">Conclusions </w:t>
      </w:r>
    </w:p>
    <w:p w14:paraId="731D85CD" w14:textId="0272EC25" w:rsidR="00D74635" w:rsidRDefault="00A90010" w:rsidP="006C2EC2">
      <w:pPr>
        <w:rPr>
          <w:lang w:val="en-GB"/>
        </w:rPr>
      </w:pPr>
      <w:r>
        <w:rPr>
          <w:lang w:val="en-GB"/>
        </w:rPr>
        <w:t>In this contribution</w:t>
      </w:r>
      <w:r w:rsidR="00474DBC">
        <w:rPr>
          <w:lang w:val="en-GB"/>
        </w:rPr>
        <w:t xml:space="preserve">, we </w:t>
      </w:r>
      <w:r w:rsidR="00C82A30">
        <w:rPr>
          <w:lang w:val="en-GB"/>
        </w:rPr>
        <w:t>con</w:t>
      </w:r>
      <w:r w:rsidR="00C50315">
        <w:rPr>
          <w:lang w:val="en-GB"/>
        </w:rPr>
        <w:t>sidered some aspects of CBG construction (in particular, region-based CBGs)</w:t>
      </w:r>
      <w:r w:rsidR="00C346A2">
        <w:rPr>
          <w:lang w:val="en-GB"/>
        </w:rPr>
        <w:t>, and have</w:t>
      </w:r>
      <w:r w:rsidR="00C82A30">
        <w:rPr>
          <w:lang w:val="en-GB"/>
        </w:rPr>
        <w:t xml:space="preserve"> the foll</w:t>
      </w:r>
      <w:r w:rsidR="00C346A2">
        <w:rPr>
          <w:lang w:val="en-GB"/>
        </w:rPr>
        <w:t>owing proposals</w:t>
      </w:r>
      <w:r w:rsidR="005A45E4">
        <w:rPr>
          <w:lang w:val="en-GB"/>
        </w:rPr>
        <w:t>/observations:</w:t>
      </w:r>
    </w:p>
    <w:p w14:paraId="40B6C260" w14:textId="500BEABF" w:rsidR="004615ED" w:rsidRDefault="004615ED" w:rsidP="004615ED">
      <w:pPr>
        <w:rPr>
          <w:b/>
          <w:lang w:val="en-GB"/>
        </w:rPr>
      </w:pPr>
      <w:r>
        <w:rPr>
          <w:b/>
          <w:lang w:val="en-GB"/>
        </w:rPr>
        <w:t>Observation 1: Different regions of a slot can have different level</w:t>
      </w:r>
      <w:r w:rsidR="000F145F">
        <w:rPr>
          <w:b/>
          <w:lang w:val="en-GB"/>
        </w:rPr>
        <w:t>s</w:t>
      </w:r>
      <w:r>
        <w:rPr>
          <w:b/>
          <w:lang w:val="en-GB"/>
        </w:rPr>
        <w:t xml:space="preserve"> of </w:t>
      </w:r>
      <w:r w:rsidRPr="00487369">
        <w:rPr>
          <w:b/>
          <w:i/>
          <w:lang w:val="en-GB"/>
        </w:rPr>
        <w:t>known</w:t>
      </w:r>
      <w:r>
        <w:rPr>
          <w:b/>
          <w:lang w:val="en-GB"/>
        </w:rPr>
        <w:t xml:space="preserve"> performance impairments, e.g., interference, channel estimation accuracy.</w:t>
      </w:r>
    </w:p>
    <w:p w14:paraId="6039CA89" w14:textId="77777777" w:rsidR="004615ED" w:rsidRDefault="004615ED" w:rsidP="004615ED">
      <w:pPr>
        <w:rPr>
          <w:b/>
          <w:lang w:val="en-GB"/>
        </w:rPr>
      </w:pPr>
      <w:r>
        <w:rPr>
          <w:b/>
          <w:lang w:val="en-GB"/>
        </w:rPr>
        <w:t>Proposal 2: CBG construction should allow for different regions of a slot to have different number of CBs and/or different number of CBGs.</w:t>
      </w:r>
    </w:p>
    <w:p w14:paraId="599918EB" w14:textId="77777777" w:rsidR="004615ED" w:rsidRDefault="004615ED" w:rsidP="004615ED">
      <w:pPr>
        <w:rPr>
          <w:b/>
          <w:lang w:val="en-GB"/>
        </w:rPr>
      </w:pPr>
      <w:r>
        <w:rPr>
          <w:b/>
          <w:lang w:val="en-GB"/>
        </w:rPr>
        <w:t>Proposal 3: CBG construction within each region of a pre-configured number of allowed regions should have as uniform distribution of CBs per CBGs as possible.</w:t>
      </w:r>
    </w:p>
    <w:p w14:paraId="27FB695B" w14:textId="55A8CBF2" w:rsidR="004615ED" w:rsidRDefault="004615ED" w:rsidP="004615ED">
      <w:pPr>
        <w:rPr>
          <w:b/>
          <w:lang w:val="en-GB"/>
        </w:rPr>
      </w:pPr>
      <w:r>
        <w:rPr>
          <w:b/>
          <w:lang w:val="en-GB"/>
        </w:rPr>
        <w:t>Proposal 4: CBG construction should allow</w:t>
      </w:r>
      <w:r w:rsidRPr="00471B22">
        <w:rPr>
          <w:b/>
          <w:lang w:val="en-GB"/>
        </w:rPr>
        <w:t xml:space="preserve"> </w:t>
      </w:r>
      <w:r>
        <w:rPr>
          <w:b/>
          <w:lang w:val="en-GB"/>
        </w:rPr>
        <w:t xml:space="preserve">some </w:t>
      </w:r>
      <w:r w:rsidRPr="00471B22">
        <w:rPr>
          <w:b/>
          <w:lang w:val="en-GB"/>
        </w:rPr>
        <w:t>CB</w:t>
      </w:r>
      <w:r w:rsidR="001D4605">
        <w:rPr>
          <w:b/>
          <w:lang w:val="en-GB"/>
        </w:rPr>
        <w:t>s to belong</w:t>
      </w:r>
      <w:r>
        <w:rPr>
          <w:b/>
          <w:lang w:val="en-GB"/>
        </w:rPr>
        <w:t xml:space="preserve"> to multiple</w:t>
      </w:r>
      <w:r w:rsidRPr="00471B22">
        <w:rPr>
          <w:b/>
          <w:lang w:val="en-GB"/>
        </w:rPr>
        <w:t xml:space="preserve"> CBGs</w:t>
      </w:r>
      <w:r>
        <w:rPr>
          <w:b/>
          <w:lang w:val="en-GB"/>
        </w:rPr>
        <w:t>.</w:t>
      </w:r>
    </w:p>
    <w:p w14:paraId="2B19A0A2" w14:textId="4F2A84A0" w:rsidR="000564CB" w:rsidRDefault="004615ED" w:rsidP="004615ED">
      <w:pPr>
        <w:rPr>
          <w:b/>
          <w:lang w:val="en-GB"/>
        </w:rPr>
      </w:pPr>
      <w:r>
        <w:rPr>
          <w:b/>
          <w:lang w:val="en-GB"/>
        </w:rPr>
        <w:t xml:space="preserve">Observation 5: Region-based CBG construction with CBs spanning region boundaries belonging to multiple CBGs can provide sizable reduction in the </w:t>
      </w:r>
      <w:r w:rsidR="00351728">
        <w:rPr>
          <w:b/>
          <w:lang w:val="en-GB"/>
        </w:rPr>
        <w:t xml:space="preserve">expected </w:t>
      </w:r>
      <w:r>
        <w:rPr>
          <w:b/>
          <w:lang w:val="en-GB"/>
        </w:rPr>
        <w:t xml:space="preserve">number of CBs requiring re-transmission. </w:t>
      </w:r>
    </w:p>
    <w:p w14:paraId="05672CF7" w14:textId="1364E206" w:rsidR="00273D5D" w:rsidRPr="000A64D8" w:rsidRDefault="00641519" w:rsidP="00273D5D">
      <w:pPr>
        <w:pStyle w:val="Heading1"/>
        <w:ind w:left="432" w:hanging="432"/>
        <w:rPr>
          <w:lang w:val="en-US"/>
        </w:rPr>
      </w:pPr>
      <w:r>
        <w:rPr>
          <w:lang w:val="en-US"/>
        </w:rPr>
        <w:t xml:space="preserve">4 </w:t>
      </w:r>
      <w:r w:rsidR="00273D5D" w:rsidRPr="000A64D8">
        <w:rPr>
          <w:lang w:val="en-US"/>
        </w:rPr>
        <w:t>References</w:t>
      </w:r>
    </w:p>
    <w:p w14:paraId="6234C2F0" w14:textId="1C402AD7" w:rsidR="00273D5D" w:rsidRDefault="00273D5D" w:rsidP="00AB54AE">
      <w:pPr>
        <w:numPr>
          <w:ilvl w:val="0"/>
          <w:numId w:val="5"/>
        </w:numPr>
        <w:spacing w:before="100" w:beforeAutospacing="1" w:after="100" w:afterAutospacing="1"/>
        <w:ind w:left="562" w:hanging="562"/>
        <w:rPr>
          <w:szCs w:val="22"/>
        </w:rPr>
      </w:pPr>
      <w:bookmarkStart w:id="5" w:name="_Ref474112695"/>
      <w:r>
        <w:rPr>
          <w:szCs w:val="22"/>
        </w:rPr>
        <w:t xml:space="preserve">Chairman’s Notes, RAN1 </w:t>
      </w:r>
      <w:r w:rsidR="00B713DE">
        <w:rPr>
          <w:szCs w:val="22"/>
        </w:rPr>
        <w:t>#89</w:t>
      </w:r>
      <w:r>
        <w:rPr>
          <w:szCs w:val="22"/>
        </w:rPr>
        <w:t xml:space="preserve">, </w:t>
      </w:r>
      <w:r w:rsidR="00CE28A1">
        <w:rPr>
          <w:szCs w:val="22"/>
        </w:rPr>
        <w:t>May 2017, Hangzhou, China</w:t>
      </w:r>
      <w:r>
        <w:rPr>
          <w:szCs w:val="22"/>
        </w:rPr>
        <w:t>.</w:t>
      </w:r>
      <w:bookmarkEnd w:id="5"/>
    </w:p>
    <w:p w14:paraId="0D99B966" w14:textId="142A4972" w:rsidR="00354FC8" w:rsidRPr="00AF10E6" w:rsidRDefault="00AF10E6" w:rsidP="00AF10E6">
      <w:pPr>
        <w:numPr>
          <w:ilvl w:val="0"/>
          <w:numId w:val="5"/>
        </w:numPr>
        <w:spacing w:before="100" w:beforeAutospacing="1" w:after="100" w:afterAutospacing="1"/>
        <w:ind w:left="562" w:hanging="562"/>
        <w:rPr>
          <w:szCs w:val="22"/>
        </w:rPr>
      </w:pPr>
      <w:r>
        <w:rPr>
          <w:szCs w:val="22"/>
        </w:rPr>
        <w:t>Chairman’s Notes, RAN1 #89ah, June 2017, Qingdao, China.</w:t>
      </w:r>
    </w:p>
    <w:p w14:paraId="2F2950D2" w14:textId="7ED52E30" w:rsidR="009744C9" w:rsidRPr="004B4423" w:rsidRDefault="006A3547" w:rsidP="006A3547">
      <w:pPr>
        <w:numPr>
          <w:ilvl w:val="0"/>
          <w:numId w:val="5"/>
        </w:numPr>
        <w:spacing w:before="100" w:beforeAutospacing="1" w:after="100" w:afterAutospacing="1"/>
        <w:rPr>
          <w:szCs w:val="22"/>
        </w:rPr>
      </w:pPr>
      <w:r>
        <w:t>R1-17</w:t>
      </w:r>
      <w:r w:rsidRPr="006A3547">
        <w:t>13446</w:t>
      </w:r>
      <w:r w:rsidR="009744C9">
        <w:t>,</w:t>
      </w:r>
      <w:r w:rsidR="00EA1E30">
        <w:t xml:space="preserve"> “</w:t>
      </w:r>
      <w:r w:rsidR="00070DBA" w:rsidRPr="00070DBA">
        <w:t>DCI considerations for CBG-based (re)-Transmissions</w:t>
      </w:r>
      <w:r w:rsidR="00070DBA">
        <w:t>,</w:t>
      </w:r>
      <w:r w:rsidR="009744C9">
        <w:t>”</w:t>
      </w:r>
      <w:r w:rsidR="00070DBA">
        <w:t xml:space="preserve"> </w:t>
      </w:r>
      <w:r w:rsidR="000F4036">
        <w:t>Qualcomm, 3GPP TSG-RAN WG1 #90</w:t>
      </w:r>
      <w:r w:rsidR="009744C9" w:rsidRPr="00D16291">
        <w:t>.</w:t>
      </w:r>
    </w:p>
    <w:p w14:paraId="195E098C" w14:textId="516862CD" w:rsidR="004B4423" w:rsidRPr="00172F5C" w:rsidRDefault="006A3547" w:rsidP="006A3547">
      <w:pPr>
        <w:numPr>
          <w:ilvl w:val="0"/>
          <w:numId w:val="5"/>
        </w:numPr>
        <w:spacing w:before="100" w:beforeAutospacing="1" w:after="100" w:afterAutospacing="1"/>
        <w:rPr>
          <w:szCs w:val="22"/>
        </w:rPr>
      </w:pPr>
      <w:r>
        <w:t>R1-1713447</w:t>
      </w:r>
      <w:r w:rsidR="004B4423">
        <w:t>, “U</w:t>
      </w:r>
      <w:r w:rsidR="004B4423" w:rsidRPr="00070DBA">
        <w:t>CI considerations for CBG-based (re)-Transmissions</w:t>
      </w:r>
      <w:r w:rsidR="000F4036">
        <w:t>,” Qualcomm, 3GPP TSG-RAN WG1 #90</w:t>
      </w:r>
      <w:r w:rsidR="004B4423" w:rsidRPr="00D16291">
        <w:t>.</w:t>
      </w:r>
    </w:p>
    <w:p w14:paraId="4B3EB434" w14:textId="77777777" w:rsidR="004B4423" w:rsidRPr="00172F5C" w:rsidRDefault="004B4423" w:rsidP="004B4423">
      <w:pPr>
        <w:spacing w:before="100" w:beforeAutospacing="1" w:after="100" w:afterAutospacing="1"/>
        <w:rPr>
          <w:szCs w:val="22"/>
        </w:rPr>
      </w:pPr>
    </w:p>
    <w:p w14:paraId="793A2DA6" w14:textId="77777777" w:rsidR="00354FC8" w:rsidRPr="00172F5C" w:rsidRDefault="00354FC8" w:rsidP="00354FC8">
      <w:pPr>
        <w:spacing w:before="100" w:beforeAutospacing="1" w:after="100" w:afterAutospacing="1"/>
        <w:rPr>
          <w:szCs w:val="22"/>
        </w:rPr>
      </w:pPr>
    </w:p>
    <w:p w14:paraId="20972ECC" w14:textId="52112F0E" w:rsidR="00C82A30" w:rsidRDefault="00C82A30" w:rsidP="006C2EC2">
      <w:pPr>
        <w:rPr>
          <w:lang w:val="en-GB"/>
        </w:rPr>
      </w:pPr>
    </w:p>
    <w:p w14:paraId="0117461B" w14:textId="77777777" w:rsidR="00C77113" w:rsidRPr="00526653" w:rsidRDefault="00C77113" w:rsidP="00FD3822">
      <w:pPr>
        <w:jc w:val="center"/>
        <w:rPr>
          <w:lang w:val="en-GB"/>
        </w:rPr>
      </w:pPr>
    </w:p>
    <w:sectPr w:rsidR="00C77113" w:rsidRPr="00526653"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E5BF4" w14:textId="77777777" w:rsidR="00E85EE6" w:rsidRDefault="00E85EE6">
      <w:r>
        <w:separator/>
      </w:r>
    </w:p>
  </w:endnote>
  <w:endnote w:type="continuationSeparator" w:id="0">
    <w:p w14:paraId="144B07B9" w14:textId="77777777" w:rsidR="00E85EE6" w:rsidRDefault="00E85EE6">
      <w:r>
        <w:continuationSeparator/>
      </w:r>
    </w:p>
  </w:endnote>
  <w:endnote w:type="continuationNotice" w:id="1">
    <w:p w14:paraId="06563637" w14:textId="77777777" w:rsidR="00E85EE6" w:rsidRDefault="00E85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4321E6" w:rsidRDefault="004321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21E6" w:rsidRDefault="004321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2007AF71" w:rsidR="004321E6" w:rsidRDefault="004321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424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424A">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0F28D" w14:textId="77777777" w:rsidR="00E85EE6" w:rsidRDefault="00E85EE6">
      <w:r>
        <w:separator/>
      </w:r>
    </w:p>
  </w:footnote>
  <w:footnote w:type="continuationSeparator" w:id="0">
    <w:p w14:paraId="36C6E1C3" w14:textId="77777777" w:rsidR="00E85EE6" w:rsidRDefault="00E85EE6">
      <w:r>
        <w:continuationSeparator/>
      </w:r>
    </w:p>
  </w:footnote>
  <w:footnote w:type="continuationNotice" w:id="1">
    <w:p w14:paraId="69EF7F74" w14:textId="77777777" w:rsidR="00E85EE6" w:rsidRDefault="00E85E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4321E6" w:rsidRDefault="004321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1A7366"/>
    <w:multiLevelType w:val="hybridMultilevel"/>
    <w:tmpl w:val="83ACC6D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7212619"/>
    <w:multiLevelType w:val="hybridMultilevel"/>
    <w:tmpl w:val="6BE82432"/>
    <w:lvl w:ilvl="0" w:tplc="5532CDCA">
      <w:start w:val="1"/>
      <w:numFmt w:val="lowerLetter"/>
      <w:lvlText w:val="(%1)"/>
      <w:lvlJc w:val="left"/>
      <w:pPr>
        <w:ind w:left="3528" w:hanging="360"/>
      </w:pPr>
      <w:rPr>
        <w:rFonts w:hint="default"/>
      </w:rPr>
    </w:lvl>
    <w:lvl w:ilvl="1" w:tplc="04090019" w:tentative="1">
      <w:start w:val="1"/>
      <w:numFmt w:val="lowerLetter"/>
      <w:lvlText w:val="%2."/>
      <w:lvlJc w:val="left"/>
      <w:pPr>
        <w:ind w:left="4248" w:hanging="360"/>
      </w:pPr>
    </w:lvl>
    <w:lvl w:ilvl="2" w:tplc="0409001B" w:tentative="1">
      <w:start w:val="1"/>
      <w:numFmt w:val="lowerRoman"/>
      <w:lvlText w:val="%3."/>
      <w:lvlJc w:val="right"/>
      <w:pPr>
        <w:ind w:left="4968" w:hanging="180"/>
      </w:pPr>
    </w:lvl>
    <w:lvl w:ilvl="3" w:tplc="0409000F" w:tentative="1">
      <w:start w:val="1"/>
      <w:numFmt w:val="decimal"/>
      <w:lvlText w:val="%4."/>
      <w:lvlJc w:val="left"/>
      <w:pPr>
        <w:ind w:left="5688" w:hanging="360"/>
      </w:pPr>
    </w:lvl>
    <w:lvl w:ilvl="4" w:tplc="04090019" w:tentative="1">
      <w:start w:val="1"/>
      <w:numFmt w:val="lowerLetter"/>
      <w:lvlText w:val="%5."/>
      <w:lvlJc w:val="left"/>
      <w:pPr>
        <w:ind w:left="6408" w:hanging="360"/>
      </w:pPr>
    </w:lvl>
    <w:lvl w:ilvl="5" w:tplc="0409001B" w:tentative="1">
      <w:start w:val="1"/>
      <w:numFmt w:val="lowerRoman"/>
      <w:lvlText w:val="%6."/>
      <w:lvlJc w:val="right"/>
      <w:pPr>
        <w:ind w:left="7128" w:hanging="180"/>
      </w:pPr>
    </w:lvl>
    <w:lvl w:ilvl="6" w:tplc="0409000F" w:tentative="1">
      <w:start w:val="1"/>
      <w:numFmt w:val="decimal"/>
      <w:lvlText w:val="%7."/>
      <w:lvlJc w:val="left"/>
      <w:pPr>
        <w:ind w:left="7848" w:hanging="360"/>
      </w:pPr>
    </w:lvl>
    <w:lvl w:ilvl="7" w:tplc="04090019" w:tentative="1">
      <w:start w:val="1"/>
      <w:numFmt w:val="lowerLetter"/>
      <w:lvlText w:val="%8."/>
      <w:lvlJc w:val="left"/>
      <w:pPr>
        <w:ind w:left="8568" w:hanging="360"/>
      </w:pPr>
    </w:lvl>
    <w:lvl w:ilvl="8" w:tplc="0409001B" w:tentative="1">
      <w:start w:val="1"/>
      <w:numFmt w:val="lowerRoman"/>
      <w:lvlText w:val="%9."/>
      <w:lvlJc w:val="right"/>
      <w:pPr>
        <w:ind w:left="9288" w:hanging="180"/>
      </w:pPr>
    </w:lvl>
  </w:abstractNum>
  <w:abstractNum w:abstractNumId="6" w15:restartNumberingAfterBreak="0">
    <w:nsid w:val="3955413E"/>
    <w:multiLevelType w:val="hybridMultilevel"/>
    <w:tmpl w:val="1BFAAE5C"/>
    <w:lvl w:ilvl="0" w:tplc="38E88C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33F70CE"/>
    <w:multiLevelType w:val="hybridMultilevel"/>
    <w:tmpl w:val="4A54E6D8"/>
    <w:lvl w:ilvl="0" w:tplc="0A165F0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10"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num w:numId="1">
    <w:abstractNumId w:val="4"/>
  </w:num>
  <w:num w:numId="2">
    <w:abstractNumId w:val="3"/>
  </w:num>
  <w:num w:numId="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2"/>
  </w:num>
  <w:num w:numId="8">
    <w:abstractNumId w:val="8"/>
  </w:num>
  <w:num w:numId="9">
    <w:abstractNumId w:val="1"/>
  </w:num>
  <w:num w:numId="10">
    <w:abstractNumId w:val="5"/>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328"/>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1A9"/>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0D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29DD"/>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0DBA"/>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4F74"/>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313"/>
    <w:rsid w:val="000F145F"/>
    <w:rsid w:val="000F15E6"/>
    <w:rsid w:val="000F1CF3"/>
    <w:rsid w:val="000F2944"/>
    <w:rsid w:val="000F2AD9"/>
    <w:rsid w:val="000F2B9E"/>
    <w:rsid w:val="000F4036"/>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3B5"/>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AC5"/>
    <w:rsid w:val="001D1CFF"/>
    <w:rsid w:val="001D2017"/>
    <w:rsid w:val="001D214F"/>
    <w:rsid w:val="001D287A"/>
    <w:rsid w:val="001D2E6C"/>
    <w:rsid w:val="001D333B"/>
    <w:rsid w:val="001D4605"/>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4DF"/>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7206"/>
    <w:rsid w:val="00217441"/>
    <w:rsid w:val="002202EC"/>
    <w:rsid w:val="00221777"/>
    <w:rsid w:val="00221C5D"/>
    <w:rsid w:val="002226B5"/>
    <w:rsid w:val="00222DEC"/>
    <w:rsid w:val="0022312E"/>
    <w:rsid w:val="00223287"/>
    <w:rsid w:val="00223833"/>
    <w:rsid w:val="00223ACD"/>
    <w:rsid w:val="00223F20"/>
    <w:rsid w:val="00223F6C"/>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06E"/>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4E0"/>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B03CD"/>
    <w:rsid w:val="002B07BF"/>
    <w:rsid w:val="002B0805"/>
    <w:rsid w:val="002B0FD5"/>
    <w:rsid w:val="002B11A0"/>
    <w:rsid w:val="002B26D2"/>
    <w:rsid w:val="002B2C92"/>
    <w:rsid w:val="002B318B"/>
    <w:rsid w:val="002B3BD3"/>
    <w:rsid w:val="002B3D90"/>
    <w:rsid w:val="002B475D"/>
    <w:rsid w:val="002B4B75"/>
    <w:rsid w:val="002B4FE2"/>
    <w:rsid w:val="002B5B4E"/>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623"/>
    <w:rsid w:val="00320B56"/>
    <w:rsid w:val="00320F94"/>
    <w:rsid w:val="003224D3"/>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13C7"/>
    <w:rsid w:val="00351728"/>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2F2E"/>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278B"/>
    <w:rsid w:val="003B3F9B"/>
    <w:rsid w:val="003B47B7"/>
    <w:rsid w:val="003B4FDE"/>
    <w:rsid w:val="003B5051"/>
    <w:rsid w:val="003B570F"/>
    <w:rsid w:val="003B5BA9"/>
    <w:rsid w:val="003B5E30"/>
    <w:rsid w:val="003B6256"/>
    <w:rsid w:val="003B640C"/>
    <w:rsid w:val="003B6FCB"/>
    <w:rsid w:val="003C00D9"/>
    <w:rsid w:val="003C0FB1"/>
    <w:rsid w:val="003C110D"/>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7D"/>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1E6"/>
    <w:rsid w:val="0043270B"/>
    <w:rsid w:val="00432E20"/>
    <w:rsid w:val="00432F8F"/>
    <w:rsid w:val="0043424B"/>
    <w:rsid w:val="0043480E"/>
    <w:rsid w:val="00434AA0"/>
    <w:rsid w:val="004355EB"/>
    <w:rsid w:val="00435602"/>
    <w:rsid w:val="00435635"/>
    <w:rsid w:val="004356FA"/>
    <w:rsid w:val="00435CCF"/>
    <w:rsid w:val="004365C5"/>
    <w:rsid w:val="00437179"/>
    <w:rsid w:val="004371AB"/>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5ED"/>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04A"/>
    <w:rsid w:val="0047765A"/>
    <w:rsid w:val="0047786D"/>
    <w:rsid w:val="00477FF7"/>
    <w:rsid w:val="00480F17"/>
    <w:rsid w:val="004813F5"/>
    <w:rsid w:val="00481607"/>
    <w:rsid w:val="00482467"/>
    <w:rsid w:val="00483D11"/>
    <w:rsid w:val="00483D84"/>
    <w:rsid w:val="0048406D"/>
    <w:rsid w:val="004840BF"/>
    <w:rsid w:val="00484498"/>
    <w:rsid w:val="00484C46"/>
    <w:rsid w:val="00485E8A"/>
    <w:rsid w:val="00485E94"/>
    <w:rsid w:val="004860F5"/>
    <w:rsid w:val="00486EEB"/>
    <w:rsid w:val="0048729C"/>
    <w:rsid w:val="00487369"/>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423"/>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28E"/>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CF9"/>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5E4"/>
    <w:rsid w:val="005A4A64"/>
    <w:rsid w:val="005A50FE"/>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B7DB8"/>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0"/>
    <w:rsid w:val="005E7342"/>
    <w:rsid w:val="005E7698"/>
    <w:rsid w:val="005E77D7"/>
    <w:rsid w:val="005E7CAF"/>
    <w:rsid w:val="005F0722"/>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09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1E33"/>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3547"/>
    <w:rsid w:val="006A40F0"/>
    <w:rsid w:val="006A415E"/>
    <w:rsid w:val="006A46C7"/>
    <w:rsid w:val="006A49B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7C0"/>
    <w:rsid w:val="006D1F1A"/>
    <w:rsid w:val="006D21FF"/>
    <w:rsid w:val="006D493C"/>
    <w:rsid w:val="006D4E86"/>
    <w:rsid w:val="006D5FEE"/>
    <w:rsid w:val="006D5FEF"/>
    <w:rsid w:val="006D64D6"/>
    <w:rsid w:val="006D6A4C"/>
    <w:rsid w:val="006D6FC8"/>
    <w:rsid w:val="006E0240"/>
    <w:rsid w:val="006E0B10"/>
    <w:rsid w:val="006E0B16"/>
    <w:rsid w:val="006E22CC"/>
    <w:rsid w:val="006E3B45"/>
    <w:rsid w:val="006E4D37"/>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D44"/>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24A"/>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0EBA"/>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34"/>
    <w:rsid w:val="00821D40"/>
    <w:rsid w:val="008237B2"/>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677D1"/>
    <w:rsid w:val="00870793"/>
    <w:rsid w:val="00871EED"/>
    <w:rsid w:val="008734E7"/>
    <w:rsid w:val="0087404E"/>
    <w:rsid w:val="008744DD"/>
    <w:rsid w:val="00874C48"/>
    <w:rsid w:val="0087504C"/>
    <w:rsid w:val="008751A1"/>
    <w:rsid w:val="00875394"/>
    <w:rsid w:val="00875905"/>
    <w:rsid w:val="00876083"/>
    <w:rsid w:val="0087676B"/>
    <w:rsid w:val="00876B38"/>
    <w:rsid w:val="00876C1A"/>
    <w:rsid w:val="00876C93"/>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5FE2"/>
    <w:rsid w:val="008A621F"/>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3D3"/>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AF5"/>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9B4"/>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A3B"/>
    <w:rsid w:val="00961B8B"/>
    <w:rsid w:val="00961BF6"/>
    <w:rsid w:val="00961D3F"/>
    <w:rsid w:val="00962AA0"/>
    <w:rsid w:val="00962CB3"/>
    <w:rsid w:val="00963164"/>
    <w:rsid w:val="00963275"/>
    <w:rsid w:val="0096347D"/>
    <w:rsid w:val="00963CD6"/>
    <w:rsid w:val="0096437D"/>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44C9"/>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64C"/>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D28"/>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010"/>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4AE"/>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0E6"/>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17BA"/>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526"/>
    <w:rsid w:val="00B67D22"/>
    <w:rsid w:val="00B70068"/>
    <w:rsid w:val="00B701B4"/>
    <w:rsid w:val="00B70288"/>
    <w:rsid w:val="00B7049B"/>
    <w:rsid w:val="00B70EDB"/>
    <w:rsid w:val="00B713DE"/>
    <w:rsid w:val="00B7165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8C2"/>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501"/>
    <w:rsid w:val="00BF60E3"/>
    <w:rsid w:val="00BF67D2"/>
    <w:rsid w:val="00BF6E9F"/>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546"/>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3D"/>
    <w:rsid w:val="00C5017F"/>
    <w:rsid w:val="00C50315"/>
    <w:rsid w:val="00C51B51"/>
    <w:rsid w:val="00C51F1A"/>
    <w:rsid w:val="00C522F8"/>
    <w:rsid w:val="00C5257E"/>
    <w:rsid w:val="00C52BD9"/>
    <w:rsid w:val="00C52FE0"/>
    <w:rsid w:val="00C5337B"/>
    <w:rsid w:val="00C544CA"/>
    <w:rsid w:val="00C54C62"/>
    <w:rsid w:val="00C55231"/>
    <w:rsid w:val="00C563DF"/>
    <w:rsid w:val="00C56ABC"/>
    <w:rsid w:val="00C57096"/>
    <w:rsid w:val="00C57750"/>
    <w:rsid w:val="00C57CC6"/>
    <w:rsid w:val="00C604D8"/>
    <w:rsid w:val="00C60EC1"/>
    <w:rsid w:val="00C61F3D"/>
    <w:rsid w:val="00C620E3"/>
    <w:rsid w:val="00C62331"/>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447"/>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63D"/>
    <w:rsid w:val="00CC5048"/>
    <w:rsid w:val="00CC5A8D"/>
    <w:rsid w:val="00CC606C"/>
    <w:rsid w:val="00CC6B47"/>
    <w:rsid w:val="00CC71EE"/>
    <w:rsid w:val="00CC78ED"/>
    <w:rsid w:val="00CC7D29"/>
    <w:rsid w:val="00CD06F6"/>
    <w:rsid w:val="00CD084C"/>
    <w:rsid w:val="00CD0974"/>
    <w:rsid w:val="00CD121B"/>
    <w:rsid w:val="00CD17EC"/>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15"/>
    <w:rsid w:val="00CE078A"/>
    <w:rsid w:val="00CE0EF9"/>
    <w:rsid w:val="00CE1225"/>
    <w:rsid w:val="00CE18BC"/>
    <w:rsid w:val="00CE22D6"/>
    <w:rsid w:val="00CE2806"/>
    <w:rsid w:val="00CE28A1"/>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7F9A"/>
    <w:rsid w:val="00D40494"/>
    <w:rsid w:val="00D41054"/>
    <w:rsid w:val="00D41274"/>
    <w:rsid w:val="00D41284"/>
    <w:rsid w:val="00D422E4"/>
    <w:rsid w:val="00D423C9"/>
    <w:rsid w:val="00D429B7"/>
    <w:rsid w:val="00D4357E"/>
    <w:rsid w:val="00D44A5C"/>
    <w:rsid w:val="00D44B18"/>
    <w:rsid w:val="00D451F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0C29"/>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47C"/>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1A72"/>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A3"/>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EE6"/>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3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A62"/>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4999"/>
    <w:rsid w:val="00F55A3B"/>
    <w:rsid w:val="00F563B2"/>
    <w:rsid w:val="00F5677C"/>
    <w:rsid w:val="00F56848"/>
    <w:rsid w:val="00F56FA3"/>
    <w:rsid w:val="00F5765A"/>
    <w:rsid w:val="00F57A26"/>
    <w:rsid w:val="00F57A55"/>
    <w:rsid w:val="00F57C72"/>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520"/>
    <w:rsid w:val="00F869AA"/>
    <w:rsid w:val="00F86C4D"/>
    <w:rsid w:val="00F90391"/>
    <w:rsid w:val="00F9046C"/>
    <w:rsid w:val="00F90C86"/>
    <w:rsid w:val="00F90E2A"/>
    <w:rsid w:val="00F91366"/>
    <w:rsid w:val="00F915AB"/>
    <w:rsid w:val="00F918AE"/>
    <w:rsid w:val="00F91BAC"/>
    <w:rsid w:val="00F91DAC"/>
    <w:rsid w:val="00F92174"/>
    <w:rsid w:val="00F92297"/>
    <w:rsid w:val="00F94683"/>
    <w:rsid w:val="00F9495D"/>
    <w:rsid w:val="00F94C7E"/>
    <w:rsid w:val="00F94CDB"/>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3DC"/>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AB6"/>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2"/>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HR33RHYHUWRF-4-5428</_dlc_DocId>
    <_dlc_DocIdUrl xmlns="c06861ca-3f08-4d07-bff7-bb15bac121f4">
      <Url>https://projects.qualcomm.com/sites/pentari/_layouts/15/DocIdRedir.aspx?ID=HR33RHYHUWRF-4-5428</Url>
      <Description>HR33RHYHUWRF-4-5428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c06861ca-3f08-4d07-bff7-bb15bac121f4"/>
    <ds:schemaRef ds:uri="http://www.w3.org/XML/1998/namespac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B97C2BE7-D1BC-4233-BE42-B1D04284B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734</TotalTime>
  <Pages>6</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Piyush Gupta (@NJRC)</cp:lastModifiedBy>
  <cp:revision>27</cp:revision>
  <cp:lastPrinted>2017-08-09T19:06:00Z</cp:lastPrinted>
  <dcterms:created xsi:type="dcterms:W3CDTF">2017-08-07T20:03:00Z</dcterms:created>
  <dcterms:modified xsi:type="dcterms:W3CDTF">2017-08-10T22:07:00Z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60c97bb3-5a0f-45f2-b59a-b6955cfed7e4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-61379140</vt:i4>
  </property>
  <property fmtid="{D5CDD505-2E9C-101B-9397-08002B2CF9AE}" pid="7" name="_NewReviewCycle">
    <vt:lpwstr/>
  </property>
  <property fmtid="{D5CDD505-2E9C-101B-9397-08002B2CF9AE}" pid="8" name="_EmailSubject">
    <vt:lpwstr>Contribution plan on CBG</vt:lpwstr>
  </property>
  <property fmtid="{D5CDD505-2E9C-101B-9397-08002B2CF9AE}" pid="9" name="_AuthorEmail">
    <vt:lpwstr>pigupta@qti.qualcomm.com</vt:lpwstr>
  </property>
  <property fmtid="{D5CDD505-2E9C-101B-9397-08002B2CF9AE}" pid="10" name="_AuthorEmailDisplayName">
    <vt:lpwstr>Piyush Gupta (@NJRC)</vt:lpwstr>
  </property>
  <property fmtid="{D5CDD505-2E9C-101B-9397-08002B2CF9AE}" pid="11" name="_ReviewingToolsShownOnce">
    <vt:lpwstr/>
  </property>
</Properties>
</file>