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CE5056" w14:textId="5E2859A8" w:rsidR="00C07E87" w:rsidRPr="00BB6024" w:rsidRDefault="00812072" w:rsidP="00C07E87">
      <w:pPr>
        <w:pStyle w:val="3GPPHeader"/>
        <w:spacing w:after="60"/>
        <w:rPr>
          <w:sz w:val="28"/>
          <w:szCs w:val="28"/>
          <w:highlight w:val="yellow"/>
          <w:lang w:val="en-US"/>
        </w:rPr>
      </w:pPr>
      <w:bookmarkStart w:id="0" w:name="_GoBack"/>
      <w:bookmarkEnd w:id="0"/>
      <w:r w:rsidRPr="00BB6024">
        <w:rPr>
          <w:sz w:val="28"/>
          <w:szCs w:val="28"/>
          <w:lang w:val="en-US"/>
        </w:rPr>
        <w:t xml:space="preserve">3GPP TSG-RAN WG1 </w:t>
      </w:r>
      <w:r w:rsidR="004C6D58">
        <w:rPr>
          <w:sz w:val="28"/>
          <w:szCs w:val="28"/>
          <w:lang w:val="en-US"/>
        </w:rPr>
        <w:t>#90</w:t>
      </w:r>
      <w:r w:rsidR="00C07E87" w:rsidRPr="00BB6024">
        <w:rPr>
          <w:sz w:val="28"/>
          <w:szCs w:val="28"/>
          <w:lang w:val="en-US"/>
        </w:rPr>
        <w:tab/>
      </w:r>
      <w:r w:rsidR="00240B51" w:rsidRPr="00BB6024">
        <w:rPr>
          <w:sz w:val="28"/>
          <w:szCs w:val="28"/>
          <w:lang w:val="en-US"/>
        </w:rPr>
        <w:t>R1-</w:t>
      </w:r>
      <w:r w:rsidR="00CE227E" w:rsidRPr="00BB6024">
        <w:rPr>
          <w:sz w:val="28"/>
          <w:szCs w:val="28"/>
          <w:lang w:val="en-US"/>
        </w:rPr>
        <w:t>17</w:t>
      </w:r>
      <w:r w:rsidR="004275E8">
        <w:rPr>
          <w:sz w:val="28"/>
          <w:szCs w:val="28"/>
          <w:lang w:val="en-US"/>
        </w:rPr>
        <w:t>12953</w:t>
      </w:r>
    </w:p>
    <w:p w14:paraId="189863E3" w14:textId="54EC7E46" w:rsidR="00C07E87" w:rsidRPr="00BB6024" w:rsidRDefault="004C6D58" w:rsidP="00C07E87">
      <w:pPr>
        <w:pStyle w:val="3GPPHeader"/>
        <w:rPr>
          <w:sz w:val="28"/>
          <w:szCs w:val="28"/>
          <w:lang w:val="en-US"/>
        </w:rPr>
      </w:pPr>
      <w:r>
        <w:rPr>
          <w:sz w:val="28"/>
          <w:szCs w:val="28"/>
          <w:lang w:val="en-US"/>
        </w:rPr>
        <w:t>Prague</w:t>
      </w:r>
      <w:r w:rsidR="009A6F0E" w:rsidRPr="00BB6024">
        <w:rPr>
          <w:sz w:val="28"/>
          <w:szCs w:val="28"/>
          <w:lang w:val="en-US"/>
        </w:rPr>
        <w:t xml:space="preserve">, </w:t>
      </w:r>
      <w:r w:rsidR="00E24F71">
        <w:rPr>
          <w:sz w:val="28"/>
          <w:szCs w:val="28"/>
          <w:lang w:val="en-US"/>
        </w:rPr>
        <w:t>Czech</w:t>
      </w:r>
      <w:r>
        <w:rPr>
          <w:sz w:val="28"/>
          <w:szCs w:val="28"/>
          <w:lang w:val="en-US"/>
        </w:rPr>
        <w:t xml:space="preserve"> Republic</w:t>
      </w:r>
      <w:r w:rsidR="009A6F0E" w:rsidRPr="00BB6024">
        <w:rPr>
          <w:sz w:val="28"/>
          <w:szCs w:val="28"/>
          <w:lang w:val="en-US"/>
        </w:rPr>
        <w:t xml:space="preserve">, </w:t>
      </w:r>
      <w:r>
        <w:rPr>
          <w:sz w:val="28"/>
          <w:szCs w:val="28"/>
          <w:lang w:val="en-US"/>
        </w:rPr>
        <w:t>21</w:t>
      </w:r>
      <w:r>
        <w:rPr>
          <w:sz w:val="28"/>
          <w:szCs w:val="28"/>
          <w:vertAlign w:val="superscript"/>
          <w:lang w:val="en-US"/>
        </w:rPr>
        <w:t>st</w:t>
      </w:r>
      <w:r w:rsidR="009A6F0E" w:rsidRPr="00BB6024">
        <w:rPr>
          <w:sz w:val="28"/>
          <w:szCs w:val="28"/>
          <w:lang w:val="en-US"/>
        </w:rPr>
        <w:t xml:space="preserve"> – </w:t>
      </w:r>
      <w:r>
        <w:rPr>
          <w:sz w:val="28"/>
          <w:szCs w:val="28"/>
          <w:lang w:val="en-US"/>
        </w:rPr>
        <w:t>2</w:t>
      </w:r>
      <w:r w:rsidR="004664A7">
        <w:rPr>
          <w:sz w:val="28"/>
          <w:szCs w:val="28"/>
          <w:lang w:val="en-US"/>
        </w:rPr>
        <w:t>5</w:t>
      </w:r>
      <w:r w:rsidR="009A6F0E" w:rsidRPr="00BB6024">
        <w:rPr>
          <w:sz w:val="28"/>
          <w:szCs w:val="28"/>
          <w:vertAlign w:val="superscript"/>
          <w:lang w:val="en-US"/>
        </w:rPr>
        <w:t>th</w:t>
      </w:r>
      <w:r w:rsidR="009A6F0E" w:rsidRPr="00BB6024">
        <w:rPr>
          <w:sz w:val="28"/>
          <w:szCs w:val="28"/>
          <w:lang w:val="en-US"/>
        </w:rPr>
        <w:t xml:space="preserve"> </w:t>
      </w:r>
      <w:r w:rsidR="004664A7">
        <w:rPr>
          <w:sz w:val="28"/>
          <w:szCs w:val="28"/>
          <w:lang w:val="en-US"/>
        </w:rPr>
        <w:t>August</w:t>
      </w:r>
      <w:r w:rsidR="009A6F0E" w:rsidRPr="00BB6024">
        <w:rPr>
          <w:sz w:val="28"/>
          <w:szCs w:val="28"/>
          <w:lang w:val="en-US"/>
        </w:rPr>
        <w:t xml:space="preserve"> 2017</w:t>
      </w:r>
    </w:p>
    <w:p w14:paraId="551F7376" w14:textId="77777777" w:rsidR="009A6F0E" w:rsidRPr="00BB6024" w:rsidRDefault="009A6F0E" w:rsidP="00C07E87">
      <w:pPr>
        <w:pStyle w:val="3GPPHeader"/>
        <w:rPr>
          <w:lang w:val="en-US"/>
        </w:rPr>
      </w:pPr>
    </w:p>
    <w:p w14:paraId="293CC8DE" w14:textId="093E8199" w:rsidR="00C07E87" w:rsidRPr="00BB6024" w:rsidRDefault="00C07E87" w:rsidP="00C07E87">
      <w:pPr>
        <w:pStyle w:val="3GPPHeader"/>
        <w:rPr>
          <w:sz w:val="22"/>
          <w:szCs w:val="22"/>
          <w:lang w:val="en-US"/>
        </w:rPr>
      </w:pPr>
      <w:r w:rsidRPr="00BB6024">
        <w:rPr>
          <w:sz w:val="22"/>
          <w:szCs w:val="22"/>
          <w:lang w:val="en-US"/>
        </w:rPr>
        <w:t>Agenda Item:</w:t>
      </w:r>
      <w:r w:rsidRPr="00BB6024">
        <w:rPr>
          <w:sz w:val="22"/>
          <w:szCs w:val="22"/>
          <w:lang w:val="en-US"/>
        </w:rPr>
        <w:tab/>
      </w:r>
      <w:r w:rsidR="004275E8">
        <w:rPr>
          <w:sz w:val="22"/>
          <w:szCs w:val="22"/>
          <w:lang w:val="en-US"/>
        </w:rPr>
        <w:t>6.1.3.5</w:t>
      </w:r>
    </w:p>
    <w:p w14:paraId="3077A12A" w14:textId="77777777" w:rsidR="00E90E49" w:rsidRPr="00BB6024" w:rsidRDefault="003D3C45" w:rsidP="00F64C2B">
      <w:pPr>
        <w:pStyle w:val="3GPPHeader"/>
        <w:rPr>
          <w:sz w:val="22"/>
          <w:szCs w:val="22"/>
          <w:lang w:val="en-US"/>
        </w:rPr>
      </w:pPr>
      <w:r w:rsidRPr="00BB6024">
        <w:rPr>
          <w:sz w:val="22"/>
          <w:szCs w:val="22"/>
          <w:lang w:val="en-US"/>
        </w:rPr>
        <w:t>Source:</w:t>
      </w:r>
      <w:r w:rsidR="00E90E49" w:rsidRPr="00BB6024">
        <w:rPr>
          <w:sz w:val="22"/>
          <w:szCs w:val="22"/>
          <w:lang w:val="en-US"/>
        </w:rPr>
        <w:tab/>
      </w:r>
      <w:r w:rsidR="00F64C2B" w:rsidRPr="00BB6024">
        <w:rPr>
          <w:sz w:val="22"/>
          <w:szCs w:val="22"/>
          <w:lang w:val="en-US"/>
        </w:rPr>
        <w:t>Ericsson</w:t>
      </w:r>
    </w:p>
    <w:p w14:paraId="786E84DF" w14:textId="2562598F" w:rsidR="00E90E49" w:rsidRPr="00BB6024" w:rsidRDefault="003D3C45" w:rsidP="00311702">
      <w:pPr>
        <w:pStyle w:val="3GPPHeader"/>
        <w:rPr>
          <w:sz w:val="22"/>
          <w:szCs w:val="22"/>
          <w:lang w:val="en-US"/>
        </w:rPr>
      </w:pPr>
      <w:r w:rsidRPr="00BB6024">
        <w:rPr>
          <w:sz w:val="22"/>
          <w:szCs w:val="22"/>
          <w:lang w:val="en-US"/>
        </w:rPr>
        <w:t>Title:</w:t>
      </w:r>
      <w:r w:rsidR="00E90E49" w:rsidRPr="00BB6024">
        <w:rPr>
          <w:sz w:val="22"/>
          <w:szCs w:val="22"/>
          <w:lang w:val="en-US"/>
        </w:rPr>
        <w:tab/>
      </w:r>
      <w:r w:rsidR="004275E8">
        <w:rPr>
          <w:sz w:val="22"/>
          <w:szCs w:val="22"/>
          <w:lang w:val="en-US"/>
        </w:rPr>
        <w:t>On bandwidth parts</w:t>
      </w:r>
    </w:p>
    <w:p w14:paraId="00BFF626" w14:textId="143FC5E4" w:rsidR="00E90E49" w:rsidRPr="00BB6024" w:rsidRDefault="00E90E49" w:rsidP="00C704D9">
      <w:pPr>
        <w:pStyle w:val="3GPPHeader"/>
        <w:rPr>
          <w:lang w:val="en-US"/>
        </w:rPr>
      </w:pPr>
      <w:r w:rsidRPr="00BB6024">
        <w:rPr>
          <w:sz w:val="22"/>
          <w:szCs w:val="22"/>
          <w:lang w:val="en-US"/>
        </w:rPr>
        <w:t>Do</w:t>
      </w:r>
      <w:r w:rsidR="004275E8">
        <w:rPr>
          <w:sz w:val="22"/>
          <w:szCs w:val="22"/>
          <w:lang w:val="en-US"/>
        </w:rPr>
        <w:t>cument for:</w:t>
      </w:r>
      <w:r w:rsidR="004275E8">
        <w:rPr>
          <w:sz w:val="22"/>
          <w:szCs w:val="22"/>
          <w:lang w:val="en-US"/>
        </w:rPr>
        <w:tab/>
        <w:t>Discussion</w:t>
      </w:r>
      <w:r w:rsidR="00324915">
        <w:rPr>
          <w:sz w:val="22"/>
          <w:szCs w:val="22"/>
          <w:lang w:val="en-US"/>
        </w:rPr>
        <w:t>, decision</w:t>
      </w:r>
    </w:p>
    <w:p w14:paraId="7137D56A" w14:textId="2D2F2806" w:rsidR="00902B01" w:rsidRPr="00902B01" w:rsidRDefault="00902B01" w:rsidP="00902B01">
      <w:pPr>
        <w:pStyle w:val="Heading1"/>
        <w:tabs>
          <w:tab w:val="clear" w:pos="432"/>
        </w:tabs>
        <w:rPr>
          <w:lang w:val="en-US"/>
        </w:rPr>
      </w:pPr>
      <w:r>
        <w:t>Discussion</w:t>
      </w:r>
    </w:p>
    <w:p w14:paraId="0CCA01D8" w14:textId="77777777" w:rsidR="00324915" w:rsidRDefault="00324915" w:rsidP="00902B01">
      <w:pPr>
        <w:pStyle w:val="BodyText"/>
      </w:pPr>
      <w:r>
        <w:t xml:space="preserve">This paper provides some further discussions on the concept of bandwidth parts. </w:t>
      </w:r>
    </w:p>
    <w:p w14:paraId="2352DD76" w14:textId="614252D2" w:rsidR="00AB5FE1" w:rsidRDefault="00AB5FE1" w:rsidP="00902B01">
      <w:pPr>
        <w:pStyle w:val="BodyText"/>
      </w:pPr>
      <w:r>
        <w:t>Although bandwidth parts have been discussed for several meetings, there is still no exact definition of a bandwidth part, including the relation of bandwidth parts to requirements on out-of-band-emission, ACS, blocking etc.</w:t>
      </w:r>
    </w:p>
    <w:p w14:paraId="331FB6B7" w14:textId="686C71B3" w:rsidR="00902B01" w:rsidRDefault="00902B01" w:rsidP="00902B01">
      <w:pPr>
        <w:pStyle w:val="BodyText"/>
      </w:pPr>
      <w:r>
        <w:t xml:space="preserve">We believe that the following is a suitable general characterization of a bandwidth part: </w:t>
      </w:r>
    </w:p>
    <w:p w14:paraId="060333C1" w14:textId="79D2CA5E" w:rsidR="00902B01" w:rsidRDefault="00902B01" w:rsidP="00902B01">
      <w:pPr>
        <w:pStyle w:val="BodyText"/>
        <w:rPr>
          <w:i/>
        </w:rPr>
      </w:pPr>
      <w:r>
        <w:rPr>
          <w:i/>
        </w:rPr>
        <w:t>A bandwidth part consists of a set of consecutive resource blocks within a carrier. T</w:t>
      </w:r>
      <w:r w:rsidRPr="004A1BCF">
        <w:rPr>
          <w:i/>
        </w:rPr>
        <w:t xml:space="preserve">he network can only assume that a UE can </w:t>
      </w:r>
      <w:r>
        <w:rPr>
          <w:i/>
        </w:rPr>
        <w:t xml:space="preserve">receive/transmit </w:t>
      </w:r>
      <w:r w:rsidRPr="004A1BCF">
        <w:rPr>
          <w:i/>
        </w:rPr>
        <w:t>resource block</w:t>
      </w:r>
      <w:r>
        <w:rPr>
          <w:i/>
        </w:rPr>
        <w:t>s</w:t>
      </w:r>
      <w:r w:rsidRPr="004A1BCF">
        <w:rPr>
          <w:i/>
        </w:rPr>
        <w:t xml:space="preserve"> </w:t>
      </w:r>
      <w:r>
        <w:rPr>
          <w:i/>
        </w:rPr>
        <w:t xml:space="preserve">that are </w:t>
      </w:r>
      <w:r w:rsidRPr="004A1BCF">
        <w:rPr>
          <w:i/>
        </w:rPr>
        <w:t>within the currently active downlink/uplink bandwidth part</w:t>
      </w:r>
      <w:r w:rsidR="00CE4766">
        <w:rPr>
          <w:i/>
        </w:rPr>
        <w:t xml:space="preserve"> (or bandwidth parts if the can have multiple simultaneously active bandwidths parts in each transmission direction, something which is currently not agreed on). </w:t>
      </w:r>
    </w:p>
    <w:p w14:paraId="26AA6519" w14:textId="09E8B483" w:rsidR="00AB5FE1" w:rsidRPr="00AB5FE1" w:rsidRDefault="00AB5FE1" w:rsidP="00902B01">
      <w:pPr>
        <w:pStyle w:val="BodyText"/>
        <w:rPr>
          <w:i/>
        </w:rPr>
      </w:pPr>
      <w:r w:rsidRPr="00AB5FE1">
        <w:rPr>
          <w:b/>
        </w:rPr>
        <w:t>Proposal 1 (</w:t>
      </w:r>
      <w:r>
        <w:rPr>
          <w:b/>
        </w:rPr>
        <w:t>c</w:t>
      </w:r>
      <w:r w:rsidRPr="00AB5FE1">
        <w:rPr>
          <w:b/>
        </w:rPr>
        <w:t>haracterization of bandwidth part):</w:t>
      </w:r>
      <w:r>
        <w:rPr>
          <w:i/>
        </w:rPr>
        <w:t xml:space="preserve"> </w:t>
      </w:r>
      <w:r>
        <w:rPr>
          <w:i/>
        </w:rPr>
        <w:t>A bandwidth part consists of a set of consecutive resource blocks within a carrier. T</w:t>
      </w:r>
      <w:r w:rsidRPr="004A1BCF">
        <w:rPr>
          <w:i/>
        </w:rPr>
        <w:t xml:space="preserve">he network can only assume that a UE can </w:t>
      </w:r>
      <w:r>
        <w:rPr>
          <w:i/>
        </w:rPr>
        <w:t xml:space="preserve">receive/transmit </w:t>
      </w:r>
      <w:r w:rsidRPr="004A1BCF">
        <w:rPr>
          <w:i/>
        </w:rPr>
        <w:t>resource block</w:t>
      </w:r>
      <w:r>
        <w:rPr>
          <w:i/>
        </w:rPr>
        <w:t>s</w:t>
      </w:r>
      <w:r w:rsidRPr="004A1BCF">
        <w:rPr>
          <w:i/>
        </w:rPr>
        <w:t xml:space="preserve"> </w:t>
      </w:r>
      <w:r>
        <w:rPr>
          <w:i/>
        </w:rPr>
        <w:t xml:space="preserve">that are </w:t>
      </w:r>
      <w:r w:rsidRPr="004A1BCF">
        <w:rPr>
          <w:i/>
        </w:rPr>
        <w:t>within the currently active downlink/uplink bandwidth part</w:t>
      </w:r>
      <w:r>
        <w:rPr>
          <w:i/>
        </w:rPr>
        <w:t xml:space="preserve"> </w:t>
      </w:r>
    </w:p>
    <w:p w14:paraId="7617C103" w14:textId="00EFE33E" w:rsidR="00AB5FE1" w:rsidRDefault="00902B01" w:rsidP="00AB5FE1">
      <w:pPr>
        <w:pStyle w:val="BodyText"/>
      </w:pPr>
      <w:r>
        <w:t xml:space="preserve">Note that this characterization of bandwidth part does not say anything about UE </w:t>
      </w:r>
      <w:r w:rsidR="00CE4766">
        <w:t>behaviour</w:t>
      </w:r>
      <w:r>
        <w:t xml:space="preserve">, in terms of reception/transmission, outside of the active bandwidth part. Rather, outside of an active bandwidth part the UE </w:t>
      </w:r>
      <w:r w:rsidR="00CE4766">
        <w:t>behaviour</w:t>
      </w:r>
      <w:r>
        <w:t xml:space="preserve"> should be the same as on any resource blocks within a carrier </w:t>
      </w:r>
      <w:r w:rsidR="00CE4766">
        <w:t xml:space="preserve">on which </w:t>
      </w:r>
      <w:r w:rsidR="00AB5FE1">
        <w:t>t</w:t>
      </w:r>
      <w:r w:rsidR="00CE4766">
        <w:t>he UE</w:t>
      </w:r>
      <w:r>
        <w:t xml:space="preserve"> is not scheduled to transmit (UL) or on which it is not assumed to receive (DL). </w:t>
      </w:r>
      <w:r w:rsidR="00AB5FE1">
        <w:t>Thus UE requirem</w:t>
      </w:r>
      <w:r w:rsidR="00AB5FE1">
        <w:t>ents on out-of-band emission, ACS</w:t>
      </w:r>
      <w:r w:rsidR="00AB5FE1">
        <w:t xml:space="preserve">, blocking, etc. should still be defined with respect to the overall carrier and not to any active bandwidth part. </w:t>
      </w:r>
    </w:p>
    <w:p w14:paraId="49BC6625" w14:textId="71365AB7" w:rsidR="00AB5FE1" w:rsidRDefault="00AB5FE1" w:rsidP="00902B01">
      <w:pPr>
        <w:pStyle w:val="BodyText"/>
      </w:pPr>
      <w:r w:rsidRPr="00AB5FE1">
        <w:rPr>
          <w:b/>
        </w:rPr>
        <w:t>Proposal 2:</w:t>
      </w:r>
      <w:r>
        <w:t xml:space="preserve"> </w:t>
      </w:r>
      <w:r>
        <w:t>UE requirements on out-of-band emis</w:t>
      </w:r>
      <w:r>
        <w:t xml:space="preserve">sion, ACS, blocking, etc. are </w:t>
      </w:r>
      <w:r>
        <w:t xml:space="preserve">defined with respect to the overall carrier and not to any active bandwidth part. </w:t>
      </w:r>
      <w:r>
        <w:t>O</w:t>
      </w:r>
      <w:r>
        <w:t xml:space="preserve">utside of an active bandwidth part </w:t>
      </w:r>
      <w:r>
        <w:t xml:space="preserve">(but within the carrier), </w:t>
      </w:r>
      <w:r>
        <w:t xml:space="preserve">the UE behaviour should be the same as on any resource blocks within a carrier on which </w:t>
      </w:r>
      <w:r>
        <w:t>t</w:t>
      </w:r>
      <w:r>
        <w:t>he UE is not scheduled to transmit (UL) or on which it is not assumed to receive (DL).</w:t>
      </w:r>
    </w:p>
    <w:p w14:paraId="499BB9CD" w14:textId="77777777" w:rsidR="00902B01" w:rsidRDefault="00902B01" w:rsidP="00902B01">
      <w:pPr>
        <w:pStyle w:val="BodyText"/>
      </w:pPr>
      <w:r>
        <w:t>Below we discuss the different stages of a UE access to the system and how the concept of bandwidth part fits into these stages.</w:t>
      </w:r>
    </w:p>
    <w:p w14:paraId="7633D6BE" w14:textId="77777777" w:rsidR="00902B01" w:rsidRDefault="00902B01" w:rsidP="00902B01">
      <w:pPr>
        <w:pStyle w:val="Heading2"/>
        <w:keepLines w:val="0"/>
        <w:numPr>
          <w:ilvl w:val="1"/>
          <w:numId w:val="19"/>
        </w:numPr>
        <w:tabs>
          <w:tab w:val="clear" w:pos="3447"/>
        </w:tabs>
        <w:overflowPunct/>
        <w:autoSpaceDE/>
        <w:autoSpaceDN/>
        <w:adjustRightInd/>
        <w:spacing w:before="240" w:after="60"/>
        <w:ind w:left="567"/>
        <w:textAlignment w:val="auto"/>
      </w:pPr>
      <w:r>
        <w:t>Initial SSB search</w:t>
      </w:r>
    </w:p>
    <w:p w14:paraId="3DC23F18" w14:textId="24C14394" w:rsidR="00902B01" w:rsidRDefault="00902B01" w:rsidP="00902B01">
      <w:pPr>
        <w:pStyle w:val="BodyText"/>
      </w:pPr>
      <w:r>
        <w:t>A UE doing initial SSB search has no knowledge of the bandwidth of the carrier on which a potential SSB is located. Thus, a UE doing initial SSB search must assume a carrier bandwidth equal to the SS</w:t>
      </w:r>
      <w:r w:rsidR="00CE4766">
        <w:t>B bandwidth</w:t>
      </w:r>
      <w:r>
        <w:t>.</w:t>
      </w:r>
      <w:r w:rsidR="00CE4766">
        <w:rPr>
          <w:rStyle w:val="FootnoteReference"/>
        </w:rPr>
        <w:footnoteReference w:id="2"/>
      </w:r>
      <w:r>
        <w:t xml:space="preserve"> </w:t>
      </w:r>
      <w:r w:rsidR="00CE4766">
        <w:t>T</w:t>
      </w:r>
      <w:r>
        <w:t xml:space="preserve">here is no real reason to explicitly talk about a “bandwidth part” at this stage of the UE access as that bandwidth part would always coincide with the assumed carrier (same bandwidth and location). </w:t>
      </w:r>
    </w:p>
    <w:p w14:paraId="5FFB5029" w14:textId="77777777" w:rsidR="00902B01" w:rsidRDefault="00902B01" w:rsidP="00902B01">
      <w:pPr>
        <w:pStyle w:val="Heading2"/>
        <w:keepLines w:val="0"/>
        <w:numPr>
          <w:ilvl w:val="1"/>
          <w:numId w:val="19"/>
        </w:numPr>
        <w:tabs>
          <w:tab w:val="clear" w:pos="3447"/>
        </w:tabs>
        <w:overflowPunct/>
        <w:autoSpaceDE/>
        <w:autoSpaceDN/>
        <w:adjustRightInd/>
        <w:spacing w:before="240" w:after="60"/>
        <w:ind w:left="567"/>
        <w:textAlignment w:val="auto"/>
      </w:pPr>
      <w:r>
        <w:lastRenderedPageBreak/>
        <w:t>Acquiring RMSI</w:t>
      </w:r>
    </w:p>
    <w:p w14:paraId="146D6EBF" w14:textId="2B0534A5" w:rsidR="00313A62" w:rsidRPr="00CD3B95" w:rsidRDefault="00313A62" w:rsidP="00902B01">
      <w:pPr>
        <w:pStyle w:val="BodyText"/>
        <w:rPr>
          <w:color w:val="000000" w:themeColor="text1"/>
        </w:rPr>
      </w:pPr>
      <w:r w:rsidRPr="00CD3B95">
        <w:rPr>
          <w:color w:val="000000" w:themeColor="text1"/>
        </w:rPr>
        <w:t>It is not yet agreed what are the constraints on the frequency location of the RMSI. One possibility would be to constrain the RMSI to the frequency range of the SSB. Ho</w:t>
      </w:r>
      <w:r w:rsidR="00AB5FE1">
        <w:rPr>
          <w:color w:val="000000" w:themeColor="text1"/>
        </w:rPr>
        <w:t>wever, that would prevent frequency multiplexing of</w:t>
      </w:r>
      <w:r w:rsidRPr="00CD3B95">
        <w:rPr>
          <w:color w:val="000000" w:themeColor="text1"/>
        </w:rPr>
        <w:t xml:space="preserve"> the RMSI (both the PD</w:t>
      </w:r>
      <w:r w:rsidR="00AB5FE1">
        <w:rPr>
          <w:color w:val="000000" w:themeColor="text1"/>
        </w:rPr>
        <w:t>CCH and the PDSCH) with the SSB</w:t>
      </w:r>
      <w:r w:rsidRPr="00CD3B95">
        <w:rPr>
          <w:color w:val="000000" w:themeColor="text1"/>
        </w:rPr>
        <w:t xml:space="preserve">. Having the possibility for such frequency multiplexing may be desirable, especially at higher frequencies where SSB and RMSI may have to be transmitted </w:t>
      </w:r>
      <w:r w:rsidR="00AB5FE1">
        <w:rPr>
          <w:color w:val="000000" w:themeColor="text1"/>
        </w:rPr>
        <w:t>with</w:t>
      </w:r>
      <w:r w:rsidRPr="00CD3B95">
        <w:rPr>
          <w:color w:val="000000" w:themeColor="text1"/>
        </w:rPr>
        <w:t>in a large number of beams</w:t>
      </w:r>
      <w:r w:rsidR="00AB5FE1">
        <w:rPr>
          <w:color w:val="000000" w:themeColor="text1"/>
        </w:rPr>
        <w:t xml:space="preserve"> in a time-domain fashion (“beam-sweeping”)</w:t>
      </w:r>
      <w:r w:rsidRPr="00CD3B95">
        <w:rPr>
          <w:color w:val="000000" w:themeColor="text1"/>
        </w:rPr>
        <w:t xml:space="preserve">. </w:t>
      </w:r>
      <w:r w:rsidR="00CD3B95">
        <w:rPr>
          <w:color w:val="000000" w:themeColor="text1"/>
        </w:rPr>
        <w:t>Thu</w:t>
      </w:r>
      <w:r w:rsidRPr="00CD3B95">
        <w:rPr>
          <w:color w:val="000000" w:themeColor="text1"/>
        </w:rPr>
        <w:t xml:space="preserve">s we propose that </w:t>
      </w:r>
      <w:r w:rsidR="00CD3B95">
        <w:rPr>
          <w:color w:val="000000" w:themeColor="text1"/>
        </w:rPr>
        <w:t xml:space="preserve">it should be possible to transmit </w:t>
      </w:r>
      <w:r w:rsidRPr="00CD3B95">
        <w:rPr>
          <w:color w:val="000000" w:themeColor="text1"/>
        </w:rPr>
        <w:t>R</w:t>
      </w:r>
      <w:r w:rsidR="00CD3B95">
        <w:rPr>
          <w:color w:val="000000" w:themeColor="text1"/>
        </w:rPr>
        <w:t xml:space="preserve">MSI </w:t>
      </w:r>
      <w:r w:rsidRPr="00CD3B95">
        <w:rPr>
          <w:color w:val="000000" w:themeColor="text1"/>
        </w:rPr>
        <w:t>outside of the frequency range of the SSB</w:t>
      </w:r>
    </w:p>
    <w:p w14:paraId="7FAD7EB3" w14:textId="4F2DB68B" w:rsidR="00313A62" w:rsidRPr="00CD3B95" w:rsidRDefault="00313A62" w:rsidP="00902B01">
      <w:pPr>
        <w:pStyle w:val="BodyText"/>
        <w:rPr>
          <w:color w:val="000000" w:themeColor="text1"/>
        </w:rPr>
      </w:pPr>
      <w:r w:rsidRPr="00CD3B95">
        <w:rPr>
          <w:b/>
          <w:color w:val="000000" w:themeColor="text1"/>
        </w:rPr>
        <w:t>Proposa</w:t>
      </w:r>
      <w:r w:rsidR="00CD3B95">
        <w:rPr>
          <w:b/>
          <w:color w:val="000000" w:themeColor="text1"/>
        </w:rPr>
        <w:t>l</w:t>
      </w:r>
      <w:r w:rsidR="00AB5FE1">
        <w:rPr>
          <w:b/>
          <w:color w:val="000000" w:themeColor="text1"/>
        </w:rPr>
        <w:t xml:space="preserve"> 3</w:t>
      </w:r>
      <w:r w:rsidRPr="00CD3B95">
        <w:rPr>
          <w:b/>
          <w:color w:val="000000" w:themeColor="text1"/>
        </w:rPr>
        <w:t>:</w:t>
      </w:r>
      <w:r w:rsidRPr="00CD3B95">
        <w:rPr>
          <w:color w:val="000000" w:themeColor="text1"/>
        </w:rPr>
        <w:t xml:space="preserve"> </w:t>
      </w:r>
      <w:r w:rsidR="0089730B">
        <w:rPr>
          <w:color w:val="000000" w:themeColor="text1"/>
        </w:rPr>
        <w:t>It</w:t>
      </w:r>
      <w:r w:rsidR="00CD3B95">
        <w:rPr>
          <w:color w:val="000000" w:themeColor="text1"/>
        </w:rPr>
        <w:t xml:space="preserve"> should be possible to transmit </w:t>
      </w:r>
      <w:r w:rsidR="00CD3B95" w:rsidRPr="00CD3B95">
        <w:rPr>
          <w:color w:val="000000" w:themeColor="text1"/>
        </w:rPr>
        <w:t>R</w:t>
      </w:r>
      <w:r w:rsidR="00CD3B95">
        <w:rPr>
          <w:color w:val="000000" w:themeColor="text1"/>
        </w:rPr>
        <w:t xml:space="preserve">MSI </w:t>
      </w:r>
      <w:r w:rsidR="00CD3B95" w:rsidRPr="00CD3B95">
        <w:rPr>
          <w:color w:val="000000" w:themeColor="text1"/>
        </w:rPr>
        <w:t>outside of the frequency range of the SSB</w:t>
      </w:r>
    </w:p>
    <w:p w14:paraId="20C9577C" w14:textId="3C7033C7" w:rsidR="00CD3B95" w:rsidRPr="00CD3B95" w:rsidRDefault="00CD3B95" w:rsidP="00CD3B95">
      <w:pPr>
        <w:pStyle w:val="BodyText"/>
        <w:rPr>
          <w:color w:val="000000" w:themeColor="text1"/>
        </w:rPr>
      </w:pPr>
      <w:r w:rsidRPr="00CD3B95">
        <w:rPr>
          <w:color w:val="000000" w:themeColor="text1"/>
        </w:rPr>
        <w:t>Assuming that the minimum possible carrier bandwidth corresponds to the bandwidth of the SSB, FDM between SSB and RMSI may obviously not always be possible. This means that the overall frequency range over which SS</w:t>
      </w:r>
      <w:r w:rsidR="0089730B">
        <w:rPr>
          <w:color w:val="000000" w:themeColor="text1"/>
        </w:rPr>
        <w:t>B + RMSI is transmitted may vary</w:t>
      </w:r>
      <w:r w:rsidRPr="00CD3B95">
        <w:rPr>
          <w:color w:val="000000" w:themeColor="text1"/>
        </w:rPr>
        <w:t xml:space="preserve">. For the UE to use appropriate receiver filtering, </w:t>
      </w:r>
      <w:r w:rsidR="0089730B">
        <w:rPr>
          <w:color w:val="000000" w:themeColor="text1"/>
        </w:rPr>
        <w:t xml:space="preserve">information about </w:t>
      </w:r>
      <w:r w:rsidRPr="00CD3B95">
        <w:rPr>
          <w:color w:val="000000" w:themeColor="text1"/>
        </w:rPr>
        <w:t>this frequency range thus has to be signalled on the PBCH/MIB with a limited number of bits.  Note that, at this stage, the UE would still not know the carrier bandwidth (assumed to be signalled within the RSMI). Similarly to above, there is thus no real reason to talk about a “bandwidth part” at this stage.</w:t>
      </w:r>
    </w:p>
    <w:p w14:paraId="5D388506" w14:textId="77777777" w:rsidR="00902B01" w:rsidRDefault="00902B01" w:rsidP="00902B01">
      <w:pPr>
        <w:pStyle w:val="Heading2"/>
        <w:keepLines w:val="0"/>
        <w:numPr>
          <w:ilvl w:val="1"/>
          <w:numId w:val="19"/>
        </w:numPr>
        <w:tabs>
          <w:tab w:val="clear" w:pos="3447"/>
        </w:tabs>
        <w:overflowPunct/>
        <w:autoSpaceDE/>
        <w:autoSpaceDN/>
        <w:adjustRightInd/>
        <w:spacing w:before="240" w:after="60"/>
        <w:ind w:left="567"/>
        <w:textAlignment w:val="auto"/>
      </w:pPr>
      <w:r w:rsidRPr="00FF4087">
        <w:t>Random</w:t>
      </w:r>
      <w:r>
        <w:t xml:space="preserve"> access</w:t>
      </w:r>
    </w:p>
    <w:p w14:paraId="5C5410CB" w14:textId="77777777" w:rsidR="00902B01" w:rsidRDefault="00902B01" w:rsidP="00902B01">
      <w:pPr>
        <w:pStyle w:val="BodyText"/>
      </w:pPr>
      <w:r>
        <w:t xml:space="preserve">Once a UE has acquired the RMSI it can initiate the random-access procedure consisting of </w:t>
      </w:r>
    </w:p>
    <w:p w14:paraId="20151EE1" w14:textId="77777777" w:rsidR="00902B01" w:rsidRDefault="00902B01" w:rsidP="00902B01">
      <w:pPr>
        <w:pStyle w:val="BodyText"/>
        <w:numPr>
          <w:ilvl w:val="0"/>
          <w:numId w:val="21"/>
        </w:numPr>
        <w:overflowPunct/>
        <w:autoSpaceDE/>
        <w:autoSpaceDN/>
        <w:adjustRightInd/>
        <w:textAlignment w:val="auto"/>
      </w:pPr>
      <w:r>
        <w:t>transmission of random-access preamble (PRACH) using a selected random-access resource,</w:t>
      </w:r>
    </w:p>
    <w:p w14:paraId="654E5D20" w14:textId="77777777" w:rsidR="00902B01" w:rsidRDefault="00902B01" w:rsidP="00902B01">
      <w:pPr>
        <w:pStyle w:val="BodyText"/>
        <w:numPr>
          <w:ilvl w:val="0"/>
          <w:numId w:val="21"/>
        </w:numPr>
        <w:overflowPunct/>
        <w:autoSpaceDE/>
        <w:autoSpaceDN/>
        <w:adjustRightInd/>
        <w:textAlignment w:val="auto"/>
      </w:pPr>
      <w:r>
        <w:t xml:space="preserve">reception of random-access response, and </w:t>
      </w:r>
    </w:p>
    <w:p w14:paraId="0A578818" w14:textId="77777777" w:rsidR="00902B01" w:rsidRDefault="00902B01" w:rsidP="00902B01">
      <w:pPr>
        <w:pStyle w:val="BodyText"/>
        <w:numPr>
          <w:ilvl w:val="0"/>
          <w:numId w:val="21"/>
        </w:numPr>
        <w:overflowPunct/>
        <w:autoSpaceDE/>
        <w:autoSpaceDN/>
        <w:adjustRightInd/>
        <w:textAlignment w:val="auto"/>
      </w:pPr>
      <w:r>
        <w:t>collision resolution, i.e. transmission of Msg 3 and reception of the corresponding network response</w:t>
      </w:r>
    </w:p>
    <w:p w14:paraId="5B0CB0AC" w14:textId="19114BDD" w:rsidR="00902B01" w:rsidRDefault="00902B01" w:rsidP="00902B01">
      <w:pPr>
        <w:pStyle w:val="BodyText"/>
      </w:pPr>
      <w:r>
        <w:t xml:space="preserve">When the random-access procedure is initiated the UE can be assumed to have acquired knowledge of the carrier bandwidth from the RMSI. On the other hand, the network does not yet know the UE bandwidth capability. Thus, the network transmissions that are part of of the random-access procedure, i.e. PDCCH/PDSCH transmissions related to the random-access response and the message-3 response, must be confined to a frequency range not larger than the UE minimum bandwidth capability. This can be referred to as the </w:t>
      </w:r>
      <w:r w:rsidRPr="00F06615">
        <w:rPr>
          <w:i/>
        </w:rPr>
        <w:t>random-access (downlink) bandwidth part</w:t>
      </w:r>
      <w:r>
        <w:rPr>
          <w:i/>
        </w:rPr>
        <w:t xml:space="preserve">, </w:t>
      </w:r>
      <w:r w:rsidR="0089730B">
        <w:t xml:space="preserve">the location and bandwidth of </w:t>
      </w:r>
      <w:r w:rsidRPr="00C33508">
        <w:t>which</w:t>
      </w:r>
      <w:r>
        <w:t xml:space="preserve"> should be signa</w:t>
      </w:r>
      <w:r w:rsidR="0089730B">
        <w:t>l</w:t>
      </w:r>
      <w:r>
        <w:t>led as part of the RMSI and thus being shared between all UEs accessing the cell.</w:t>
      </w:r>
      <w:r>
        <w:rPr>
          <w:rStyle w:val="FootnoteReference"/>
        </w:rPr>
        <w:footnoteReference w:id="3"/>
      </w:r>
    </w:p>
    <w:p w14:paraId="10E299EB" w14:textId="77777777" w:rsidR="00902B01" w:rsidRDefault="00902B01" w:rsidP="00902B01">
      <w:pPr>
        <w:pStyle w:val="Heading2"/>
        <w:keepLines w:val="0"/>
        <w:numPr>
          <w:ilvl w:val="1"/>
          <w:numId w:val="19"/>
        </w:numPr>
        <w:tabs>
          <w:tab w:val="clear" w:pos="3447"/>
        </w:tabs>
        <w:overflowPunct/>
        <w:autoSpaceDE/>
        <w:autoSpaceDN/>
        <w:adjustRightInd/>
        <w:spacing w:before="240" w:after="60"/>
        <w:ind w:left="567"/>
        <w:textAlignment w:val="auto"/>
      </w:pPr>
      <w:r>
        <w:t xml:space="preserve">Configuring a dedicated bandwidth part </w:t>
      </w:r>
    </w:p>
    <w:p w14:paraId="60378145" w14:textId="7C5E33FE" w:rsidR="00902B01" w:rsidRDefault="00902B01" w:rsidP="00902B01">
      <w:pPr>
        <w:pStyle w:val="BodyText"/>
      </w:pPr>
      <w:r>
        <w:t xml:space="preserve">Once the random-access procedure has been successfully concluded, and assuming the random-access request was not rejected by the network, the UE has entered connected state. At this stage, the network should learn the UE bandwidth capability. The network may then configure the UE with a dedicated bandwidth part </w:t>
      </w:r>
      <w:r w:rsidR="00CE4766">
        <w:t xml:space="preserve">taking </w:t>
      </w:r>
      <w:r>
        <w:t>the UE bandwidth capability</w:t>
      </w:r>
      <w:r w:rsidR="0089730B">
        <w:t xml:space="preserve"> into account. </w:t>
      </w:r>
      <w:r w:rsidR="00CE4766">
        <w:t>Note that, at least in principle, the network could assign the UE with a dedicated bandwidth part even before it knows the UE bandwidth capability. That bandwidth part must then not be larger than the minimum UE bandwidth capability</w:t>
      </w:r>
      <w:r>
        <w:t>.</w:t>
      </w:r>
    </w:p>
    <w:p w14:paraId="4C67170C" w14:textId="77777777" w:rsidR="00902B01" w:rsidRDefault="00902B01" w:rsidP="00902B01">
      <w:pPr>
        <w:pStyle w:val="Heading2"/>
        <w:keepLines w:val="0"/>
        <w:numPr>
          <w:ilvl w:val="1"/>
          <w:numId w:val="19"/>
        </w:numPr>
        <w:tabs>
          <w:tab w:val="clear" w:pos="3447"/>
        </w:tabs>
        <w:overflowPunct/>
        <w:autoSpaceDE/>
        <w:autoSpaceDN/>
        <w:adjustRightInd/>
        <w:spacing w:before="240" w:after="60"/>
        <w:ind w:left="567"/>
        <w:textAlignment w:val="auto"/>
      </w:pPr>
      <w:r>
        <w:t>Idle state operation</w:t>
      </w:r>
    </w:p>
    <w:p w14:paraId="29EBFF2D" w14:textId="52111E76" w:rsidR="00902B01" w:rsidRDefault="00902B01" w:rsidP="00902B01">
      <w:pPr>
        <w:pStyle w:val="BodyText"/>
      </w:pPr>
      <w:r>
        <w:t>From idle state a</w:t>
      </w:r>
      <w:r w:rsidR="0089730B">
        <w:t xml:space="preserve"> </w:t>
      </w:r>
      <w:r>
        <w:t xml:space="preserve">UE may transit to Idle/inactive state at which a UE can be paged by the network and/or re-connect by means of a new random access. </w:t>
      </w:r>
    </w:p>
    <w:p w14:paraId="5DA936B1" w14:textId="3E6CC539" w:rsidR="00902B01" w:rsidRDefault="00902B01" w:rsidP="00902B01">
      <w:pPr>
        <w:pStyle w:val="BodyText"/>
      </w:pPr>
      <w:r>
        <w:t xml:space="preserve">Paging transmissions to a UE must obviously be confined to a frequency range not larger than the UE bandwidth capability. This can be referred to as the </w:t>
      </w:r>
      <w:r w:rsidRPr="00BD6A9C">
        <w:rPr>
          <w:i/>
        </w:rPr>
        <w:t>paging bandwidth part</w:t>
      </w:r>
      <w:r>
        <w:t>. In the genera case, a UE could be configured with a paging bandwidth part. This can either be done by means of dedicated signa</w:t>
      </w:r>
      <w:r w:rsidR="0089730B">
        <w:t>l</w:t>
      </w:r>
      <w:r>
        <w:t>ling or broadcast signal</w:t>
      </w:r>
      <w:r w:rsidR="0089730B">
        <w:t>l</w:t>
      </w:r>
      <w:r>
        <w:t>ing (the RMSI)</w:t>
      </w:r>
      <w:r w:rsidR="0089730B">
        <w:t xml:space="preserve">. In the latter case, </w:t>
      </w:r>
      <w:r>
        <w:t xml:space="preserve">the paging bandwidth part would be the same for all UEs and </w:t>
      </w:r>
      <w:r w:rsidR="0089730B">
        <w:t>can</w:t>
      </w:r>
      <w:r>
        <w:t xml:space="preserve">not larger than the minimum UE bandwidth capability. </w:t>
      </w:r>
    </w:p>
    <w:p w14:paraId="3FA3F9DF" w14:textId="77777777" w:rsidR="00902B01" w:rsidRDefault="00902B01" w:rsidP="00902B01">
      <w:pPr>
        <w:pStyle w:val="Heading2"/>
        <w:keepLines w:val="0"/>
        <w:numPr>
          <w:ilvl w:val="1"/>
          <w:numId w:val="19"/>
        </w:numPr>
        <w:tabs>
          <w:tab w:val="clear" w:pos="3447"/>
        </w:tabs>
        <w:overflowPunct/>
        <w:autoSpaceDE/>
        <w:autoSpaceDN/>
        <w:adjustRightInd/>
        <w:spacing w:before="240" w:after="60"/>
        <w:ind w:left="567"/>
        <w:textAlignment w:val="auto"/>
      </w:pPr>
      <w:r>
        <w:t>Bandwidth adaptation</w:t>
      </w:r>
    </w:p>
    <w:p w14:paraId="10B5A420" w14:textId="77777777" w:rsidR="00902B01" w:rsidRDefault="00902B01" w:rsidP="00902B01">
      <w:pPr>
        <w:pStyle w:val="BodyText"/>
      </w:pPr>
      <w:r>
        <w:t>Bandwidth adaptation aims at reduced UE receiver energy consumption by means of two different downlink bandwidth parts</w:t>
      </w:r>
    </w:p>
    <w:p w14:paraId="23661760" w14:textId="77777777" w:rsidR="00902B01" w:rsidRDefault="00902B01" w:rsidP="00902B01">
      <w:pPr>
        <w:pStyle w:val="BodyText"/>
        <w:numPr>
          <w:ilvl w:val="0"/>
          <w:numId w:val="21"/>
        </w:numPr>
        <w:overflowPunct/>
        <w:autoSpaceDE/>
        <w:autoSpaceDN/>
        <w:adjustRightInd/>
        <w:textAlignment w:val="auto"/>
      </w:pPr>
      <w:r>
        <w:t>A more narrowband bandwidth (BWP-N) active during PDCCH monitoring</w:t>
      </w:r>
    </w:p>
    <w:p w14:paraId="1E9B76BF" w14:textId="47EB9B6B" w:rsidR="00902B01" w:rsidRDefault="00902B01" w:rsidP="00902B01">
      <w:pPr>
        <w:pStyle w:val="BodyText"/>
        <w:numPr>
          <w:ilvl w:val="0"/>
          <w:numId w:val="21"/>
        </w:numPr>
        <w:overflowPunct/>
        <w:autoSpaceDE/>
        <w:autoSpaceDN/>
        <w:adjustRightInd/>
        <w:textAlignment w:val="auto"/>
      </w:pPr>
      <w:r>
        <w:t xml:space="preserve">A more wideband bandwidth part (BWP-W) being activated when the UE is scheduled. </w:t>
      </w:r>
    </w:p>
    <w:p w14:paraId="4D27520E" w14:textId="638AE2B9" w:rsidR="00902B01" w:rsidRDefault="00CE4766" w:rsidP="00902B01">
      <w:pPr>
        <w:pStyle w:val="BodyText"/>
      </w:pPr>
      <w:r>
        <w:t>In this case, the BWP-W sh</w:t>
      </w:r>
      <w:r w:rsidR="00902B01">
        <w:t>ould be activated (and BWP-N consequently de-activated) when a UE recei</w:t>
      </w:r>
      <w:r w:rsidR="0089730B">
        <w:t>ves a downlink scheduling grant</w:t>
      </w:r>
      <w:r w:rsidR="00902B01">
        <w:t xml:space="preserve">. Note though that, as PDSCH transmission may begin before the PDCCH have been decode, the PDSCH transmission corresponding to the scheduling assignment triggering the activation of BWP-W has to be confined to BWP-N. </w:t>
      </w:r>
    </w:p>
    <w:p w14:paraId="5F99E2C9" w14:textId="713B6587" w:rsidR="00CE4766" w:rsidRDefault="00CE4766" w:rsidP="00902B01">
      <w:pPr>
        <w:pStyle w:val="BodyText"/>
      </w:pPr>
      <w:r w:rsidRPr="00CE4766">
        <w:rPr>
          <w:b/>
        </w:rPr>
        <w:t>Proposal</w:t>
      </w:r>
      <w:r w:rsidR="00AB5FE1">
        <w:rPr>
          <w:b/>
        </w:rPr>
        <w:t xml:space="preserve"> 4</w:t>
      </w:r>
      <w:r w:rsidRPr="00CE4766">
        <w:rPr>
          <w:b/>
        </w:rPr>
        <w:t>:</w:t>
      </w:r>
      <w:r>
        <w:t xml:space="preserve"> In case of bandwidth adaptation, activation of the wider bandwidth part should be triggered by the reception of a downlink scheduling grant</w:t>
      </w:r>
    </w:p>
    <w:p w14:paraId="7883C6AA" w14:textId="2087A167" w:rsidR="00902B01" w:rsidRDefault="00902B01" w:rsidP="00902B01">
      <w:pPr>
        <w:pStyle w:val="BodyText"/>
      </w:pPr>
      <w:r>
        <w:t xml:space="preserve">Once BWP-W has been activated it could remain activated until the UE has not been scheduled for a certain time after which BWP-W would be de-activated and BWP-N would be re-activated (timer-based bandwidth activation). </w:t>
      </w:r>
    </w:p>
    <w:p w14:paraId="0E47A5D1" w14:textId="06EB6BCF" w:rsidR="00CE4766" w:rsidRDefault="00324915" w:rsidP="00902B01">
      <w:pPr>
        <w:pStyle w:val="BodyText"/>
      </w:pPr>
      <w:r w:rsidRPr="00CE4766">
        <w:rPr>
          <w:b/>
        </w:rPr>
        <w:t>Proposal</w:t>
      </w:r>
      <w:r w:rsidR="00AB5FE1">
        <w:rPr>
          <w:b/>
        </w:rPr>
        <w:t xml:space="preserve"> 5</w:t>
      </w:r>
      <w:r>
        <w:rPr>
          <w:b/>
        </w:rPr>
        <w:t xml:space="preserve">: </w:t>
      </w:r>
      <w:r>
        <w:t xml:space="preserve">In case of bandwidth adaptation, activation of the more narrow bandwidth part should be timer based and be triggered when no downlink scheduling grant has been received for a certain time. </w:t>
      </w:r>
    </w:p>
    <w:p w14:paraId="726950F4" w14:textId="77777777" w:rsidR="00902B01" w:rsidRDefault="00902B01" w:rsidP="00902B01">
      <w:pPr>
        <w:pStyle w:val="BodyText"/>
      </w:pPr>
      <w:r>
        <w:t xml:space="preserve">In case the UE fails to detect a downlink scheduling assignment, there may be a mismatch between the UE and the network in terms of what bandwidth part is assumed to be activated. </w:t>
      </w:r>
    </w:p>
    <w:p w14:paraId="4D53A1BE" w14:textId="60A3FD4D" w:rsidR="00902B01" w:rsidRDefault="00902B01" w:rsidP="00902B01">
      <w:pPr>
        <w:pStyle w:val="BodyText"/>
        <w:numPr>
          <w:ilvl w:val="0"/>
          <w:numId w:val="21"/>
        </w:numPr>
        <w:overflowPunct/>
        <w:autoSpaceDE/>
        <w:autoSpaceDN/>
        <w:adjustRightInd/>
        <w:textAlignment w:val="auto"/>
      </w:pPr>
      <w:r>
        <w:t>If, when BWP-N is active, the UE is scheduled but fails to detect the scheduling assignment, th</w:t>
      </w:r>
      <w:r w:rsidR="0089730B">
        <w:t>e UE will not activate the BWP-W</w:t>
      </w:r>
      <w:r>
        <w:t xml:space="preserve"> although the network will assume it has. </w:t>
      </w:r>
    </w:p>
    <w:p w14:paraId="1C70CEAB" w14:textId="4C3CB45E" w:rsidR="00902B01" w:rsidRDefault="00902B01" w:rsidP="00902B01">
      <w:pPr>
        <w:pStyle w:val="BodyText"/>
        <w:numPr>
          <w:ilvl w:val="0"/>
          <w:numId w:val="21"/>
        </w:numPr>
        <w:overflowPunct/>
        <w:autoSpaceDE/>
        <w:autoSpaceDN/>
        <w:adjustRightInd/>
        <w:textAlignment w:val="auto"/>
      </w:pPr>
      <w:r>
        <w:t>If, when BWP-W is active, the UE is scheduled but fails to detect the scheduling assignment, the UE may prematurely active BWP-N while the network assume</w:t>
      </w:r>
      <w:r w:rsidR="0089730B">
        <w:t>s that the wider bandwidth part</w:t>
      </w:r>
      <w:r>
        <w:t xml:space="preserve"> </w:t>
      </w:r>
      <w:r w:rsidR="0089730B">
        <w:t>(BWP-N) is</w:t>
      </w:r>
      <w:r>
        <w:t xml:space="preserve"> still active. Note that this will only happen if the UE is not further scheduled before the timer has triggered a re-activation of BWP-N.</w:t>
      </w:r>
    </w:p>
    <w:p w14:paraId="2EB52507" w14:textId="77777777" w:rsidR="00902B01" w:rsidRDefault="00902B01" w:rsidP="00902B01">
      <w:pPr>
        <w:pStyle w:val="BodyText"/>
      </w:pPr>
      <w:r>
        <w:t>However these error cases can be limited if the CORESET within which scheduling assignments are provided is the same regardless of which bandwidth part is active.</w:t>
      </w:r>
    </w:p>
    <w:p w14:paraId="765A4C24" w14:textId="56C42F27" w:rsidR="00902B01" w:rsidRDefault="00902B01" w:rsidP="00902B01">
      <w:pPr>
        <w:pStyle w:val="BodyText"/>
        <w:numPr>
          <w:ilvl w:val="0"/>
          <w:numId w:val="21"/>
        </w:numPr>
        <w:overflowPunct/>
        <w:autoSpaceDE/>
        <w:autoSpaceDN/>
        <w:adjustRightInd/>
        <w:textAlignment w:val="auto"/>
      </w:pPr>
      <w:r>
        <w:t>If, when BWP-N is active, the UE is scheduled but fails to detect the scheduling assignment, the UE will not activate BWP-W. However,</w:t>
      </w:r>
      <w:r w:rsidR="0089730B">
        <w:t xml:space="preserve"> if the CORESET is the same </w:t>
      </w:r>
      <w:r>
        <w:t>regardless of the bandwidth part, the UE will be still be able to receive sub-sequent scheduling assignments and will activate BWP-W as a reaction to those</w:t>
      </w:r>
    </w:p>
    <w:p w14:paraId="0127EFAD" w14:textId="27136FDE" w:rsidR="00902B01" w:rsidRDefault="00902B01" w:rsidP="00902B01">
      <w:pPr>
        <w:pStyle w:val="BodyText"/>
        <w:numPr>
          <w:ilvl w:val="0"/>
          <w:numId w:val="21"/>
        </w:numPr>
        <w:overflowPunct/>
        <w:autoSpaceDE/>
        <w:autoSpaceDN/>
        <w:adjustRightInd/>
        <w:textAlignment w:val="auto"/>
      </w:pPr>
      <w:r>
        <w:t>If, when BWP-W is active, the UE is scheduled but fails to detect the scheduling assignment, the UE may prematurely active BWP-N.  However,</w:t>
      </w:r>
      <w:r w:rsidR="0089730B">
        <w:t xml:space="preserve"> if the CORESET is the same </w:t>
      </w:r>
      <w:r>
        <w:t>regardless of the bandwidth part, the UE will be still be able to receive sub-sequent scheduling assignments and will re-activate BWP-W as a reaction to those</w:t>
      </w:r>
    </w:p>
    <w:p w14:paraId="74227738" w14:textId="244814F9" w:rsidR="00902B01" w:rsidRDefault="00902B01" w:rsidP="00902B01">
      <w:pPr>
        <w:pStyle w:val="BodyText"/>
      </w:pPr>
      <w:r>
        <w:t xml:space="preserve">Note that the use of the same CORESET regardless of the bandwidth part does not necessarily have to be specified but can be left to network configuration. </w:t>
      </w:r>
    </w:p>
    <w:p w14:paraId="7C59545E" w14:textId="5F32199C" w:rsidR="00324915" w:rsidRDefault="00324915" w:rsidP="00324915">
      <w:pPr>
        <w:pStyle w:val="Heading1"/>
      </w:pPr>
      <w:r>
        <w:t>Proposals</w:t>
      </w:r>
    </w:p>
    <w:p w14:paraId="5B4E3B4A" w14:textId="77777777" w:rsidR="00AB5FE1" w:rsidRPr="00AB5FE1" w:rsidRDefault="00AB5FE1" w:rsidP="00AB5FE1">
      <w:pPr>
        <w:pStyle w:val="BodyText"/>
        <w:rPr>
          <w:i/>
        </w:rPr>
      </w:pPr>
      <w:r w:rsidRPr="00AB5FE1">
        <w:rPr>
          <w:b/>
        </w:rPr>
        <w:t>Proposal 1 (</w:t>
      </w:r>
      <w:r>
        <w:rPr>
          <w:b/>
        </w:rPr>
        <w:t>c</w:t>
      </w:r>
      <w:r w:rsidRPr="00AB5FE1">
        <w:rPr>
          <w:b/>
        </w:rPr>
        <w:t>haracterization of bandwidth part):</w:t>
      </w:r>
      <w:r>
        <w:rPr>
          <w:i/>
        </w:rPr>
        <w:t xml:space="preserve"> A bandwidth part consists of a set of consecutive resource blocks within a carrier. T</w:t>
      </w:r>
      <w:r w:rsidRPr="004A1BCF">
        <w:rPr>
          <w:i/>
        </w:rPr>
        <w:t xml:space="preserve">he network can only assume that a UE can </w:t>
      </w:r>
      <w:r>
        <w:rPr>
          <w:i/>
        </w:rPr>
        <w:t xml:space="preserve">receive/transmit </w:t>
      </w:r>
      <w:r w:rsidRPr="004A1BCF">
        <w:rPr>
          <w:i/>
        </w:rPr>
        <w:t>resource block</w:t>
      </w:r>
      <w:r>
        <w:rPr>
          <w:i/>
        </w:rPr>
        <w:t>s</w:t>
      </w:r>
      <w:r w:rsidRPr="004A1BCF">
        <w:rPr>
          <w:i/>
        </w:rPr>
        <w:t xml:space="preserve"> </w:t>
      </w:r>
      <w:r>
        <w:rPr>
          <w:i/>
        </w:rPr>
        <w:t xml:space="preserve">that are </w:t>
      </w:r>
      <w:r w:rsidRPr="004A1BCF">
        <w:rPr>
          <w:i/>
        </w:rPr>
        <w:t>within the currently active downlink/uplink bandwidth part</w:t>
      </w:r>
      <w:r>
        <w:rPr>
          <w:i/>
        </w:rPr>
        <w:t xml:space="preserve"> </w:t>
      </w:r>
    </w:p>
    <w:p w14:paraId="7EC49C52" w14:textId="77777777" w:rsidR="00AB5FE1" w:rsidRDefault="00AB5FE1" w:rsidP="00AB5FE1">
      <w:pPr>
        <w:pStyle w:val="BodyText"/>
      </w:pPr>
      <w:r w:rsidRPr="00AB5FE1">
        <w:rPr>
          <w:b/>
        </w:rPr>
        <w:t>Proposal 2:</w:t>
      </w:r>
      <w:r>
        <w:t xml:space="preserve"> UE requirements on out-of-band emission, ACS, blocking, etc. are defined with respect to the overall carrier and not to any active bandwidth part. Outside of an active bandwidth part (but within the carrier), the UE behaviour should be the same as on any resource blocks within a carrier on which the UE is not scheduled to transmit (UL) or on which it is not assumed to receive (DL).</w:t>
      </w:r>
    </w:p>
    <w:p w14:paraId="2C6D4B6B" w14:textId="5335761D" w:rsidR="00CD3B95" w:rsidRPr="00CD3B95" w:rsidRDefault="00CD3B95" w:rsidP="00CD3B95">
      <w:pPr>
        <w:pStyle w:val="BodyText"/>
        <w:rPr>
          <w:color w:val="000000" w:themeColor="text1"/>
        </w:rPr>
      </w:pPr>
      <w:r w:rsidRPr="00CD3B95">
        <w:rPr>
          <w:b/>
          <w:color w:val="000000" w:themeColor="text1"/>
        </w:rPr>
        <w:t>Proposa</w:t>
      </w:r>
      <w:r>
        <w:rPr>
          <w:b/>
          <w:color w:val="000000" w:themeColor="text1"/>
        </w:rPr>
        <w:t>l</w:t>
      </w:r>
      <w:r w:rsidR="00AB5FE1">
        <w:rPr>
          <w:b/>
          <w:color w:val="000000" w:themeColor="text1"/>
        </w:rPr>
        <w:t xml:space="preserve"> 3</w:t>
      </w:r>
      <w:r w:rsidRPr="00CD3B95">
        <w:rPr>
          <w:b/>
          <w:color w:val="000000" w:themeColor="text1"/>
        </w:rPr>
        <w:t>:</w:t>
      </w:r>
      <w:r w:rsidRPr="00CD3B95">
        <w:rPr>
          <w:color w:val="000000" w:themeColor="text1"/>
        </w:rPr>
        <w:t xml:space="preserve"> </w:t>
      </w:r>
      <w:r>
        <w:rPr>
          <w:color w:val="000000" w:themeColor="text1"/>
        </w:rPr>
        <w:t xml:space="preserve">it should be possible to transmit </w:t>
      </w:r>
      <w:r w:rsidRPr="00CD3B95">
        <w:rPr>
          <w:color w:val="000000" w:themeColor="text1"/>
        </w:rPr>
        <w:t>R</w:t>
      </w:r>
      <w:r>
        <w:rPr>
          <w:color w:val="000000" w:themeColor="text1"/>
        </w:rPr>
        <w:t xml:space="preserve">MSI </w:t>
      </w:r>
      <w:r w:rsidRPr="00CD3B95">
        <w:rPr>
          <w:color w:val="000000" w:themeColor="text1"/>
        </w:rPr>
        <w:t>outside of the frequency range of the SSB</w:t>
      </w:r>
    </w:p>
    <w:p w14:paraId="7E0CDE0A" w14:textId="77777777" w:rsidR="0089730B" w:rsidRDefault="0089730B" w:rsidP="0089730B">
      <w:pPr>
        <w:pStyle w:val="BodyText"/>
      </w:pPr>
      <w:r w:rsidRPr="00CE4766">
        <w:rPr>
          <w:b/>
        </w:rPr>
        <w:t>Proposal</w:t>
      </w:r>
      <w:r>
        <w:rPr>
          <w:b/>
        </w:rPr>
        <w:t xml:space="preserve"> 4</w:t>
      </w:r>
      <w:r w:rsidRPr="00CE4766">
        <w:rPr>
          <w:b/>
        </w:rPr>
        <w:t>:</w:t>
      </w:r>
      <w:r>
        <w:t xml:space="preserve"> In case of bandwidth adaptation, activation of the wider bandwidth part should be triggered by the reception of a downlink scheduling grant</w:t>
      </w:r>
    </w:p>
    <w:p w14:paraId="2CC79D0B" w14:textId="77777777" w:rsidR="0089730B" w:rsidRDefault="0089730B" w:rsidP="0089730B">
      <w:pPr>
        <w:pStyle w:val="BodyText"/>
      </w:pPr>
      <w:r w:rsidRPr="00CE4766">
        <w:rPr>
          <w:b/>
        </w:rPr>
        <w:t>Proposal</w:t>
      </w:r>
      <w:r>
        <w:rPr>
          <w:b/>
        </w:rPr>
        <w:t xml:space="preserve"> 5: </w:t>
      </w:r>
      <w:r>
        <w:t xml:space="preserve">In case of bandwidth adaptation, activation of the more narrow bandwidth part should be timer based and be triggered when no downlink scheduling grant has been received for a certain time. </w:t>
      </w:r>
    </w:p>
    <w:p w14:paraId="5C89FCEE" w14:textId="4AECEB54" w:rsidR="00324915" w:rsidRDefault="00324915" w:rsidP="00324915">
      <w:pPr>
        <w:pStyle w:val="BodyText"/>
      </w:pPr>
      <w:r>
        <w:t xml:space="preserve">. </w:t>
      </w:r>
    </w:p>
    <w:p w14:paraId="200D5B34" w14:textId="77777777" w:rsidR="00324915" w:rsidRPr="00324915" w:rsidRDefault="00324915" w:rsidP="00324915"/>
    <w:p w14:paraId="331992BC" w14:textId="77777777" w:rsidR="00EB57F7" w:rsidRPr="0030706E" w:rsidRDefault="00EB57F7" w:rsidP="006D048F">
      <w:pPr>
        <w:pStyle w:val="Reference"/>
        <w:numPr>
          <w:ilvl w:val="0"/>
          <w:numId w:val="0"/>
        </w:numPr>
      </w:pPr>
    </w:p>
    <w:sectPr w:rsidR="00EB57F7" w:rsidRPr="0030706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9EE76" w14:textId="77777777" w:rsidR="00177703" w:rsidRDefault="00177703">
      <w:r>
        <w:separator/>
      </w:r>
    </w:p>
  </w:endnote>
  <w:endnote w:type="continuationSeparator" w:id="0">
    <w:p w14:paraId="55566A3C" w14:textId="77777777" w:rsidR="00177703" w:rsidRDefault="00177703">
      <w:r>
        <w:continuationSeparator/>
      </w:r>
    </w:p>
  </w:endnote>
  <w:endnote w:type="continuationNotice" w:id="1">
    <w:p w14:paraId="134791D2" w14:textId="77777777" w:rsidR="00177703" w:rsidRDefault="001777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D256244" w:rsidR="00CD3B95" w:rsidRDefault="00CD3B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777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7703">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DAEDC5" w14:textId="77777777" w:rsidR="00177703" w:rsidRDefault="00177703">
      <w:r>
        <w:separator/>
      </w:r>
    </w:p>
  </w:footnote>
  <w:footnote w:type="continuationSeparator" w:id="0">
    <w:p w14:paraId="41EAA356" w14:textId="77777777" w:rsidR="00177703" w:rsidRDefault="00177703">
      <w:r>
        <w:continuationSeparator/>
      </w:r>
    </w:p>
  </w:footnote>
  <w:footnote w:type="continuationNotice" w:id="1">
    <w:p w14:paraId="5C9E6B98" w14:textId="77777777" w:rsidR="00177703" w:rsidRDefault="00177703">
      <w:pPr>
        <w:spacing w:after="0"/>
      </w:pPr>
    </w:p>
  </w:footnote>
  <w:footnote w:id="2">
    <w:p w14:paraId="4946908C" w14:textId="5F71763A" w:rsidR="00CD3B95" w:rsidRPr="00CE4766" w:rsidRDefault="00CD3B95" w:rsidP="00CE4766">
      <w:pPr>
        <w:pStyle w:val="FootnoteText"/>
        <w:ind w:left="142" w:hanging="142"/>
      </w:pPr>
      <w:r>
        <w:rPr>
          <w:rStyle w:val="FootnoteReference"/>
        </w:rPr>
        <w:footnoteRef/>
      </w:r>
      <w:r>
        <w:t xml:space="preserve"> This is the same as for LTE where a UE doing initial cell search with no knowledge of the carrier bandwidth must carry out the search under the assumption that the carrier bandwidth is not larger than the minimum possible network carrier bandwidth (1.25 MHz in the general case).</w:t>
      </w:r>
    </w:p>
  </w:footnote>
  <w:footnote w:id="3">
    <w:p w14:paraId="69448219" w14:textId="77777777" w:rsidR="00CD3B95" w:rsidRPr="00F06615" w:rsidRDefault="00CD3B95" w:rsidP="00902B01">
      <w:pPr>
        <w:pStyle w:val="FootnoteText"/>
      </w:pPr>
      <w:r>
        <w:rPr>
          <w:rStyle w:val="FootnoteReference"/>
        </w:rPr>
        <w:footnoteRef/>
      </w:r>
      <w:r>
        <w:t xml:space="preserve"> At least in principle, different random-access resources could be associated with different random-access bandwidth parts. However, a certain random-access bandwidth part would still be shared by all UEs.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CD3B95" w:rsidRDefault="00CD3B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225A"/>
    <w:multiLevelType w:val="hybridMultilevel"/>
    <w:tmpl w:val="4D18ECA6"/>
    <w:lvl w:ilvl="0" w:tplc="143EDC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5D021C"/>
    <w:multiLevelType w:val="hybridMultilevel"/>
    <w:tmpl w:val="7234B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212073"/>
    <w:multiLevelType w:val="hybridMultilevel"/>
    <w:tmpl w:val="86447228"/>
    <w:lvl w:ilvl="0" w:tplc="A372D24E">
      <w:start w:val="1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CD56EA"/>
    <w:multiLevelType w:val="hybridMultilevel"/>
    <w:tmpl w:val="339E7AC2"/>
    <w:lvl w:ilvl="0" w:tplc="F336217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045ECE"/>
    <w:multiLevelType w:val="hybridMultilevel"/>
    <w:tmpl w:val="68448CB2"/>
    <w:lvl w:ilvl="0" w:tplc="F1E47B6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13"/>
  </w:num>
  <w:num w:numId="3">
    <w:abstractNumId w:val="10"/>
  </w:num>
  <w:num w:numId="4">
    <w:abstractNumId w:val="11"/>
  </w:num>
  <w:num w:numId="5">
    <w:abstractNumId w:val="7"/>
  </w:num>
  <w:num w:numId="6">
    <w:abstractNumId w:val="12"/>
  </w:num>
  <w:num w:numId="7">
    <w:abstractNumId w:val="17"/>
  </w:num>
  <w:num w:numId="8">
    <w:abstractNumId w:val="9"/>
  </w:num>
  <w:num w:numId="9">
    <w:abstractNumId w:val="15"/>
  </w:num>
  <w:num w:numId="10">
    <w:abstractNumId w:val="4"/>
  </w:num>
  <w:num w:numId="11">
    <w:abstractNumId w:val="16"/>
  </w:num>
  <w:num w:numId="12">
    <w:abstractNumId w:val="5"/>
  </w:num>
  <w:num w:numId="1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8"/>
  </w:num>
  <w:num w:numId="15">
    <w:abstractNumId w:val="18"/>
  </w:num>
  <w:num w:numId="16">
    <w:abstractNumId w:val="3"/>
  </w:num>
  <w:num w:numId="17">
    <w:abstractNumId w:val="14"/>
  </w:num>
  <w:num w:numId="18">
    <w:abstractNumId w:val="6"/>
  </w:num>
  <w:num w:numId="19">
    <w:abstractNumId w:val="20"/>
  </w:num>
  <w:num w:numId="20">
    <w:abstractNumId w:val="19"/>
  </w:num>
  <w:num w:numId="2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7D7"/>
    <w:rsid w:val="00006896"/>
    <w:rsid w:val="00007CDC"/>
    <w:rsid w:val="00007EDB"/>
    <w:rsid w:val="00010036"/>
    <w:rsid w:val="00011B28"/>
    <w:rsid w:val="00013ACA"/>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22E2"/>
    <w:rsid w:val="00042F22"/>
    <w:rsid w:val="000444EF"/>
    <w:rsid w:val="00045529"/>
    <w:rsid w:val="000476CE"/>
    <w:rsid w:val="000514C9"/>
    <w:rsid w:val="00051D67"/>
    <w:rsid w:val="00052A07"/>
    <w:rsid w:val="000534E3"/>
    <w:rsid w:val="0005606A"/>
    <w:rsid w:val="0005666E"/>
    <w:rsid w:val="00056949"/>
    <w:rsid w:val="00056D8D"/>
    <w:rsid w:val="00057117"/>
    <w:rsid w:val="00057229"/>
    <w:rsid w:val="000576EB"/>
    <w:rsid w:val="000616E7"/>
    <w:rsid w:val="00063AFF"/>
    <w:rsid w:val="0006478A"/>
    <w:rsid w:val="0006487E"/>
    <w:rsid w:val="00065E1A"/>
    <w:rsid w:val="00070287"/>
    <w:rsid w:val="00071021"/>
    <w:rsid w:val="0007265B"/>
    <w:rsid w:val="00073D8C"/>
    <w:rsid w:val="00076C39"/>
    <w:rsid w:val="00077E5F"/>
    <w:rsid w:val="0008036A"/>
    <w:rsid w:val="00081AE6"/>
    <w:rsid w:val="000855EB"/>
    <w:rsid w:val="00085B52"/>
    <w:rsid w:val="000866F2"/>
    <w:rsid w:val="0008736E"/>
    <w:rsid w:val="000879A4"/>
    <w:rsid w:val="0009009F"/>
    <w:rsid w:val="0009012F"/>
    <w:rsid w:val="0009033B"/>
    <w:rsid w:val="00091557"/>
    <w:rsid w:val="000924C1"/>
    <w:rsid w:val="000924F0"/>
    <w:rsid w:val="00092B4B"/>
    <w:rsid w:val="00093474"/>
    <w:rsid w:val="0009510F"/>
    <w:rsid w:val="00097BEA"/>
    <w:rsid w:val="000A006F"/>
    <w:rsid w:val="000A1B7B"/>
    <w:rsid w:val="000A27B7"/>
    <w:rsid w:val="000A30D7"/>
    <w:rsid w:val="000A3EEC"/>
    <w:rsid w:val="000A56F2"/>
    <w:rsid w:val="000B2719"/>
    <w:rsid w:val="000B3A8F"/>
    <w:rsid w:val="000B4AB9"/>
    <w:rsid w:val="000B58C3"/>
    <w:rsid w:val="000B61E9"/>
    <w:rsid w:val="000B66A8"/>
    <w:rsid w:val="000B7B33"/>
    <w:rsid w:val="000C165A"/>
    <w:rsid w:val="000C2E19"/>
    <w:rsid w:val="000D0D07"/>
    <w:rsid w:val="000D1214"/>
    <w:rsid w:val="000D4797"/>
    <w:rsid w:val="000E0527"/>
    <w:rsid w:val="000E17AD"/>
    <w:rsid w:val="000E1A1F"/>
    <w:rsid w:val="000E1CD0"/>
    <w:rsid w:val="000E1E92"/>
    <w:rsid w:val="000E5B77"/>
    <w:rsid w:val="000F06D6"/>
    <w:rsid w:val="000F0839"/>
    <w:rsid w:val="000F0EB1"/>
    <w:rsid w:val="000F1106"/>
    <w:rsid w:val="000F3BE9"/>
    <w:rsid w:val="000F3F6C"/>
    <w:rsid w:val="000F475C"/>
    <w:rsid w:val="000F4CE5"/>
    <w:rsid w:val="000F6DF3"/>
    <w:rsid w:val="000F7070"/>
    <w:rsid w:val="001005FF"/>
    <w:rsid w:val="00100FF6"/>
    <w:rsid w:val="00101C4E"/>
    <w:rsid w:val="00103EEB"/>
    <w:rsid w:val="00105303"/>
    <w:rsid w:val="001062FB"/>
    <w:rsid w:val="001063E6"/>
    <w:rsid w:val="00107DCE"/>
    <w:rsid w:val="00111DC7"/>
    <w:rsid w:val="00112AED"/>
    <w:rsid w:val="00113CF4"/>
    <w:rsid w:val="001153EA"/>
    <w:rsid w:val="001155DC"/>
    <w:rsid w:val="00115643"/>
    <w:rsid w:val="00115EE5"/>
    <w:rsid w:val="00116765"/>
    <w:rsid w:val="00117328"/>
    <w:rsid w:val="001219F5"/>
    <w:rsid w:val="00121A20"/>
    <w:rsid w:val="00122EDF"/>
    <w:rsid w:val="0012377F"/>
    <w:rsid w:val="00124314"/>
    <w:rsid w:val="00124D89"/>
    <w:rsid w:val="00126B4A"/>
    <w:rsid w:val="00126B9F"/>
    <w:rsid w:val="00127927"/>
    <w:rsid w:val="00132FD0"/>
    <w:rsid w:val="001344C0"/>
    <w:rsid w:val="001346FA"/>
    <w:rsid w:val="00135252"/>
    <w:rsid w:val="001353B1"/>
    <w:rsid w:val="00136F34"/>
    <w:rsid w:val="00137AB5"/>
    <w:rsid w:val="00137F0B"/>
    <w:rsid w:val="00140964"/>
    <w:rsid w:val="00142AA9"/>
    <w:rsid w:val="00142B78"/>
    <w:rsid w:val="00144082"/>
    <w:rsid w:val="0014596D"/>
    <w:rsid w:val="00145CF2"/>
    <w:rsid w:val="001477FB"/>
    <w:rsid w:val="00147B9C"/>
    <w:rsid w:val="00147B9F"/>
    <w:rsid w:val="001507D7"/>
    <w:rsid w:val="00151E23"/>
    <w:rsid w:val="001526E0"/>
    <w:rsid w:val="001528A2"/>
    <w:rsid w:val="001551B5"/>
    <w:rsid w:val="00156F68"/>
    <w:rsid w:val="0016360E"/>
    <w:rsid w:val="00164D4A"/>
    <w:rsid w:val="001659C1"/>
    <w:rsid w:val="00166E39"/>
    <w:rsid w:val="00166E7F"/>
    <w:rsid w:val="00167763"/>
    <w:rsid w:val="00170546"/>
    <w:rsid w:val="00170C0D"/>
    <w:rsid w:val="0017261D"/>
    <w:rsid w:val="00173794"/>
    <w:rsid w:val="00173A8E"/>
    <w:rsid w:val="00174693"/>
    <w:rsid w:val="001748BD"/>
    <w:rsid w:val="00175FDB"/>
    <w:rsid w:val="00177703"/>
    <w:rsid w:val="00177795"/>
    <w:rsid w:val="0018002E"/>
    <w:rsid w:val="0018129E"/>
    <w:rsid w:val="0018143F"/>
    <w:rsid w:val="0018194F"/>
    <w:rsid w:val="00181E9F"/>
    <w:rsid w:val="0018264D"/>
    <w:rsid w:val="00183D3A"/>
    <w:rsid w:val="0018412F"/>
    <w:rsid w:val="0018507F"/>
    <w:rsid w:val="001854EE"/>
    <w:rsid w:val="00185502"/>
    <w:rsid w:val="00190AC1"/>
    <w:rsid w:val="0019341A"/>
    <w:rsid w:val="00197DF9"/>
    <w:rsid w:val="001A0671"/>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C6BBD"/>
    <w:rsid w:val="001C7626"/>
    <w:rsid w:val="001D0EFD"/>
    <w:rsid w:val="001D3E0C"/>
    <w:rsid w:val="001D51BA"/>
    <w:rsid w:val="001D6342"/>
    <w:rsid w:val="001D6D53"/>
    <w:rsid w:val="001E1C24"/>
    <w:rsid w:val="001E58E2"/>
    <w:rsid w:val="001E5DA3"/>
    <w:rsid w:val="001E6E7C"/>
    <w:rsid w:val="001E7AED"/>
    <w:rsid w:val="001F238A"/>
    <w:rsid w:val="001F344D"/>
    <w:rsid w:val="001F3916"/>
    <w:rsid w:val="001F5405"/>
    <w:rsid w:val="001F54C5"/>
    <w:rsid w:val="001F662C"/>
    <w:rsid w:val="001F6F78"/>
    <w:rsid w:val="001F7074"/>
    <w:rsid w:val="001F764F"/>
    <w:rsid w:val="00200490"/>
    <w:rsid w:val="00201B75"/>
    <w:rsid w:val="00201F3A"/>
    <w:rsid w:val="00202C20"/>
    <w:rsid w:val="00203CD4"/>
    <w:rsid w:val="00203F96"/>
    <w:rsid w:val="0020411C"/>
    <w:rsid w:val="00205E74"/>
    <w:rsid w:val="002069B2"/>
    <w:rsid w:val="00206B13"/>
    <w:rsid w:val="00207FA3"/>
    <w:rsid w:val="00211537"/>
    <w:rsid w:val="002123CD"/>
    <w:rsid w:val="002123EE"/>
    <w:rsid w:val="00214DA8"/>
    <w:rsid w:val="00215423"/>
    <w:rsid w:val="002158FA"/>
    <w:rsid w:val="00220600"/>
    <w:rsid w:val="00220BB0"/>
    <w:rsid w:val="0022138B"/>
    <w:rsid w:val="002224DB"/>
    <w:rsid w:val="002226E0"/>
    <w:rsid w:val="00223FCB"/>
    <w:rsid w:val="002252C3"/>
    <w:rsid w:val="002254B5"/>
    <w:rsid w:val="00225C54"/>
    <w:rsid w:val="00226743"/>
    <w:rsid w:val="00230765"/>
    <w:rsid w:val="002319E4"/>
    <w:rsid w:val="00231A9A"/>
    <w:rsid w:val="00231B73"/>
    <w:rsid w:val="00231D5F"/>
    <w:rsid w:val="00231FDD"/>
    <w:rsid w:val="00232D4C"/>
    <w:rsid w:val="0023309C"/>
    <w:rsid w:val="002342CA"/>
    <w:rsid w:val="00235632"/>
    <w:rsid w:val="00235872"/>
    <w:rsid w:val="00240B51"/>
    <w:rsid w:val="00241202"/>
    <w:rsid w:val="00241559"/>
    <w:rsid w:val="002432E4"/>
    <w:rsid w:val="002435B3"/>
    <w:rsid w:val="002458EB"/>
    <w:rsid w:val="002500C8"/>
    <w:rsid w:val="00250C47"/>
    <w:rsid w:val="00251140"/>
    <w:rsid w:val="002512D7"/>
    <w:rsid w:val="00253522"/>
    <w:rsid w:val="00257543"/>
    <w:rsid w:val="00260380"/>
    <w:rsid w:val="002615AC"/>
    <w:rsid w:val="002617E7"/>
    <w:rsid w:val="00262C40"/>
    <w:rsid w:val="00264228"/>
    <w:rsid w:val="00264334"/>
    <w:rsid w:val="0026473E"/>
    <w:rsid w:val="00264E01"/>
    <w:rsid w:val="00266214"/>
    <w:rsid w:val="0026742B"/>
    <w:rsid w:val="00267C83"/>
    <w:rsid w:val="00270CDB"/>
    <w:rsid w:val="002712FD"/>
    <w:rsid w:val="0027144F"/>
    <w:rsid w:val="00271F3A"/>
    <w:rsid w:val="00272738"/>
    <w:rsid w:val="00273278"/>
    <w:rsid w:val="002737F4"/>
    <w:rsid w:val="002805F5"/>
    <w:rsid w:val="00280751"/>
    <w:rsid w:val="0028280A"/>
    <w:rsid w:val="00286ACD"/>
    <w:rsid w:val="00287838"/>
    <w:rsid w:val="002901B1"/>
    <w:rsid w:val="002907B5"/>
    <w:rsid w:val="00290F51"/>
    <w:rsid w:val="00292EB7"/>
    <w:rsid w:val="002944FD"/>
    <w:rsid w:val="00294E17"/>
    <w:rsid w:val="00296227"/>
    <w:rsid w:val="00296F44"/>
    <w:rsid w:val="0029745E"/>
    <w:rsid w:val="0029777D"/>
    <w:rsid w:val="002A055E"/>
    <w:rsid w:val="002A10CB"/>
    <w:rsid w:val="002A1D4E"/>
    <w:rsid w:val="002A24B9"/>
    <w:rsid w:val="002A2869"/>
    <w:rsid w:val="002B0227"/>
    <w:rsid w:val="002B02E9"/>
    <w:rsid w:val="002B0907"/>
    <w:rsid w:val="002B0C0C"/>
    <w:rsid w:val="002B24D6"/>
    <w:rsid w:val="002B4CE9"/>
    <w:rsid w:val="002B71C2"/>
    <w:rsid w:val="002C18EF"/>
    <w:rsid w:val="002C297E"/>
    <w:rsid w:val="002C41E6"/>
    <w:rsid w:val="002C6788"/>
    <w:rsid w:val="002D071A"/>
    <w:rsid w:val="002D1464"/>
    <w:rsid w:val="002D31E8"/>
    <w:rsid w:val="002D34B2"/>
    <w:rsid w:val="002D4A15"/>
    <w:rsid w:val="002D565F"/>
    <w:rsid w:val="002D5E41"/>
    <w:rsid w:val="002D7225"/>
    <w:rsid w:val="002D7637"/>
    <w:rsid w:val="002E01DD"/>
    <w:rsid w:val="002E0CF4"/>
    <w:rsid w:val="002E17F2"/>
    <w:rsid w:val="002E195E"/>
    <w:rsid w:val="002E6D28"/>
    <w:rsid w:val="002E6DDB"/>
    <w:rsid w:val="002E7CAE"/>
    <w:rsid w:val="002E7FE5"/>
    <w:rsid w:val="002F05A6"/>
    <w:rsid w:val="002F121A"/>
    <w:rsid w:val="002F2771"/>
    <w:rsid w:val="002F32D7"/>
    <w:rsid w:val="002F37A9"/>
    <w:rsid w:val="002F4197"/>
    <w:rsid w:val="002F5BBD"/>
    <w:rsid w:val="002F7F8F"/>
    <w:rsid w:val="003000B7"/>
    <w:rsid w:val="00300108"/>
    <w:rsid w:val="00301CE6"/>
    <w:rsid w:val="003023DF"/>
    <w:rsid w:val="0030256B"/>
    <w:rsid w:val="00302CA2"/>
    <w:rsid w:val="00304123"/>
    <w:rsid w:val="003042A8"/>
    <w:rsid w:val="00304F1A"/>
    <w:rsid w:val="0030501F"/>
    <w:rsid w:val="0030638C"/>
    <w:rsid w:val="0030706E"/>
    <w:rsid w:val="00307BA1"/>
    <w:rsid w:val="00310A30"/>
    <w:rsid w:val="003110D0"/>
    <w:rsid w:val="00311702"/>
    <w:rsid w:val="00311CC7"/>
    <w:rsid w:val="00311E82"/>
    <w:rsid w:val="00313A62"/>
    <w:rsid w:val="00313FD6"/>
    <w:rsid w:val="00314252"/>
    <w:rsid w:val="003143BD"/>
    <w:rsid w:val="00314D7C"/>
    <w:rsid w:val="003203ED"/>
    <w:rsid w:val="00322C50"/>
    <w:rsid w:val="00322C9F"/>
    <w:rsid w:val="003244F4"/>
    <w:rsid w:val="00324915"/>
    <w:rsid w:val="00324D23"/>
    <w:rsid w:val="003268E0"/>
    <w:rsid w:val="00331751"/>
    <w:rsid w:val="00331B7F"/>
    <w:rsid w:val="00334579"/>
    <w:rsid w:val="00335858"/>
    <w:rsid w:val="0033662A"/>
    <w:rsid w:val="00336BDA"/>
    <w:rsid w:val="00337F45"/>
    <w:rsid w:val="0034246D"/>
    <w:rsid w:val="00342BD7"/>
    <w:rsid w:val="00343A07"/>
    <w:rsid w:val="00344600"/>
    <w:rsid w:val="00346DB5"/>
    <w:rsid w:val="003477B1"/>
    <w:rsid w:val="00354137"/>
    <w:rsid w:val="00357380"/>
    <w:rsid w:val="00360037"/>
    <w:rsid w:val="003602D9"/>
    <w:rsid w:val="003604CE"/>
    <w:rsid w:val="003639EA"/>
    <w:rsid w:val="00365F79"/>
    <w:rsid w:val="00370E47"/>
    <w:rsid w:val="003742AC"/>
    <w:rsid w:val="00374C3D"/>
    <w:rsid w:val="003760C2"/>
    <w:rsid w:val="003766F3"/>
    <w:rsid w:val="00377CE1"/>
    <w:rsid w:val="00377CF1"/>
    <w:rsid w:val="00384D0A"/>
    <w:rsid w:val="00385BF0"/>
    <w:rsid w:val="0038707C"/>
    <w:rsid w:val="003939FF"/>
    <w:rsid w:val="0039565F"/>
    <w:rsid w:val="003964D9"/>
    <w:rsid w:val="003972B2"/>
    <w:rsid w:val="003A0931"/>
    <w:rsid w:val="003A1EC8"/>
    <w:rsid w:val="003A2223"/>
    <w:rsid w:val="003A2A0F"/>
    <w:rsid w:val="003A3A2E"/>
    <w:rsid w:val="003A3F21"/>
    <w:rsid w:val="003A45A1"/>
    <w:rsid w:val="003A596A"/>
    <w:rsid w:val="003A5B0A"/>
    <w:rsid w:val="003A5C65"/>
    <w:rsid w:val="003A5E71"/>
    <w:rsid w:val="003A6BAC"/>
    <w:rsid w:val="003A7EF3"/>
    <w:rsid w:val="003B159C"/>
    <w:rsid w:val="003B34DC"/>
    <w:rsid w:val="003B369F"/>
    <w:rsid w:val="003B36A3"/>
    <w:rsid w:val="003B4E27"/>
    <w:rsid w:val="003B7FE5"/>
    <w:rsid w:val="003C0945"/>
    <w:rsid w:val="003C0B77"/>
    <w:rsid w:val="003C10F9"/>
    <w:rsid w:val="003C11C8"/>
    <w:rsid w:val="003C2702"/>
    <w:rsid w:val="003C705D"/>
    <w:rsid w:val="003C7224"/>
    <w:rsid w:val="003C7806"/>
    <w:rsid w:val="003D0065"/>
    <w:rsid w:val="003D0CD4"/>
    <w:rsid w:val="003D0D3C"/>
    <w:rsid w:val="003D109F"/>
    <w:rsid w:val="003D2478"/>
    <w:rsid w:val="003D3C45"/>
    <w:rsid w:val="003D4083"/>
    <w:rsid w:val="003D5958"/>
    <w:rsid w:val="003D5B1F"/>
    <w:rsid w:val="003E15FA"/>
    <w:rsid w:val="003E1E1D"/>
    <w:rsid w:val="003E25DB"/>
    <w:rsid w:val="003E42EB"/>
    <w:rsid w:val="003E55E4"/>
    <w:rsid w:val="003E5F40"/>
    <w:rsid w:val="003E6625"/>
    <w:rsid w:val="003E74E3"/>
    <w:rsid w:val="003F05C7"/>
    <w:rsid w:val="003F26FA"/>
    <w:rsid w:val="003F2CD4"/>
    <w:rsid w:val="003F4F68"/>
    <w:rsid w:val="003F6BBE"/>
    <w:rsid w:val="004000E8"/>
    <w:rsid w:val="00402E2B"/>
    <w:rsid w:val="00404716"/>
    <w:rsid w:val="0040512B"/>
    <w:rsid w:val="00405CA5"/>
    <w:rsid w:val="00406F67"/>
    <w:rsid w:val="00407CD3"/>
    <w:rsid w:val="00410134"/>
    <w:rsid w:val="00410B3A"/>
    <w:rsid w:val="00410B72"/>
    <w:rsid w:val="00410F18"/>
    <w:rsid w:val="0041263E"/>
    <w:rsid w:val="00413AAC"/>
    <w:rsid w:val="00421105"/>
    <w:rsid w:val="0042128B"/>
    <w:rsid w:val="00423D97"/>
    <w:rsid w:val="00424254"/>
    <w:rsid w:val="004242F4"/>
    <w:rsid w:val="00427248"/>
    <w:rsid w:val="004275E8"/>
    <w:rsid w:val="004314DE"/>
    <w:rsid w:val="0043255D"/>
    <w:rsid w:val="00432EB5"/>
    <w:rsid w:val="004345F3"/>
    <w:rsid w:val="00437447"/>
    <w:rsid w:val="00437A2C"/>
    <w:rsid w:val="00441A92"/>
    <w:rsid w:val="00444F56"/>
    <w:rsid w:val="00446488"/>
    <w:rsid w:val="00447DDB"/>
    <w:rsid w:val="004517AA"/>
    <w:rsid w:val="00452B53"/>
    <w:rsid w:val="00452B5C"/>
    <w:rsid w:val="00452CAC"/>
    <w:rsid w:val="00457565"/>
    <w:rsid w:val="00457B71"/>
    <w:rsid w:val="0046443E"/>
    <w:rsid w:val="00465327"/>
    <w:rsid w:val="004664A7"/>
    <w:rsid w:val="004669E2"/>
    <w:rsid w:val="00470C31"/>
    <w:rsid w:val="004734D0"/>
    <w:rsid w:val="0047447B"/>
    <w:rsid w:val="00474CE8"/>
    <w:rsid w:val="0047556B"/>
    <w:rsid w:val="0047773C"/>
    <w:rsid w:val="00477768"/>
    <w:rsid w:val="00484FD1"/>
    <w:rsid w:val="00487E61"/>
    <w:rsid w:val="004903E5"/>
    <w:rsid w:val="00492BC5"/>
    <w:rsid w:val="004964F1"/>
    <w:rsid w:val="004A163A"/>
    <w:rsid w:val="004A16BC"/>
    <w:rsid w:val="004A2B94"/>
    <w:rsid w:val="004A34FF"/>
    <w:rsid w:val="004A39C0"/>
    <w:rsid w:val="004B009B"/>
    <w:rsid w:val="004B35D2"/>
    <w:rsid w:val="004B6991"/>
    <w:rsid w:val="004B7C0C"/>
    <w:rsid w:val="004C3898"/>
    <w:rsid w:val="004C4D69"/>
    <w:rsid w:val="004C4DBF"/>
    <w:rsid w:val="004C6818"/>
    <w:rsid w:val="004C6D58"/>
    <w:rsid w:val="004D0903"/>
    <w:rsid w:val="004D2230"/>
    <w:rsid w:val="004D36B1"/>
    <w:rsid w:val="004D49A7"/>
    <w:rsid w:val="004D49D5"/>
    <w:rsid w:val="004D4D47"/>
    <w:rsid w:val="004D7E2A"/>
    <w:rsid w:val="004D7EBD"/>
    <w:rsid w:val="004E0478"/>
    <w:rsid w:val="004E267D"/>
    <w:rsid w:val="004E2680"/>
    <w:rsid w:val="004E28F9"/>
    <w:rsid w:val="004E2C52"/>
    <w:rsid w:val="004E37A7"/>
    <w:rsid w:val="004E3CDF"/>
    <w:rsid w:val="004E462E"/>
    <w:rsid w:val="004E56DC"/>
    <w:rsid w:val="004E5829"/>
    <w:rsid w:val="004E5C9B"/>
    <w:rsid w:val="004E6B56"/>
    <w:rsid w:val="004E6BC0"/>
    <w:rsid w:val="004E76F4"/>
    <w:rsid w:val="004F0B4E"/>
    <w:rsid w:val="004F0B6C"/>
    <w:rsid w:val="004F0F42"/>
    <w:rsid w:val="004F17FD"/>
    <w:rsid w:val="004F2078"/>
    <w:rsid w:val="004F37DB"/>
    <w:rsid w:val="004F4DA3"/>
    <w:rsid w:val="004F5C38"/>
    <w:rsid w:val="00500B4A"/>
    <w:rsid w:val="0050591F"/>
    <w:rsid w:val="00506557"/>
    <w:rsid w:val="0050677A"/>
    <w:rsid w:val="005108D8"/>
    <w:rsid w:val="005116F9"/>
    <w:rsid w:val="00512A90"/>
    <w:rsid w:val="005153A7"/>
    <w:rsid w:val="005219CF"/>
    <w:rsid w:val="00523D1D"/>
    <w:rsid w:val="00534B59"/>
    <w:rsid w:val="005366D7"/>
    <w:rsid w:val="00536759"/>
    <w:rsid w:val="00537C62"/>
    <w:rsid w:val="00543986"/>
    <w:rsid w:val="00544D5B"/>
    <w:rsid w:val="00545E72"/>
    <w:rsid w:val="00546874"/>
    <w:rsid w:val="00546970"/>
    <w:rsid w:val="00546C74"/>
    <w:rsid w:val="00554E19"/>
    <w:rsid w:val="00555435"/>
    <w:rsid w:val="00556BCC"/>
    <w:rsid w:val="00557D7C"/>
    <w:rsid w:val="0056121F"/>
    <w:rsid w:val="00562566"/>
    <w:rsid w:val="00562F24"/>
    <w:rsid w:val="00564CB3"/>
    <w:rsid w:val="00566E2B"/>
    <w:rsid w:val="00567FB5"/>
    <w:rsid w:val="00570019"/>
    <w:rsid w:val="00570164"/>
    <w:rsid w:val="0057036A"/>
    <w:rsid w:val="00570C8D"/>
    <w:rsid w:val="00570F1B"/>
    <w:rsid w:val="00571F3E"/>
    <w:rsid w:val="00572505"/>
    <w:rsid w:val="005729F7"/>
    <w:rsid w:val="00582809"/>
    <w:rsid w:val="0058289B"/>
    <w:rsid w:val="00586EB3"/>
    <w:rsid w:val="0058798C"/>
    <w:rsid w:val="005900FA"/>
    <w:rsid w:val="0059095E"/>
    <w:rsid w:val="005918E9"/>
    <w:rsid w:val="005935A4"/>
    <w:rsid w:val="005948C2"/>
    <w:rsid w:val="00595DCA"/>
    <w:rsid w:val="00595EC8"/>
    <w:rsid w:val="005969BD"/>
    <w:rsid w:val="0059779B"/>
    <w:rsid w:val="005A0A5B"/>
    <w:rsid w:val="005A209A"/>
    <w:rsid w:val="005A61E5"/>
    <w:rsid w:val="005A662D"/>
    <w:rsid w:val="005A748E"/>
    <w:rsid w:val="005B06F5"/>
    <w:rsid w:val="005B161E"/>
    <w:rsid w:val="005B35D7"/>
    <w:rsid w:val="005B392A"/>
    <w:rsid w:val="005B3AA3"/>
    <w:rsid w:val="005B3F59"/>
    <w:rsid w:val="005B4289"/>
    <w:rsid w:val="005B4308"/>
    <w:rsid w:val="005B6F83"/>
    <w:rsid w:val="005C0B51"/>
    <w:rsid w:val="005C0C58"/>
    <w:rsid w:val="005C3BE1"/>
    <w:rsid w:val="005C4B57"/>
    <w:rsid w:val="005C74FB"/>
    <w:rsid w:val="005D1602"/>
    <w:rsid w:val="005D22E6"/>
    <w:rsid w:val="005E0F14"/>
    <w:rsid w:val="005E1A85"/>
    <w:rsid w:val="005E385F"/>
    <w:rsid w:val="005E5469"/>
    <w:rsid w:val="005E5B81"/>
    <w:rsid w:val="005E6AAA"/>
    <w:rsid w:val="005E6B9A"/>
    <w:rsid w:val="005F10E8"/>
    <w:rsid w:val="005F219B"/>
    <w:rsid w:val="005F2AFA"/>
    <w:rsid w:val="005F2CB1"/>
    <w:rsid w:val="005F3025"/>
    <w:rsid w:val="005F5CA4"/>
    <w:rsid w:val="005F618C"/>
    <w:rsid w:val="005F70BD"/>
    <w:rsid w:val="005F70DE"/>
    <w:rsid w:val="00601F06"/>
    <w:rsid w:val="0060283C"/>
    <w:rsid w:val="00603B36"/>
    <w:rsid w:val="00604256"/>
    <w:rsid w:val="00604F14"/>
    <w:rsid w:val="006118FC"/>
    <w:rsid w:val="00611B83"/>
    <w:rsid w:val="00613010"/>
    <w:rsid w:val="00613257"/>
    <w:rsid w:val="0061717D"/>
    <w:rsid w:val="00617C2C"/>
    <w:rsid w:val="00620A71"/>
    <w:rsid w:val="00620D80"/>
    <w:rsid w:val="00620DC3"/>
    <w:rsid w:val="00621B29"/>
    <w:rsid w:val="00622F44"/>
    <w:rsid w:val="006234A6"/>
    <w:rsid w:val="0062431E"/>
    <w:rsid w:val="00624B66"/>
    <w:rsid w:val="00625318"/>
    <w:rsid w:val="00630001"/>
    <w:rsid w:val="00630264"/>
    <w:rsid w:val="00630BA7"/>
    <w:rsid w:val="006311B3"/>
    <w:rsid w:val="0063284C"/>
    <w:rsid w:val="00635F58"/>
    <w:rsid w:val="00636398"/>
    <w:rsid w:val="006368D3"/>
    <w:rsid w:val="00637247"/>
    <w:rsid w:val="006377EC"/>
    <w:rsid w:val="0064151F"/>
    <w:rsid w:val="00641533"/>
    <w:rsid w:val="0064208D"/>
    <w:rsid w:val="00643475"/>
    <w:rsid w:val="006438EE"/>
    <w:rsid w:val="0064396A"/>
    <w:rsid w:val="0064624E"/>
    <w:rsid w:val="0064715B"/>
    <w:rsid w:val="00650AB9"/>
    <w:rsid w:val="00652923"/>
    <w:rsid w:val="00655733"/>
    <w:rsid w:val="00655ACD"/>
    <w:rsid w:val="00656734"/>
    <w:rsid w:val="00656A92"/>
    <w:rsid w:val="00656DDE"/>
    <w:rsid w:val="00660020"/>
    <w:rsid w:val="0066011D"/>
    <w:rsid w:val="006607C0"/>
    <w:rsid w:val="006613A6"/>
    <w:rsid w:val="006627A2"/>
    <w:rsid w:val="00662E0C"/>
    <w:rsid w:val="00663469"/>
    <w:rsid w:val="006634E6"/>
    <w:rsid w:val="00664C16"/>
    <w:rsid w:val="006655EE"/>
    <w:rsid w:val="00667EE7"/>
    <w:rsid w:val="00670000"/>
    <w:rsid w:val="00670922"/>
    <w:rsid w:val="00670BE1"/>
    <w:rsid w:val="006710D8"/>
    <w:rsid w:val="006720B3"/>
    <w:rsid w:val="0067218F"/>
    <w:rsid w:val="006741F2"/>
    <w:rsid w:val="00674CC3"/>
    <w:rsid w:val="00674F55"/>
    <w:rsid w:val="00675B5F"/>
    <w:rsid w:val="00675C72"/>
    <w:rsid w:val="00676157"/>
    <w:rsid w:val="00676D03"/>
    <w:rsid w:val="006771F9"/>
    <w:rsid w:val="006776D7"/>
    <w:rsid w:val="00681003"/>
    <w:rsid w:val="006817C9"/>
    <w:rsid w:val="00683ECE"/>
    <w:rsid w:val="006842B9"/>
    <w:rsid w:val="00685147"/>
    <w:rsid w:val="00686E10"/>
    <w:rsid w:val="006876D5"/>
    <w:rsid w:val="00691E97"/>
    <w:rsid w:val="00695FC2"/>
    <w:rsid w:val="00696949"/>
    <w:rsid w:val="00697052"/>
    <w:rsid w:val="0069729E"/>
    <w:rsid w:val="006A0A1C"/>
    <w:rsid w:val="006A0E90"/>
    <w:rsid w:val="006A3006"/>
    <w:rsid w:val="006A36EF"/>
    <w:rsid w:val="006A46FB"/>
    <w:rsid w:val="006A5717"/>
    <w:rsid w:val="006A5E28"/>
    <w:rsid w:val="006A697B"/>
    <w:rsid w:val="006A70FC"/>
    <w:rsid w:val="006A7AFF"/>
    <w:rsid w:val="006B1816"/>
    <w:rsid w:val="006B2099"/>
    <w:rsid w:val="006B32FA"/>
    <w:rsid w:val="006B4B81"/>
    <w:rsid w:val="006B50CF"/>
    <w:rsid w:val="006B5BE6"/>
    <w:rsid w:val="006B6278"/>
    <w:rsid w:val="006B6866"/>
    <w:rsid w:val="006C03B8"/>
    <w:rsid w:val="006C3409"/>
    <w:rsid w:val="006C5761"/>
    <w:rsid w:val="006C5BA8"/>
    <w:rsid w:val="006C5EC9"/>
    <w:rsid w:val="006C5F7D"/>
    <w:rsid w:val="006C6059"/>
    <w:rsid w:val="006C7522"/>
    <w:rsid w:val="006D048F"/>
    <w:rsid w:val="006D1623"/>
    <w:rsid w:val="006D209E"/>
    <w:rsid w:val="006D20E1"/>
    <w:rsid w:val="006D2139"/>
    <w:rsid w:val="006D2CB6"/>
    <w:rsid w:val="006D409B"/>
    <w:rsid w:val="006D6F08"/>
    <w:rsid w:val="006E062C"/>
    <w:rsid w:val="006E1725"/>
    <w:rsid w:val="006E28B7"/>
    <w:rsid w:val="006E3310"/>
    <w:rsid w:val="006E3F07"/>
    <w:rsid w:val="006E4E39"/>
    <w:rsid w:val="006E565E"/>
    <w:rsid w:val="006E673D"/>
    <w:rsid w:val="006E7D3B"/>
    <w:rsid w:val="006F03E4"/>
    <w:rsid w:val="006F0E91"/>
    <w:rsid w:val="006F14F2"/>
    <w:rsid w:val="006F1B70"/>
    <w:rsid w:val="006F341D"/>
    <w:rsid w:val="006F3CDE"/>
    <w:rsid w:val="006F58D4"/>
    <w:rsid w:val="006F642D"/>
    <w:rsid w:val="00701692"/>
    <w:rsid w:val="0070346E"/>
    <w:rsid w:val="00703C66"/>
    <w:rsid w:val="00704EDB"/>
    <w:rsid w:val="00706101"/>
    <w:rsid w:val="0070655A"/>
    <w:rsid w:val="00706DC5"/>
    <w:rsid w:val="00707072"/>
    <w:rsid w:val="00707D61"/>
    <w:rsid w:val="00711B0A"/>
    <w:rsid w:val="00712287"/>
    <w:rsid w:val="00712552"/>
    <w:rsid w:val="00712772"/>
    <w:rsid w:val="007148D3"/>
    <w:rsid w:val="0071499B"/>
    <w:rsid w:val="0071565A"/>
    <w:rsid w:val="00715B9A"/>
    <w:rsid w:val="00716F2B"/>
    <w:rsid w:val="00716F2E"/>
    <w:rsid w:val="0071747C"/>
    <w:rsid w:val="00720D98"/>
    <w:rsid w:val="00726EA6"/>
    <w:rsid w:val="00727208"/>
    <w:rsid w:val="00727680"/>
    <w:rsid w:val="00730A5D"/>
    <w:rsid w:val="00733A03"/>
    <w:rsid w:val="00733CB3"/>
    <w:rsid w:val="007348B1"/>
    <w:rsid w:val="007362A6"/>
    <w:rsid w:val="007369A2"/>
    <w:rsid w:val="00736D7D"/>
    <w:rsid w:val="00737B78"/>
    <w:rsid w:val="00740E58"/>
    <w:rsid w:val="00742086"/>
    <w:rsid w:val="00742371"/>
    <w:rsid w:val="007445A0"/>
    <w:rsid w:val="0074524B"/>
    <w:rsid w:val="007472D1"/>
    <w:rsid w:val="00747D8B"/>
    <w:rsid w:val="00750E8F"/>
    <w:rsid w:val="00751228"/>
    <w:rsid w:val="007522D8"/>
    <w:rsid w:val="00753C5D"/>
    <w:rsid w:val="007557B4"/>
    <w:rsid w:val="007566E1"/>
    <w:rsid w:val="007571E1"/>
    <w:rsid w:val="007604B2"/>
    <w:rsid w:val="0076267E"/>
    <w:rsid w:val="00763252"/>
    <w:rsid w:val="00765281"/>
    <w:rsid w:val="00766BAD"/>
    <w:rsid w:val="007705B8"/>
    <w:rsid w:val="007730BD"/>
    <w:rsid w:val="00773F17"/>
    <w:rsid w:val="00775163"/>
    <w:rsid w:val="007755F2"/>
    <w:rsid w:val="0077585D"/>
    <w:rsid w:val="00776971"/>
    <w:rsid w:val="00777130"/>
    <w:rsid w:val="00777E81"/>
    <w:rsid w:val="0078177E"/>
    <w:rsid w:val="0078304C"/>
    <w:rsid w:val="00783673"/>
    <w:rsid w:val="007845DC"/>
    <w:rsid w:val="00785490"/>
    <w:rsid w:val="00786E6E"/>
    <w:rsid w:val="00787B08"/>
    <w:rsid w:val="0079075E"/>
    <w:rsid w:val="00791306"/>
    <w:rsid w:val="007925EA"/>
    <w:rsid w:val="00793CD8"/>
    <w:rsid w:val="007955C7"/>
    <w:rsid w:val="00795C92"/>
    <w:rsid w:val="00795EEA"/>
    <w:rsid w:val="00796231"/>
    <w:rsid w:val="00797D7F"/>
    <w:rsid w:val="007A1CB3"/>
    <w:rsid w:val="007A306F"/>
    <w:rsid w:val="007A43A6"/>
    <w:rsid w:val="007A512C"/>
    <w:rsid w:val="007A58A6"/>
    <w:rsid w:val="007A7157"/>
    <w:rsid w:val="007B3632"/>
    <w:rsid w:val="007B3D2D"/>
    <w:rsid w:val="007B50AE"/>
    <w:rsid w:val="007B51DF"/>
    <w:rsid w:val="007B5283"/>
    <w:rsid w:val="007B71A3"/>
    <w:rsid w:val="007C05DD"/>
    <w:rsid w:val="007C3D18"/>
    <w:rsid w:val="007C60BF"/>
    <w:rsid w:val="007C6A07"/>
    <w:rsid w:val="007C75A1"/>
    <w:rsid w:val="007C77A5"/>
    <w:rsid w:val="007D04E5"/>
    <w:rsid w:val="007D1315"/>
    <w:rsid w:val="007D173E"/>
    <w:rsid w:val="007D304B"/>
    <w:rsid w:val="007D386C"/>
    <w:rsid w:val="007D3CA6"/>
    <w:rsid w:val="007D43F4"/>
    <w:rsid w:val="007D497F"/>
    <w:rsid w:val="007D5506"/>
    <w:rsid w:val="007D5901"/>
    <w:rsid w:val="007D640C"/>
    <w:rsid w:val="007D7159"/>
    <w:rsid w:val="007D7526"/>
    <w:rsid w:val="007D7912"/>
    <w:rsid w:val="007D7CB2"/>
    <w:rsid w:val="007E1602"/>
    <w:rsid w:val="007E3E0A"/>
    <w:rsid w:val="007E4610"/>
    <w:rsid w:val="007E46DE"/>
    <w:rsid w:val="007E4715"/>
    <w:rsid w:val="007E505B"/>
    <w:rsid w:val="007E5D1B"/>
    <w:rsid w:val="007E7091"/>
    <w:rsid w:val="007F09D8"/>
    <w:rsid w:val="007F4F6E"/>
    <w:rsid w:val="007F565E"/>
    <w:rsid w:val="007F7A9E"/>
    <w:rsid w:val="00800ED0"/>
    <w:rsid w:val="00803FAE"/>
    <w:rsid w:val="008041A9"/>
    <w:rsid w:val="00804708"/>
    <w:rsid w:val="00805E0E"/>
    <w:rsid w:val="0080605F"/>
    <w:rsid w:val="00807786"/>
    <w:rsid w:val="00811FCB"/>
    <w:rsid w:val="00812072"/>
    <w:rsid w:val="00814FE6"/>
    <w:rsid w:val="008158D6"/>
    <w:rsid w:val="00817196"/>
    <w:rsid w:val="0081782A"/>
    <w:rsid w:val="00817EC7"/>
    <w:rsid w:val="0082247E"/>
    <w:rsid w:val="0082276B"/>
    <w:rsid w:val="008235DB"/>
    <w:rsid w:val="008247D6"/>
    <w:rsid w:val="00824AB4"/>
    <w:rsid w:val="00825B3C"/>
    <w:rsid w:val="00825C42"/>
    <w:rsid w:val="00825D25"/>
    <w:rsid w:val="00826F90"/>
    <w:rsid w:val="00827D6F"/>
    <w:rsid w:val="008305BD"/>
    <w:rsid w:val="00830A27"/>
    <w:rsid w:val="008323AE"/>
    <w:rsid w:val="00835287"/>
    <w:rsid w:val="00835D7E"/>
    <w:rsid w:val="008365E8"/>
    <w:rsid w:val="0083666B"/>
    <w:rsid w:val="00836B3D"/>
    <w:rsid w:val="008376AC"/>
    <w:rsid w:val="00840358"/>
    <w:rsid w:val="0084390D"/>
    <w:rsid w:val="008444E8"/>
    <w:rsid w:val="00844E80"/>
    <w:rsid w:val="008457DE"/>
    <w:rsid w:val="00846FE7"/>
    <w:rsid w:val="0085128C"/>
    <w:rsid w:val="00851771"/>
    <w:rsid w:val="00852D00"/>
    <w:rsid w:val="00855090"/>
    <w:rsid w:val="00856911"/>
    <w:rsid w:val="00856EFA"/>
    <w:rsid w:val="00860E7F"/>
    <w:rsid w:val="0086172A"/>
    <w:rsid w:val="008632AD"/>
    <w:rsid w:val="008641A8"/>
    <w:rsid w:val="00864766"/>
    <w:rsid w:val="008648B3"/>
    <w:rsid w:val="008649AD"/>
    <w:rsid w:val="008677FD"/>
    <w:rsid w:val="00867D75"/>
    <w:rsid w:val="008706D4"/>
    <w:rsid w:val="00870F8A"/>
    <w:rsid w:val="008719A4"/>
    <w:rsid w:val="00871D23"/>
    <w:rsid w:val="00874312"/>
    <w:rsid w:val="0087437C"/>
    <w:rsid w:val="00875CD7"/>
    <w:rsid w:val="00876B4D"/>
    <w:rsid w:val="00877F18"/>
    <w:rsid w:val="00883405"/>
    <w:rsid w:val="00886B7D"/>
    <w:rsid w:val="008903FE"/>
    <w:rsid w:val="00890DEA"/>
    <w:rsid w:val="00894A88"/>
    <w:rsid w:val="00895386"/>
    <w:rsid w:val="008953CB"/>
    <w:rsid w:val="00895561"/>
    <w:rsid w:val="0089593E"/>
    <w:rsid w:val="00895AD9"/>
    <w:rsid w:val="008967DC"/>
    <w:rsid w:val="00896B56"/>
    <w:rsid w:val="0089730B"/>
    <w:rsid w:val="008A21FF"/>
    <w:rsid w:val="008A2CE2"/>
    <w:rsid w:val="008A30AC"/>
    <w:rsid w:val="008A44B8"/>
    <w:rsid w:val="008A4A5E"/>
    <w:rsid w:val="008A51A8"/>
    <w:rsid w:val="008A54C7"/>
    <w:rsid w:val="008A77D8"/>
    <w:rsid w:val="008A7A95"/>
    <w:rsid w:val="008B046A"/>
    <w:rsid w:val="008B0483"/>
    <w:rsid w:val="008B120C"/>
    <w:rsid w:val="008B1722"/>
    <w:rsid w:val="008B3562"/>
    <w:rsid w:val="008B51A0"/>
    <w:rsid w:val="008B592A"/>
    <w:rsid w:val="008B6FA4"/>
    <w:rsid w:val="008B73A9"/>
    <w:rsid w:val="008B7B5C"/>
    <w:rsid w:val="008C0C99"/>
    <w:rsid w:val="008C1631"/>
    <w:rsid w:val="008C2017"/>
    <w:rsid w:val="008C48E6"/>
    <w:rsid w:val="008C4958"/>
    <w:rsid w:val="008C4BAA"/>
    <w:rsid w:val="008C5A7F"/>
    <w:rsid w:val="008C6AE8"/>
    <w:rsid w:val="008C7573"/>
    <w:rsid w:val="008D1A14"/>
    <w:rsid w:val="008D34F1"/>
    <w:rsid w:val="008D39D8"/>
    <w:rsid w:val="008D413B"/>
    <w:rsid w:val="008D4B77"/>
    <w:rsid w:val="008D6D1A"/>
    <w:rsid w:val="008E065E"/>
    <w:rsid w:val="008E0927"/>
    <w:rsid w:val="008E1843"/>
    <w:rsid w:val="008E1909"/>
    <w:rsid w:val="008F1EAB"/>
    <w:rsid w:val="008F2ABE"/>
    <w:rsid w:val="008F33DC"/>
    <w:rsid w:val="008F477F"/>
    <w:rsid w:val="008F4C47"/>
    <w:rsid w:val="008F725C"/>
    <w:rsid w:val="00902350"/>
    <w:rsid w:val="00902B01"/>
    <w:rsid w:val="0090336B"/>
    <w:rsid w:val="0090373D"/>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B66"/>
    <w:rsid w:val="0092762E"/>
    <w:rsid w:val="00931BD9"/>
    <w:rsid w:val="00935B32"/>
    <w:rsid w:val="009368F3"/>
    <w:rsid w:val="009413F8"/>
    <w:rsid w:val="009414E8"/>
    <w:rsid w:val="00941636"/>
    <w:rsid w:val="0094298D"/>
    <w:rsid w:val="00943742"/>
    <w:rsid w:val="00943F21"/>
    <w:rsid w:val="00945C05"/>
    <w:rsid w:val="00946945"/>
    <w:rsid w:val="00947713"/>
    <w:rsid w:val="00950DE7"/>
    <w:rsid w:val="009525B1"/>
    <w:rsid w:val="00953920"/>
    <w:rsid w:val="00953D47"/>
    <w:rsid w:val="00954AE3"/>
    <w:rsid w:val="0095681E"/>
    <w:rsid w:val="009572D4"/>
    <w:rsid w:val="00961148"/>
    <w:rsid w:val="00961921"/>
    <w:rsid w:val="0096430A"/>
    <w:rsid w:val="0096518D"/>
    <w:rsid w:val="0096554B"/>
    <w:rsid w:val="0096584A"/>
    <w:rsid w:val="00971AA7"/>
    <w:rsid w:val="00971F08"/>
    <w:rsid w:val="00975A11"/>
    <w:rsid w:val="0097603D"/>
    <w:rsid w:val="00976949"/>
    <w:rsid w:val="00976E66"/>
    <w:rsid w:val="00980477"/>
    <w:rsid w:val="00980E90"/>
    <w:rsid w:val="009810A2"/>
    <w:rsid w:val="00981653"/>
    <w:rsid w:val="0098381D"/>
    <w:rsid w:val="00983A7C"/>
    <w:rsid w:val="00984FDD"/>
    <w:rsid w:val="00985253"/>
    <w:rsid w:val="009853B3"/>
    <w:rsid w:val="0098620A"/>
    <w:rsid w:val="0098632C"/>
    <w:rsid w:val="00987E80"/>
    <w:rsid w:val="00990630"/>
    <w:rsid w:val="00991761"/>
    <w:rsid w:val="009921F5"/>
    <w:rsid w:val="00992A22"/>
    <w:rsid w:val="00994DCA"/>
    <w:rsid w:val="00995A19"/>
    <w:rsid w:val="009960EC"/>
    <w:rsid w:val="009970DD"/>
    <w:rsid w:val="009A0FBA"/>
    <w:rsid w:val="009A1601"/>
    <w:rsid w:val="009A462D"/>
    <w:rsid w:val="009A5835"/>
    <w:rsid w:val="009A5CBA"/>
    <w:rsid w:val="009A6F0E"/>
    <w:rsid w:val="009B1F30"/>
    <w:rsid w:val="009B3AC2"/>
    <w:rsid w:val="009B4DF4"/>
    <w:rsid w:val="009B4FF0"/>
    <w:rsid w:val="009B564E"/>
    <w:rsid w:val="009B786D"/>
    <w:rsid w:val="009B78D7"/>
    <w:rsid w:val="009B7E87"/>
    <w:rsid w:val="009C0EEC"/>
    <w:rsid w:val="009C11C1"/>
    <w:rsid w:val="009C2D17"/>
    <w:rsid w:val="009C403E"/>
    <w:rsid w:val="009C5D6A"/>
    <w:rsid w:val="009D21C2"/>
    <w:rsid w:val="009D4FF0"/>
    <w:rsid w:val="009D6F94"/>
    <w:rsid w:val="009D703C"/>
    <w:rsid w:val="009D718F"/>
    <w:rsid w:val="009E068F"/>
    <w:rsid w:val="009E14E0"/>
    <w:rsid w:val="009E35DB"/>
    <w:rsid w:val="009E47A3"/>
    <w:rsid w:val="009E6849"/>
    <w:rsid w:val="009F08F3"/>
    <w:rsid w:val="009F18A9"/>
    <w:rsid w:val="009F2CA0"/>
    <w:rsid w:val="009F344F"/>
    <w:rsid w:val="009F7898"/>
    <w:rsid w:val="00A02E75"/>
    <w:rsid w:val="00A048A8"/>
    <w:rsid w:val="00A04F49"/>
    <w:rsid w:val="00A053BC"/>
    <w:rsid w:val="00A10887"/>
    <w:rsid w:val="00A13E54"/>
    <w:rsid w:val="00A16DB6"/>
    <w:rsid w:val="00A17B8C"/>
    <w:rsid w:val="00A17F63"/>
    <w:rsid w:val="00A207DD"/>
    <w:rsid w:val="00A2193B"/>
    <w:rsid w:val="00A220BC"/>
    <w:rsid w:val="00A2351A"/>
    <w:rsid w:val="00A264A9"/>
    <w:rsid w:val="00A275C6"/>
    <w:rsid w:val="00A27785"/>
    <w:rsid w:val="00A30187"/>
    <w:rsid w:val="00A30BBE"/>
    <w:rsid w:val="00A3448A"/>
    <w:rsid w:val="00A36297"/>
    <w:rsid w:val="00A40019"/>
    <w:rsid w:val="00A41B97"/>
    <w:rsid w:val="00A41E2B"/>
    <w:rsid w:val="00A41E67"/>
    <w:rsid w:val="00A45B74"/>
    <w:rsid w:val="00A500D6"/>
    <w:rsid w:val="00A52E1D"/>
    <w:rsid w:val="00A5322A"/>
    <w:rsid w:val="00A54176"/>
    <w:rsid w:val="00A54210"/>
    <w:rsid w:val="00A54B08"/>
    <w:rsid w:val="00A570F2"/>
    <w:rsid w:val="00A5758B"/>
    <w:rsid w:val="00A607F0"/>
    <w:rsid w:val="00A61499"/>
    <w:rsid w:val="00A62A77"/>
    <w:rsid w:val="00A63483"/>
    <w:rsid w:val="00A653DB"/>
    <w:rsid w:val="00A657D7"/>
    <w:rsid w:val="00A660AC"/>
    <w:rsid w:val="00A67E6C"/>
    <w:rsid w:val="00A71B99"/>
    <w:rsid w:val="00A7315F"/>
    <w:rsid w:val="00A739D0"/>
    <w:rsid w:val="00A761D4"/>
    <w:rsid w:val="00A76739"/>
    <w:rsid w:val="00A77441"/>
    <w:rsid w:val="00A7758A"/>
    <w:rsid w:val="00A77EC4"/>
    <w:rsid w:val="00A8033B"/>
    <w:rsid w:val="00A80920"/>
    <w:rsid w:val="00A825E5"/>
    <w:rsid w:val="00A9122E"/>
    <w:rsid w:val="00A92879"/>
    <w:rsid w:val="00A9367F"/>
    <w:rsid w:val="00A93F55"/>
    <w:rsid w:val="00A93FC2"/>
    <w:rsid w:val="00A9442A"/>
    <w:rsid w:val="00A94AD8"/>
    <w:rsid w:val="00A955E0"/>
    <w:rsid w:val="00A95CF5"/>
    <w:rsid w:val="00A967B9"/>
    <w:rsid w:val="00AA016F"/>
    <w:rsid w:val="00AA0356"/>
    <w:rsid w:val="00AA1ED6"/>
    <w:rsid w:val="00AA3A6B"/>
    <w:rsid w:val="00AA3BFA"/>
    <w:rsid w:val="00AA4801"/>
    <w:rsid w:val="00AA51D6"/>
    <w:rsid w:val="00AA7B3A"/>
    <w:rsid w:val="00AB0BC8"/>
    <w:rsid w:val="00AB11CA"/>
    <w:rsid w:val="00AB14D9"/>
    <w:rsid w:val="00AB1598"/>
    <w:rsid w:val="00AB1AE8"/>
    <w:rsid w:val="00AB2646"/>
    <w:rsid w:val="00AB2EE5"/>
    <w:rsid w:val="00AB4AB8"/>
    <w:rsid w:val="00AB5FE1"/>
    <w:rsid w:val="00AB655E"/>
    <w:rsid w:val="00AC007F"/>
    <w:rsid w:val="00AC16EC"/>
    <w:rsid w:val="00AC2ECD"/>
    <w:rsid w:val="00AC3119"/>
    <w:rsid w:val="00AC49FB"/>
    <w:rsid w:val="00AC4B2B"/>
    <w:rsid w:val="00AC4DFF"/>
    <w:rsid w:val="00AC5A10"/>
    <w:rsid w:val="00AD0AA3"/>
    <w:rsid w:val="00AD3F94"/>
    <w:rsid w:val="00AD4A5A"/>
    <w:rsid w:val="00AD571B"/>
    <w:rsid w:val="00AD6819"/>
    <w:rsid w:val="00AD791E"/>
    <w:rsid w:val="00AE27AC"/>
    <w:rsid w:val="00AE3270"/>
    <w:rsid w:val="00AE40E0"/>
    <w:rsid w:val="00AE4DBA"/>
    <w:rsid w:val="00AE4F07"/>
    <w:rsid w:val="00AE5AE8"/>
    <w:rsid w:val="00AE6B46"/>
    <w:rsid w:val="00AE6CFE"/>
    <w:rsid w:val="00AE7CA0"/>
    <w:rsid w:val="00AF0A19"/>
    <w:rsid w:val="00AF1A85"/>
    <w:rsid w:val="00AF1C5D"/>
    <w:rsid w:val="00AF42D7"/>
    <w:rsid w:val="00B006FE"/>
    <w:rsid w:val="00B007CB"/>
    <w:rsid w:val="00B014C3"/>
    <w:rsid w:val="00B026B6"/>
    <w:rsid w:val="00B02AA9"/>
    <w:rsid w:val="00B02FA3"/>
    <w:rsid w:val="00B04ACC"/>
    <w:rsid w:val="00B05084"/>
    <w:rsid w:val="00B05522"/>
    <w:rsid w:val="00B05920"/>
    <w:rsid w:val="00B07227"/>
    <w:rsid w:val="00B07C49"/>
    <w:rsid w:val="00B10020"/>
    <w:rsid w:val="00B11466"/>
    <w:rsid w:val="00B119E8"/>
    <w:rsid w:val="00B1337F"/>
    <w:rsid w:val="00B13714"/>
    <w:rsid w:val="00B13B4D"/>
    <w:rsid w:val="00B157F9"/>
    <w:rsid w:val="00B173F8"/>
    <w:rsid w:val="00B20256"/>
    <w:rsid w:val="00B20D09"/>
    <w:rsid w:val="00B273AB"/>
    <w:rsid w:val="00B2763F"/>
    <w:rsid w:val="00B27AAC"/>
    <w:rsid w:val="00B30929"/>
    <w:rsid w:val="00B311E9"/>
    <w:rsid w:val="00B335D3"/>
    <w:rsid w:val="00B372AA"/>
    <w:rsid w:val="00B40445"/>
    <w:rsid w:val="00B41888"/>
    <w:rsid w:val="00B4408D"/>
    <w:rsid w:val="00B453B9"/>
    <w:rsid w:val="00B45A52"/>
    <w:rsid w:val="00B46175"/>
    <w:rsid w:val="00B47E43"/>
    <w:rsid w:val="00B5198C"/>
    <w:rsid w:val="00B52112"/>
    <w:rsid w:val="00B52376"/>
    <w:rsid w:val="00B5335A"/>
    <w:rsid w:val="00B5723B"/>
    <w:rsid w:val="00B5724B"/>
    <w:rsid w:val="00B60EF1"/>
    <w:rsid w:val="00B6188F"/>
    <w:rsid w:val="00B63CB8"/>
    <w:rsid w:val="00B64E41"/>
    <w:rsid w:val="00B6526E"/>
    <w:rsid w:val="00B664C7"/>
    <w:rsid w:val="00B739F6"/>
    <w:rsid w:val="00B77590"/>
    <w:rsid w:val="00B80A2B"/>
    <w:rsid w:val="00B815A5"/>
    <w:rsid w:val="00B81A6C"/>
    <w:rsid w:val="00B81BE4"/>
    <w:rsid w:val="00B842A0"/>
    <w:rsid w:val="00B85DE5"/>
    <w:rsid w:val="00B90F73"/>
    <w:rsid w:val="00B9125F"/>
    <w:rsid w:val="00B912BA"/>
    <w:rsid w:val="00B9371D"/>
    <w:rsid w:val="00B93B59"/>
    <w:rsid w:val="00B9406A"/>
    <w:rsid w:val="00B965F4"/>
    <w:rsid w:val="00BA2280"/>
    <w:rsid w:val="00BA2A08"/>
    <w:rsid w:val="00BA56D2"/>
    <w:rsid w:val="00BA62FA"/>
    <w:rsid w:val="00BA634F"/>
    <w:rsid w:val="00BA6C49"/>
    <w:rsid w:val="00BA76E0"/>
    <w:rsid w:val="00BB0976"/>
    <w:rsid w:val="00BB207A"/>
    <w:rsid w:val="00BB2A25"/>
    <w:rsid w:val="00BB51E9"/>
    <w:rsid w:val="00BB5C77"/>
    <w:rsid w:val="00BB6024"/>
    <w:rsid w:val="00BC09B8"/>
    <w:rsid w:val="00BC0FDC"/>
    <w:rsid w:val="00BC1D29"/>
    <w:rsid w:val="00BC3053"/>
    <w:rsid w:val="00BC3E1C"/>
    <w:rsid w:val="00BC4D2E"/>
    <w:rsid w:val="00BC5E44"/>
    <w:rsid w:val="00BD00D1"/>
    <w:rsid w:val="00BD0C37"/>
    <w:rsid w:val="00BD445E"/>
    <w:rsid w:val="00BD48AC"/>
    <w:rsid w:val="00BD5C65"/>
    <w:rsid w:val="00BD5F1A"/>
    <w:rsid w:val="00BD762E"/>
    <w:rsid w:val="00BE0C77"/>
    <w:rsid w:val="00BE1234"/>
    <w:rsid w:val="00BE17CD"/>
    <w:rsid w:val="00BE2322"/>
    <w:rsid w:val="00BE2FA6"/>
    <w:rsid w:val="00BE333F"/>
    <w:rsid w:val="00BE404F"/>
    <w:rsid w:val="00BE7406"/>
    <w:rsid w:val="00BE7603"/>
    <w:rsid w:val="00BE773B"/>
    <w:rsid w:val="00BF0097"/>
    <w:rsid w:val="00BF3279"/>
    <w:rsid w:val="00BF74C7"/>
    <w:rsid w:val="00C008AE"/>
    <w:rsid w:val="00C015F1"/>
    <w:rsid w:val="00C01F33"/>
    <w:rsid w:val="00C02CC6"/>
    <w:rsid w:val="00C02E46"/>
    <w:rsid w:val="00C040F7"/>
    <w:rsid w:val="00C041B0"/>
    <w:rsid w:val="00C044AB"/>
    <w:rsid w:val="00C05706"/>
    <w:rsid w:val="00C07377"/>
    <w:rsid w:val="00C07E87"/>
    <w:rsid w:val="00C10037"/>
    <w:rsid w:val="00C10478"/>
    <w:rsid w:val="00C10779"/>
    <w:rsid w:val="00C1093B"/>
    <w:rsid w:val="00C12107"/>
    <w:rsid w:val="00C14D4B"/>
    <w:rsid w:val="00C14F1F"/>
    <w:rsid w:val="00C154BB"/>
    <w:rsid w:val="00C15F04"/>
    <w:rsid w:val="00C20166"/>
    <w:rsid w:val="00C21D57"/>
    <w:rsid w:val="00C23790"/>
    <w:rsid w:val="00C24A9D"/>
    <w:rsid w:val="00C25F2F"/>
    <w:rsid w:val="00C27624"/>
    <w:rsid w:val="00C279B5"/>
    <w:rsid w:val="00C27C45"/>
    <w:rsid w:val="00C322A8"/>
    <w:rsid w:val="00C32380"/>
    <w:rsid w:val="00C36AB0"/>
    <w:rsid w:val="00C3719D"/>
    <w:rsid w:val="00C37778"/>
    <w:rsid w:val="00C43E08"/>
    <w:rsid w:val="00C46B47"/>
    <w:rsid w:val="00C5028B"/>
    <w:rsid w:val="00C54995"/>
    <w:rsid w:val="00C54D41"/>
    <w:rsid w:val="00C564F4"/>
    <w:rsid w:val="00C57B03"/>
    <w:rsid w:val="00C60783"/>
    <w:rsid w:val="00C61C6C"/>
    <w:rsid w:val="00C64672"/>
    <w:rsid w:val="00C66FD4"/>
    <w:rsid w:val="00C704D9"/>
    <w:rsid w:val="00C70697"/>
    <w:rsid w:val="00C72EF4"/>
    <w:rsid w:val="00C758DF"/>
    <w:rsid w:val="00C75B34"/>
    <w:rsid w:val="00C75D2F"/>
    <w:rsid w:val="00C767BE"/>
    <w:rsid w:val="00C76E3C"/>
    <w:rsid w:val="00C77721"/>
    <w:rsid w:val="00C7775C"/>
    <w:rsid w:val="00C80444"/>
    <w:rsid w:val="00C80973"/>
    <w:rsid w:val="00C81568"/>
    <w:rsid w:val="00C9027A"/>
    <w:rsid w:val="00C9068E"/>
    <w:rsid w:val="00C939AA"/>
    <w:rsid w:val="00C93C4B"/>
    <w:rsid w:val="00C944AB"/>
    <w:rsid w:val="00C95B40"/>
    <w:rsid w:val="00C95B67"/>
    <w:rsid w:val="00C961CE"/>
    <w:rsid w:val="00C968EC"/>
    <w:rsid w:val="00CA1B65"/>
    <w:rsid w:val="00CA1ED8"/>
    <w:rsid w:val="00CA2D38"/>
    <w:rsid w:val="00CA3506"/>
    <w:rsid w:val="00CA424B"/>
    <w:rsid w:val="00CA4F77"/>
    <w:rsid w:val="00CB1F63"/>
    <w:rsid w:val="00CB2EF7"/>
    <w:rsid w:val="00CB456D"/>
    <w:rsid w:val="00CB462A"/>
    <w:rsid w:val="00CB4675"/>
    <w:rsid w:val="00CB6DFE"/>
    <w:rsid w:val="00CB7170"/>
    <w:rsid w:val="00CC040E"/>
    <w:rsid w:val="00CC111F"/>
    <w:rsid w:val="00CC15EA"/>
    <w:rsid w:val="00CC2011"/>
    <w:rsid w:val="00CC3EA0"/>
    <w:rsid w:val="00CC4B9F"/>
    <w:rsid w:val="00CC5691"/>
    <w:rsid w:val="00CC5738"/>
    <w:rsid w:val="00CC61B0"/>
    <w:rsid w:val="00CC61C9"/>
    <w:rsid w:val="00CC6F59"/>
    <w:rsid w:val="00CC7B45"/>
    <w:rsid w:val="00CD1188"/>
    <w:rsid w:val="00CD2ED1"/>
    <w:rsid w:val="00CD337B"/>
    <w:rsid w:val="00CD3B95"/>
    <w:rsid w:val="00CD42BE"/>
    <w:rsid w:val="00CD582F"/>
    <w:rsid w:val="00CD60E3"/>
    <w:rsid w:val="00CD676E"/>
    <w:rsid w:val="00CD7A35"/>
    <w:rsid w:val="00CD7B7A"/>
    <w:rsid w:val="00CD7CC2"/>
    <w:rsid w:val="00CE0424"/>
    <w:rsid w:val="00CE1295"/>
    <w:rsid w:val="00CE180F"/>
    <w:rsid w:val="00CE227E"/>
    <w:rsid w:val="00CE2C58"/>
    <w:rsid w:val="00CE36CF"/>
    <w:rsid w:val="00CE4766"/>
    <w:rsid w:val="00CE6967"/>
    <w:rsid w:val="00CE7561"/>
    <w:rsid w:val="00CF010C"/>
    <w:rsid w:val="00CF0BBE"/>
    <w:rsid w:val="00CF1354"/>
    <w:rsid w:val="00CF3B1F"/>
    <w:rsid w:val="00CF3BF6"/>
    <w:rsid w:val="00CF625B"/>
    <w:rsid w:val="00CF687E"/>
    <w:rsid w:val="00CF7BA4"/>
    <w:rsid w:val="00D00035"/>
    <w:rsid w:val="00D033E3"/>
    <w:rsid w:val="00D0349B"/>
    <w:rsid w:val="00D04C4C"/>
    <w:rsid w:val="00D057AE"/>
    <w:rsid w:val="00D10249"/>
    <w:rsid w:val="00D115C3"/>
    <w:rsid w:val="00D11897"/>
    <w:rsid w:val="00D12C1B"/>
    <w:rsid w:val="00D12E10"/>
    <w:rsid w:val="00D13047"/>
    <w:rsid w:val="00D13135"/>
    <w:rsid w:val="00D13E4E"/>
    <w:rsid w:val="00D17D6A"/>
    <w:rsid w:val="00D21B70"/>
    <w:rsid w:val="00D2323C"/>
    <w:rsid w:val="00D239A7"/>
    <w:rsid w:val="00D23F47"/>
    <w:rsid w:val="00D244C5"/>
    <w:rsid w:val="00D2450E"/>
    <w:rsid w:val="00D31A4C"/>
    <w:rsid w:val="00D34B4C"/>
    <w:rsid w:val="00D34D96"/>
    <w:rsid w:val="00D3599B"/>
    <w:rsid w:val="00D36BB2"/>
    <w:rsid w:val="00D36E71"/>
    <w:rsid w:val="00D37186"/>
    <w:rsid w:val="00D37D87"/>
    <w:rsid w:val="00D40B33"/>
    <w:rsid w:val="00D4318F"/>
    <w:rsid w:val="00D438BF"/>
    <w:rsid w:val="00D440F8"/>
    <w:rsid w:val="00D44DFA"/>
    <w:rsid w:val="00D4676C"/>
    <w:rsid w:val="00D500FF"/>
    <w:rsid w:val="00D50F97"/>
    <w:rsid w:val="00D5231F"/>
    <w:rsid w:val="00D52EDC"/>
    <w:rsid w:val="00D546FF"/>
    <w:rsid w:val="00D55AD5"/>
    <w:rsid w:val="00D576CA"/>
    <w:rsid w:val="00D61AF5"/>
    <w:rsid w:val="00D61F8F"/>
    <w:rsid w:val="00D636A0"/>
    <w:rsid w:val="00D64104"/>
    <w:rsid w:val="00D644C1"/>
    <w:rsid w:val="00D64519"/>
    <w:rsid w:val="00D652B5"/>
    <w:rsid w:val="00D65797"/>
    <w:rsid w:val="00D66155"/>
    <w:rsid w:val="00D708B0"/>
    <w:rsid w:val="00D71D2F"/>
    <w:rsid w:val="00D745AB"/>
    <w:rsid w:val="00D74E34"/>
    <w:rsid w:val="00D76A8B"/>
    <w:rsid w:val="00D77B1D"/>
    <w:rsid w:val="00D8021F"/>
    <w:rsid w:val="00D80383"/>
    <w:rsid w:val="00D823C6"/>
    <w:rsid w:val="00D86CA3"/>
    <w:rsid w:val="00D871CE"/>
    <w:rsid w:val="00D9196D"/>
    <w:rsid w:val="00D92982"/>
    <w:rsid w:val="00D92F39"/>
    <w:rsid w:val="00D9420F"/>
    <w:rsid w:val="00D9503E"/>
    <w:rsid w:val="00DA226D"/>
    <w:rsid w:val="00DA305E"/>
    <w:rsid w:val="00DA3FA6"/>
    <w:rsid w:val="00DA5417"/>
    <w:rsid w:val="00DA55EB"/>
    <w:rsid w:val="00DA56E8"/>
    <w:rsid w:val="00DB0A9F"/>
    <w:rsid w:val="00DB128C"/>
    <w:rsid w:val="00DB2E53"/>
    <w:rsid w:val="00DB377D"/>
    <w:rsid w:val="00DB4335"/>
    <w:rsid w:val="00DB5306"/>
    <w:rsid w:val="00DB6E61"/>
    <w:rsid w:val="00DC2D36"/>
    <w:rsid w:val="00DC2D80"/>
    <w:rsid w:val="00DC3107"/>
    <w:rsid w:val="00DC3716"/>
    <w:rsid w:val="00DC3F27"/>
    <w:rsid w:val="00DC491F"/>
    <w:rsid w:val="00DC4D50"/>
    <w:rsid w:val="00DC53EF"/>
    <w:rsid w:val="00DC7D97"/>
    <w:rsid w:val="00DD0F3B"/>
    <w:rsid w:val="00DD5680"/>
    <w:rsid w:val="00DD68AB"/>
    <w:rsid w:val="00DD6CB5"/>
    <w:rsid w:val="00DD6FC2"/>
    <w:rsid w:val="00DE18D8"/>
    <w:rsid w:val="00DE306E"/>
    <w:rsid w:val="00DE4FEF"/>
    <w:rsid w:val="00DE5608"/>
    <w:rsid w:val="00DE58D0"/>
    <w:rsid w:val="00DE654F"/>
    <w:rsid w:val="00DF0B6E"/>
    <w:rsid w:val="00DF15E0"/>
    <w:rsid w:val="00DF31B7"/>
    <w:rsid w:val="00DF37A0"/>
    <w:rsid w:val="00DF4917"/>
    <w:rsid w:val="00E110E7"/>
    <w:rsid w:val="00E11B20"/>
    <w:rsid w:val="00E13C0E"/>
    <w:rsid w:val="00E17FA2"/>
    <w:rsid w:val="00E20A6C"/>
    <w:rsid w:val="00E21714"/>
    <w:rsid w:val="00E22330"/>
    <w:rsid w:val="00E24F71"/>
    <w:rsid w:val="00E2737B"/>
    <w:rsid w:val="00E27AA3"/>
    <w:rsid w:val="00E30225"/>
    <w:rsid w:val="00E30B5A"/>
    <w:rsid w:val="00E30C30"/>
    <w:rsid w:val="00E30D7C"/>
    <w:rsid w:val="00E3123D"/>
    <w:rsid w:val="00E31461"/>
    <w:rsid w:val="00E31D43"/>
    <w:rsid w:val="00E32608"/>
    <w:rsid w:val="00E3289B"/>
    <w:rsid w:val="00E3391C"/>
    <w:rsid w:val="00E34188"/>
    <w:rsid w:val="00E34B6E"/>
    <w:rsid w:val="00E35559"/>
    <w:rsid w:val="00E3723A"/>
    <w:rsid w:val="00E37860"/>
    <w:rsid w:val="00E43C38"/>
    <w:rsid w:val="00E446F1"/>
    <w:rsid w:val="00E45919"/>
    <w:rsid w:val="00E467A5"/>
    <w:rsid w:val="00E46886"/>
    <w:rsid w:val="00E47AEF"/>
    <w:rsid w:val="00E50177"/>
    <w:rsid w:val="00E50188"/>
    <w:rsid w:val="00E53B75"/>
    <w:rsid w:val="00E54E3B"/>
    <w:rsid w:val="00E55DFA"/>
    <w:rsid w:val="00E57565"/>
    <w:rsid w:val="00E62CF0"/>
    <w:rsid w:val="00E63838"/>
    <w:rsid w:val="00E64434"/>
    <w:rsid w:val="00E669F1"/>
    <w:rsid w:val="00E67C51"/>
    <w:rsid w:val="00E67DEC"/>
    <w:rsid w:val="00E70EEC"/>
    <w:rsid w:val="00E71CF8"/>
    <w:rsid w:val="00E71E34"/>
    <w:rsid w:val="00E72EFC"/>
    <w:rsid w:val="00E7355D"/>
    <w:rsid w:val="00E751CE"/>
    <w:rsid w:val="00E758EC"/>
    <w:rsid w:val="00E76E18"/>
    <w:rsid w:val="00E80385"/>
    <w:rsid w:val="00E8234C"/>
    <w:rsid w:val="00E82C4D"/>
    <w:rsid w:val="00E83064"/>
    <w:rsid w:val="00E83AA9"/>
    <w:rsid w:val="00E83AC9"/>
    <w:rsid w:val="00E85928"/>
    <w:rsid w:val="00E87822"/>
    <w:rsid w:val="00E90395"/>
    <w:rsid w:val="00E90E49"/>
    <w:rsid w:val="00E917F9"/>
    <w:rsid w:val="00E9291C"/>
    <w:rsid w:val="00E93FFE"/>
    <w:rsid w:val="00E94F8A"/>
    <w:rsid w:val="00E9583B"/>
    <w:rsid w:val="00EA30CC"/>
    <w:rsid w:val="00EA41B8"/>
    <w:rsid w:val="00EA4A9E"/>
    <w:rsid w:val="00EA54ED"/>
    <w:rsid w:val="00EA7A41"/>
    <w:rsid w:val="00EB077B"/>
    <w:rsid w:val="00EB3AF5"/>
    <w:rsid w:val="00EB4C93"/>
    <w:rsid w:val="00EB4EA2"/>
    <w:rsid w:val="00EB5722"/>
    <w:rsid w:val="00EB57F7"/>
    <w:rsid w:val="00EC24C5"/>
    <w:rsid w:val="00EC27C6"/>
    <w:rsid w:val="00EC4207"/>
    <w:rsid w:val="00EC5653"/>
    <w:rsid w:val="00EC7041"/>
    <w:rsid w:val="00EC71CE"/>
    <w:rsid w:val="00EC781B"/>
    <w:rsid w:val="00EC78F2"/>
    <w:rsid w:val="00ED1006"/>
    <w:rsid w:val="00ED3BA3"/>
    <w:rsid w:val="00ED4531"/>
    <w:rsid w:val="00ED4BD4"/>
    <w:rsid w:val="00ED6A87"/>
    <w:rsid w:val="00EE66C7"/>
    <w:rsid w:val="00EE6FDC"/>
    <w:rsid w:val="00EE7DBF"/>
    <w:rsid w:val="00EE7F10"/>
    <w:rsid w:val="00EF0C74"/>
    <w:rsid w:val="00EF18FE"/>
    <w:rsid w:val="00EF191A"/>
    <w:rsid w:val="00EF1EA9"/>
    <w:rsid w:val="00EF3C49"/>
    <w:rsid w:val="00EF5787"/>
    <w:rsid w:val="00EF5838"/>
    <w:rsid w:val="00EF60D0"/>
    <w:rsid w:val="00EF7623"/>
    <w:rsid w:val="00F01A05"/>
    <w:rsid w:val="00F01B4A"/>
    <w:rsid w:val="00F02322"/>
    <w:rsid w:val="00F02DB2"/>
    <w:rsid w:val="00F02EAC"/>
    <w:rsid w:val="00F0320F"/>
    <w:rsid w:val="00F03D6C"/>
    <w:rsid w:val="00F0528D"/>
    <w:rsid w:val="00F06C67"/>
    <w:rsid w:val="00F06DFD"/>
    <w:rsid w:val="00F071D1"/>
    <w:rsid w:val="00F07533"/>
    <w:rsid w:val="00F078E5"/>
    <w:rsid w:val="00F10629"/>
    <w:rsid w:val="00F11B63"/>
    <w:rsid w:val="00F141C0"/>
    <w:rsid w:val="00F15FA5"/>
    <w:rsid w:val="00F209B7"/>
    <w:rsid w:val="00F2376F"/>
    <w:rsid w:val="00F243D8"/>
    <w:rsid w:val="00F25605"/>
    <w:rsid w:val="00F25E84"/>
    <w:rsid w:val="00F30828"/>
    <w:rsid w:val="00F313D6"/>
    <w:rsid w:val="00F32B3E"/>
    <w:rsid w:val="00F40F0C"/>
    <w:rsid w:val="00F425D5"/>
    <w:rsid w:val="00F473CA"/>
    <w:rsid w:val="00F4766C"/>
    <w:rsid w:val="00F507D1"/>
    <w:rsid w:val="00F519CE"/>
    <w:rsid w:val="00F51ADA"/>
    <w:rsid w:val="00F563F5"/>
    <w:rsid w:val="00F56BBD"/>
    <w:rsid w:val="00F607C5"/>
    <w:rsid w:val="00F60DEA"/>
    <w:rsid w:val="00F61CF3"/>
    <w:rsid w:val="00F6302A"/>
    <w:rsid w:val="00F63775"/>
    <w:rsid w:val="00F64C2B"/>
    <w:rsid w:val="00F651BE"/>
    <w:rsid w:val="00F66EB7"/>
    <w:rsid w:val="00F67F53"/>
    <w:rsid w:val="00F703BE"/>
    <w:rsid w:val="00F71F69"/>
    <w:rsid w:val="00F72B72"/>
    <w:rsid w:val="00F73AE2"/>
    <w:rsid w:val="00F74BB9"/>
    <w:rsid w:val="00F75582"/>
    <w:rsid w:val="00F76CA5"/>
    <w:rsid w:val="00F76DBA"/>
    <w:rsid w:val="00F76EFA"/>
    <w:rsid w:val="00F804BE"/>
    <w:rsid w:val="00F817CE"/>
    <w:rsid w:val="00F84440"/>
    <w:rsid w:val="00F8456C"/>
    <w:rsid w:val="00F859D8"/>
    <w:rsid w:val="00F868F5"/>
    <w:rsid w:val="00F9056A"/>
    <w:rsid w:val="00F90F8D"/>
    <w:rsid w:val="00F92782"/>
    <w:rsid w:val="00F93AA9"/>
    <w:rsid w:val="00F95C49"/>
    <w:rsid w:val="00F96985"/>
    <w:rsid w:val="00F97838"/>
    <w:rsid w:val="00FA11E7"/>
    <w:rsid w:val="00FA2BB3"/>
    <w:rsid w:val="00FA46B8"/>
    <w:rsid w:val="00FA5448"/>
    <w:rsid w:val="00FA6F0B"/>
    <w:rsid w:val="00FA7634"/>
    <w:rsid w:val="00FA7BF1"/>
    <w:rsid w:val="00FB0938"/>
    <w:rsid w:val="00FB40B5"/>
    <w:rsid w:val="00FB4C80"/>
    <w:rsid w:val="00FB545B"/>
    <w:rsid w:val="00FB57D8"/>
    <w:rsid w:val="00FB6A6A"/>
    <w:rsid w:val="00FB7965"/>
    <w:rsid w:val="00FC2D0D"/>
    <w:rsid w:val="00FC7429"/>
    <w:rsid w:val="00FC7AFC"/>
    <w:rsid w:val="00FD0620"/>
    <w:rsid w:val="00FD07F6"/>
    <w:rsid w:val="00FD0A60"/>
    <w:rsid w:val="00FD1EC8"/>
    <w:rsid w:val="00FD2222"/>
    <w:rsid w:val="00FD47ED"/>
    <w:rsid w:val="00FD5DD1"/>
    <w:rsid w:val="00FD74DB"/>
    <w:rsid w:val="00FD7660"/>
    <w:rsid w:val="00FE0655"/>
    <w:rsid w:val="00FE2365"/>
    <w:rsid w:val="00FE3DDF"/>
    <w:rsid w:val="00FE4C7B"/>
    <w:rsid w:val="00FE6989"/>
    <w:rsid w:val="00FE7336"/>
    <w:rsid w:val="00FE787C"/>
    <w:rsid w:val="00FF09CC"/>
    <w:rsid w:val="00FF1171"/>
    <w:rsid w:val="00FF12BE"/>
    <w:rsid w:val="00FF2AE3"/>
    <w:rsid w:val="00FF319F"/>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uiPriority w:val="99"/>
    <w:semiHidden/>
    <w:rsid w:val="00D50F97"/>
    <w:rPr>
      <w:b/>
      <w:bCs/>
      <w:position w:val="6"/>
      <w:sz w:val="16"/>
      <w:szCs w:val="16"/>
    </w:rPr>
  </w:style>
  <w:style w:type="paragraph" w:styleId="FootnoteText">
    <w:name w:val="footnote text"/>
    <w:basedOn w:val="Normal"/>
    <w:link w:val="FootnoteTextChar"/>
    <w:uiPriority w:val="99"/>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BA634F"/>
    <w:rPr>
      <w:color w:val="808080"/>
    </w:rPr>
  </w:style>
  <w:style w:type="character" w:customStyle="1" w:styleId="ListParagraphChar">
    <w:name w:val="List Paragraph Char"/>
    <w:link w:val="ListParagraph"/>
    <w:uiPriority w:val="34"/>
    <w:locked/>
    <w:rsid w:val="008B1722"/>
    <w:rPr>
      <w:rFonts w:ascii="Calibri" w:eastAsiaTheme="minorHAnsi" w:hAnsi="Calibri"/>
      <w:sz w:val="22"/>
      <w:szCs w:val="22"/>
      <w:lang w:val="sv-SE" w:eastAsia="sv-SE"/>
    </w:rPr>
  </w:style>
  <w:style w:type="character" w:customStyle="1" w:styleId="FootnoteTextChar">
    <w:name w:val="Footnote Text Char"/>
    <w:basedOn w:val="DefaultParagraphFont"/>
    <w:link w:val="FootnoteText"/>
    <w:uiPriority w:val="99"/>
    <w:semiHidden/>
    <w:rsid w:val="00902B01"/>
    <w:rPr>
      <w:rFonts w:ascii="Arial" w:hAnsi="Arial"/>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76576354">
      <w:bodyDiv w:val="1"/>
      <w:marLeft w:val="0"/>
      <w:marRight w:val="0"/>
      <w:marTop w:val="0"/>
      <w:marBottom w:val="0"/>
      <w:divBdr>
        <w:top w:val="none" w:sz="0" w:space="0" w:color="auto"/>
        <w:left w:val="none" w:sz="0" w:space="0" w:color="auto"/>
        <w:bottom w:val="none" w:sz="0" w:space="0" w:color="auto"/>
        <w:right w:val="none" w:sz="0" w:space="0" w:color="auto"/>
      </w:divBdr>
      <w:divsChild>
        <w:div w:id="1943757877">
          <w:marLeft w:val="835"/>
          <w:marRight w:val="0"/>
          <w:marTop w:val="96"/>
          <w:marBottom w:val="0"/>
          <w:divBdr>
            <w:top w:val="none" w:sz="0" w:space="0" w:color="auto"/>
            <w:left w:val="none" w:sz="0" w:space="0" w:color="auto"/>
            <w:bottom w:val="none" w:sz="0" w:space="0" w:color="auto"/>
            <w:right w:val="none" w:sz="0" w:space="0" w:color="auto"/>
          </w:divBdr>
        </w:div>
        <w:div w:id="700320648">
          <w:marLeft w:val="1411"/>
          <w:marRight w:val="0"/>
          <w:marTop w:val="96"/>
          <w:marBottom w:val="0"/>
          <w:divBdr>
            <w:top w:val="none" w:sz="0" w:space="0" w:color="auto"/>
            <w:left w:val="none" w:sz="0" w:space="0" w:color="auto"/>
            <w:bottom w:val="none" w:sz="0" w:space="0" w:color="auto"/>
            <w:right w:val="none" w:sz="0" w:space="0" w:color="auto"/>
          </w:divBdr>
        </w:div>
        <w:div w:id="831145610">
          <w:marLeft w:val="1411"/>
          <w:marRight w:val="0"/>
          <w:marTop w:val="96"/>
          <w:marBottom w:val="0"/>
          <w:divBdr>
            <w:top w:val="none" w:sz="0" w:space="0" w:color="auto"/>
            <w:left w:val="none" w:sz="0" w:space="0" w:color="auto"/>
            <w:bottom w:val="none" w:sz="0" w:space="0" w:color="auto"/>
            <w:right w:val="none" w:sz="0" w:space="0" w:color="auto"/>
          </w:divBdr>
        </w:div>
        <w:div w:id="811408338">
          <w:marLeft w:val="1411"/>
          <w:marRight w:val="0"/>
          <w:marTop w:val="96"/>
          <w:marBottom w:val="0"/>
          <w:divBdr>
            <w:top w:val="none" w:sz="0" w:space="0" w:color="auto"/>
            <w:left w:val="none" w:sz="0" w:space="0" w:color="auto"/>
            <w:bottom w:val="none" w:sz="0" w:space="0" w:color="auto"/>
            <w:right w:val="none" w:sz="0" w:space="0" w:color="auto"/>
          </w:divBdr>
        </w:div>
        <w:div w:id="751466377">
          <w:marLeft w:val="1411"/>
          <w:marRight w:val="0"/>
          <w:marTop w:val="96"/>
          <w:marBottom w:val="0"/>
          <w:divBdr>
            <w:top w:val="none" w:sz="0" w:space="0" w:color="auto"/>
            <w:left w:val="none" w:sz="0" w:space="0" w:color="auto"/>
            <w:bottom w:val="none" w:sz="0" w:space="0" w:color="auto"/>
            <w:right w:val="none" w:sz="0" w:space="0" w:color="auto"/>
          </w:divBdr>
        </w:div>
        <w:div w:id="770005221">
          <w:marLeft w:val="1411"/>
          <w:marRight w:val="0"/>
          <w:marTop w:val="96"/>
          <w:marBottom w:val="0"/>
          <w:divBdr>
            <w:top w:val="none" w:sz="0" w:space="0" w:color="auto"/>
            <w:left w:val="none" w:sz="0" w:space="0" w:color="auto"/>
            <w:bottom w:val="none" w:sz="0" w:space="0" w:color="auto"/>
            <w:right w:val="none" w:sz="0" w:space="0" w:color="auto"/>
          </w:divBdr>
        </w:div>
        <w:div w:id="903297091">
          <w:marLeft w:val="1411"/>
          <w:marRight w:val="0"/>
          <w:marTop w:val="96"/>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486748635">
      <w:bodyDiv w:val="1"/>
      <w:marLeft w:val="0"/>
      <w:marRight w:val="0"/>
      <w:marTop w:val="0"/>
      <w:marBottom w:val="0"/>
      <w:divBdr>
        <w:top w:val="none" w:sz="0" w:space="0" w:color="auto"/>
        <w:left w:val="none" w:sz="0" w:space="0" w:color="auto"/>
        <w:bottom w:val="none" w:sz="0" w:space="0" w:color="auto"/>
        <w:right w:val="none" w:sz="0" w:space="0" w:color="auto"/>
      </w:divBdr>
    </w:div>
    <w:div w:id="846138254">
      <w:bodyDiv w:val="1"/>
      <w:marLeft w:val="0"/>
      <w:marRight w:val="0"/>
      <w:marTop w:val="0"/>
      <w:marBottom w:val="0"/>
      <w:divBdr>
        <w:top w:val="none" w:sz="0" w:space="0" w:color="auto"/>
        <w:left w:val="none" w:sz="0" w:space="0" w:color="auto"/>
        <w:bottom w:val="none" w:sz="0" w:space="0" w:color="auto"/>
        <w:right w:val="none" w:sz="0" w:space="0" w:color="auto"/>
      </w:divBdr>
    </w:div>
    <w:div w:id="901525189">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794639908">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5NUHHDQN7SK2-1-116314</_dlc_DocId>
    <_dlc_DocIdUrl xmlns="08b2df90-05d3-4030-90d4-c9feeb4a1cd9">
      <Url>https://ericoll.internal.ericsson.com/sites/STAR/_layouts/DocIdRedir.aspx?ID=5NUHHDQN7SK2-1-116314</Url>
      <Description>5NUHHDQN7SK2-1-116314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2.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3.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80C2DE46-D0AD-4F9D-BA88-09C4956578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EDBC7721-E7BD-452A-B41F-545C4D9DA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47</TotalTime>
  <Pages>4</Pages>
  <Words>1553</Words>
  <Characters>8854</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Ericsson</vt:lpstr>
      <vt:lpstr>Discussion</vt:lpstr>
      <vt:lpstr>    Initial SSB search</vt:lpstr>
      <vt:lpstr>    Acquiring RMSI</vt:lpstr>
      <vt:lpstr>    Random access</vt:lpstr>
      <vt:lpstr>    Configuring a dedicated bandwidth part </vt:lpstr>
      <vt:lpstr>    Idle state operation</vt:lpstr>
      <vt:lpstr>    Bandwidth adaptation</vt:lpstr>
      <vt:lpstr>Proposals</vt:lpstr>
    </vt:vector>
  </TitlesOfParts>
  <Company>Ericsson</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Erik Dahlman</cp:lastModifiedBy>
  <cp:revision>5</cp:revision>
  <cp:lastPrinted>2017-08-09T06:37:00Z</cp:lastPrinted>
  <dcterms:created xsi:type="dcterms:W3CDTF">2017-08-10T20:02:00Z</dcterms:created>
  <dcterms:modified xsi:type="dcterms:W3CDTF">2017-08-10T20:51:00Z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74b220f1-57d1-4caa-bf55-e10841e1b086</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