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F3DB4" w14:textId="77777777" w:rsidR="005C1564" w:rsidRDefault="005C1564" w:rsidP="002966E4">
      <w:pPr>
        <w:pStyle w:val="Header"/>
        <w:tabs>
          <w:tab w:val="left" w:pos="1800"/>
        </w:tabs>
        <w:ind w:left="1800" w:hanging="1800"/>
        <w:rPr>
          <w:sz w:val="22"/>
        </w:rPr>
      </w:pPr>
      <w:bookmarkStart w:id="0" w:name="_Hlk485112250"/>
      <w:bookmarkEnd w:id="0"/>
    </w:p>
    <w:p w14:paraId="607E1B75" w14:textId="5B12B178" w:rsidR="002966E4" w:rsidRPr="002175C0" w:rsidRDefault="002966E4" w:rsidP="002966E4">
      <w:pPr>
        <w:pStyle w:val="Header"/>
        <w:tabs>
          <w:tab w:val="left" w:pos="1800"/>
        </w:tabs>
        <w:ind w:left="1800" w:hanging="1800"/>
        <w:rPr>
          <w:sz w:val="22"/>
        </w:rPr>
      </w:pPr>
      <w:bookmarkStart w:id="1" w:name="_GoBack"/>
      <w:bookmarkEnd w:id="1"/>
      <w:r w:rsidRPr="002175C0">
        <w:rPr>
          <w:sz w:val="22"/>
        </w:rPr>
        <w:t xml:space="preserve">3GPP TSG RAN WG1 </w:t>
      </w:r>
      <w:r w:rsidR="005C1564">
        <w:rPr>
          <w:sz w:val="22"/>
        </w:rPr>
        <w:t>Meeting</w:t>
      </w:r>
      <w:r w:rsidRPr="002175C0">
        <w:rPr>
          <w:sz w:val="22"/>
        </w:rPr>
        <w:t xml:space="preserve">#90                                       </w:t>
      </w:r>
      <w:r w:rsidR="00652D28">
        <w:rPr>
          <w:sz w:val="22"/>
        </w:rPr>
        <w:tab/>
      </w:r>
      <w:r w:rsidR="00652D28">
        <w:rPr>
          <w:sz w:val="22"/>
        </w:rPr>
        <w:tab/>
      </w:r>
      <w:r w:rsidRPr="002175C0">
        <w:rPr>
          <w:sz w:val="22"/>
        </w:rPr>
        <w:tab/>
      </w:r>
      <w:r w:rsidR="005C1564">
        <w:rPr>
          <w:sz w:val="22"/>
        </w:rPr>
        <w:tab/>
      </w:r>
      <w:r w:rsidRPr="002175C0">
        <w:rPr>
          <w:sz w:val="22"/>
        </w:rPr>
        <w:t>R1-</w:t>
      </w:r>
      <w:r w:rsidR="0085228C" w:rsidRPr="002175C0">
        <w:rPr>
          <w:sz w:val="22"/>
        </w:rPr>
        <w:t>171</w:t>
      </w:r>
      <w:r w:rsidR="005C1564">
        <w:rPr>
          <w:sz w:val="22"/>
        </w:rPr>
        <w:t>4</w:t>
      </w:r>
      <w:r w:rsidR="0085228C">
        <w:rPr>
          <w:sz w:val="22"/>
        </w:rPr>
        <w:t>461</w:t>
      </w:r>
    </w:p>
    <w:p w14:paraId="60F038FC" w14:textId="77777777" w:rsidR="002966E4" w:rsidRPr="002175C0" w:rsidRDefault="002966E4" w:rsidP="002966E4">
      <w:pPr>
        <w:pStyle w:val="Header"/>
        <w:tabs>
          <w:tab w:val="left" w:pos="1800"/>
        </w:tabs>
        <w:ind w:left="1800" w:hanging="1800"/>
        <w:rPr>
          <w:sz w:val="22"/>
        </w:rPr>
      </w:pPr>
      <w:r w:rsidRPr="002175C0">
        <w:rPr>
          <w:sz w:val="22"/>
        </w:rPr>
        <w:t>Prague, Czech Republic, 21-25 August 2017</w:t>
      </w:r>
    </w:p>
    <w:p w14:paraId="7AC70172" w14:textId="77777777" w:rsidR="002966E4" w:rsidRDefault="002966E4" w:rsidP="002966E4">
      <w:pPr>
        <w:pStyle w:val="Header"/>
        <w:tabs>
          <w:tab w:val="left" w:pos="1800"/>
        </w:tabs>
        <w:ind w:left="1800" w:hanging="1800"/>
      </w:pPr>
    </w:p>
    <w:p w14:paraId="3F8F73D1" w14:textId="77777777" w:rsidR="002966E4" w:rsidRPr="00060D83" w:rsidRDefault="002966E4" w:rsidP="002966E4">
      <w:pPr>
        <w:pStyle w:val="Header"/>
        <w:tabs>
          <w:tab w:val="left" w:pos="1800"/>
        </w:tabs>
        <w:ind w:left="1800" w:hanging="1800"/>
      </w:pPr>
      <w:r w:rsidRPr="00060D83">
        <w:t>Source:</w:t>
      </w:r>
      <w:r w:rsidRPr="00060D83">
        <w:tab/>
        <w:t>Ericsson</w:t>
      </w:r>
    </w:p>
    <w:p w14:paraId="7D5AE713" w14:textId="4F90DFAA" w:rsidR="002966E4" w:rsidRPr="00060D83" w:rsidRDefault="002966E4" w:rsidP="002966E4">
      <w:pPr>
        <w:pStyle w:val="Header"/>
        <w:tabs>
          <w:tab w:val="left" w:pos="1800"/>
        </w:tabs>
      </w:pPr>
      <w:r w:rsidRPr="00060D83">
        <w:t>Title:</w:t>
      </w:r>
      <w:bookmarkStart w:id="2" w:name="Title"/>
      <w:bookmarkEnd w:id="2"/>
      <w:r w:rsidRPr="00060D83">
        <w:tab/>
      </w:r>
      <w:r w:rsidR="00AC2FD9" w:rsidRPr="00AC2FD9">
        <w:rPr>
          <w:iCs/>
        </w:rPr>
        <w:t>On NR-LTE co-existence</w:t>
      </w:r>
    </w:p>
    <w:p w14:paraId="235FAF0D" w14:textId="6E40116B" w:rsidR="002966E4" w:rsidRPr="00060D83" w:rsidRDefault="002966E4" w:rsidP="002966E4">
      <w:pPr>
        <w:pStyle w:val="Header"/>
        <w:tabs>
          <w:tab w:val="left" w:pos="1800"/>
        </w:tabs>
      </w:pPr>
      <w:r w:rsidRPr="00060D83">
        <w:t>Agenda Item:</w:t>
      </w:r>
      <w:bookmarkStart w:id="3" w:name="Source"/>
      <w:bookmarkEnd w:id="3"/>
      <w:r w:rsidRPr="002966E4">
        <w:rPr>
          <w:iCs/>
        </w:rPr>
        <w:tab/>
        <w:t>6</w:t>
      </w:r>
      <w:r w:rsidR="00652D28">
        <w:rPr>
          <w:iCs/>
        </w:rPr>
        <w:t>.1.6</w:t>
      </w:r>
    </w:p>
    <w:p w14:paraId="28CB55F9" w14:textId="77777777" w:rsidR="002966E4" w:rsidRPr="00060D83" w:rsidRDefault="002966E4" w:rsidP="002966E4">
      <w:pPr>
        <w:pStyle w:val="Header"/>
        <w:tabs>
          <w:tab w:val="left" w:pos="1800"/>
        </w:tabs>
      </w:pPr>
      <w:r w:rsidRPr="00060D83">
        <w:t>Document for:</w:t>
      </w:r>
      <w:r w:rsidRPr="00060D83">
        <w:tab/>
      </w:r>
      <w:bookmarkStart w:id="4" w:name="DocumentFor"/>
      <w:bookmarkEnd w:id="4"/>
      <w:r w:rsidRPr="00060D83">
        <w:t>Discussion and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6CDD6BFB"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 xml:space="preserve">g agreements </w:t>
      </w:r>
      <w:r w:rsidR="00FC1C60">
        <w:rPr>
          <w:rFonts w:cs="Arial"/>
        </w:rPr>
        <w:t xml:space="preserve">were reached related </w:t>
      </w:r>
      <w:r w:rsidR="00652D28">
        <w:rPr>
          <w:rFonts w:cs="Arial"/>
        </w:rPr>
        <w:t xml:space="preserve">UL sharing for NR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771E68">
        <w:rPr>
          <w:rFonts w:cs="Arial"/>
        </w:rPr>
        <w:t>[1]</w:t>
      </w:r>
      <w:r w:rsidR="00F83162">
        <w:rPr>
          <w:rFonts w:cs="Arial"/>
        </w:rPr>
        <w:fldChar w:fldCharType="end"/>
      </w:r>
      <w:r w:rsidRPr="003F5094">
        <w:rPr>
          <w:rFonts w:cs="Arial"/>
        </w:rPr>
        <w:t>:</w:t>
      </w:r>
    </w:p>
    <w:p w14:paraId="22F7CC8A" w14:textId="77777777" w:rsidR="00652D28" w:rsidRPr="00577D40" w:rsidRDefault="00652D28" w:rsidP="00652D28">
      <w:pPr>
        <w:pStyle w:val="ListParagraph"/>
        <w:spacing w:afterLines="50" w:after="120"/>
        <w:ind w:hanging="840"/>
        <w:jc w:val="both"/>
        <w:rPr>
          <w:rFonts w:eastAsia="Times New Roman"/>
          <w:szCs w:val="20"/>
        </w:rPr>
      </w:pPr>
      <w:r w:rsidRPr="00577D40">
        <w:rPr>
          <w:rFonts w:eastAsia="Times New Roman"/>
          <w:szCs w:val="20"/>
          <w:highlight w:val="green"/>
        </w:rPr>
        <w:t>Agreements</w:t>
      </w:r>
      <w:r w:rsidRPr="00577D40">
        <w:rPr>
          <w:rFonts w:eastAsia="Times New Roman"/>
          <w:szCs w:val="20"/>
        </w:rPr>
        <w:t>:</w:t>
      </w:r>
    </w:p>
    <w:p w14:paraId="176E8BFF" w14:textId="77777777" w:rsidR="00652D28" w:rsidRPr="00577D40" w:rsidRDefault="00652D28" w:rsidP="00652D28">
      <w:pPr>
        <w:numPr>
          <w:ilvl w:val="0"/>
          <w:numId w:val="18"/>
        </w:numPr>
        <w:overflowPunct/>
        <w:autoSpaceDE/>
        <w:autoSpaceDN/>
        <w:adjustRightInd/>
        <w:spacing w:after="0"/>
        <w:jc w:val="left"/>
        <w:textAlignment w:val="auto"/>
        <w:rPr>
          <w:lang w:val="en-US"/>
        </w:rPr>
      </w:pPr>
      <w:r w:rsidRPr="00577D40">
        <w:rPr>
          <w:lang w:val="en-US"/>
        </w:rPr>
        <w:t xml:space="preserve">Support the following solution to single UL transmission where NW synchronization between eNodeB and gNodeB is assumed </w:t>
      </w:r>
      <w:r w:rsidRPr="00577D40">
        <w:t>(where there is at least one LTE carrier and at least one NR carrier of a different carrier frequency)</w:t>
      </w:r>
    </w:p>
    <w:p w14:paraId="06FD8284" w14:textId="77777777" w:rsidR="00652D28" w:rsidRPr="00577D40" w:rsidRDefault="00652D28" w:rsidP="00652D28">
      <w:pPr>
        <w:numPr>
          <w:ilvl w:val="1"/>
          <w:numId w:val="18"/>
        </w:numPr>
        <w:overflowPunct/>
        <w:autoSpaceDE/>
        <w:autoSpaceDN/>
        <w:adjustRightInd/>
        <w:spacing w:after="0"/>
        <w:jc w:val="left"/>
        <w:textAlignment w:val="auto"/>
        <w:rPr>
          <w:lang w:val="en-US"/>
        </w:rPr>
      </w:pPr>
      <w:r w:rsidRPr="00577D40">
        <w:rPr>
          <w:lang w:val="en-US"/>
        </w:rPr>
        <w:t xml:space="preserve">When UE is </w:t>
      </w:r>
      <w:r w:rsidRPr="00577D40">
        <w:t>activated with multiple UL carriers on different frequencies,</w:t>
      </w:r>
      <w:r w:rsidRPr="00577D40">
        <w:rPr>
          <w:lang w:val="en-US"/>
        </w:rPr>
        <w:t xml:space="preserve"> time-switching of LTE UL carrier and NR UL carrier is used</w:t>
      </w:r>
    </w:p>
    <w:p w14:paraId="4684C35E" w14:textId="77777777" w:rsidR="00652D28" w:rsidRPr="00577D40" w:rsidRDefault="00652D28" w:rsidP="00652D28">
      <w:pPr>
        <w:numPr>
          <w:ilvl w:val="2"/>
          <w:numId w:val="18"/>
        </w:numPr>
        <w:overflowPunct/>
        <w:autoSpaceDE/>
        <w:autoSpaceDN/>
        <w:adjustRightInd/>
        <w:spacing w:after="0"/>
        <w:jc w:val="left"/>
        <w:textAlignment w:val="auto"/>
        <w:rPr>
          <w:lang w:val="en-US"/>
        </w:rPr>
      </w:pPr>
      <w:r w:rsidRPr="00577D40">
        <w:rPr>
          <w:lang w:val="en-US"/>
        </w:rPr>
        <w:t xml:space="preserve">UL transmission timing pattern of LTE carrier and NR carrier is semi-statically shared between eNodeB and gNodeB </w:t>
      </w:r>
    </w:p>
    <w:p w14:paraId="6E47B693" w14:textId="77777777" w:rsidR="00652D28" w:rsidRPr="00577D40" w:rsidRDefault="00652D28" w:rsidP="00652D28">
      <w:pPr>
        <w:numPr>
          <w:ilvl w:val="2"/>
          <w:numId w:val="18"/>
        </w:numPr>
        <w:overflowPunct/>
        <w:autoSpaceDE/>
        <w:autoSpaceDN/>
        <w:adjustRightInd/>
        <w:spacing w:after="0"/>
        <w:jc w:val="left"/>
        <w:textAlignment w:val="auto"/>
        <w:rPr>
          <w:lang w:val="en-US"/>
        </w:rPr>
      </w:pPr>
      <w:r w:rsidRPr="00577D40">
        <w:rPr>
          <w:lang w:val="en-US"/>
        </w:rPr>
        <w:t>FFS: Signaling to UE of UL transmission timing pattern</w:t>
      </w:r>
    </w:p>
    <w:p w14:paraId="503425E7" w14:textId="77777777" w:rsidR="00652D28" w:rsidRPr="00577D40" w:rsidRDefault="00652D28" w:rsidP="00652D28">
      <w:pPr>
        <w:numPr>
          <w:ilvl w:val="1"/>
          <w:numId w:val="18"/>
        </w:numPr>
        <w:overflowPunct/>
        <w:autoSpaceDE/>
        <w:autoSpaceDN/>
        <w:adjustRightInd/>
        <w:spacing w:after="0"/>
        <w:jc w:val="left"/>
        <w:textAlignment w:val="auto"/>
        <w:rPr>
          <w:lang w:val="en-US"/>
        </w:rPr>
      </w:pPr>
      <w:r w:rsidRPr="00577D40">
        <w:rPr>
          <w:lang w:val="en-US"/>
        </w:rPr>
        <w:t>UE simultaneously receives signals/channels from both NR DL carrier and LTE DL carrier</w:t>
      </w:r>
    </w:p>
    <w:p w14:paraId="7B9EFC89" w14:textId="77777777" w:rsidR="00652D28" w:rsidRPr="00577D40" w:rsidRDefault="00652D28" w:rsidP="00652D28">
      <w:pPr>
        <w:numPr>
          <w:ilvl w:val="2"/>
          <w:numId w:val="18"/>
        </w:numPr>
        <w:overflowPunct/>
        <w:autoSpaceDE/>
        <w:autoSpaceDN/>
        <w:adjustRightInd/>
        <w:spacing w:after="0"/>
        <w:jc w:val="left"/>
        <w:textAlignment w:val="auto"/>
        <w:rPr>
          <w:lang w:val="en-US"/>
        </w:rPr>
      </w:pPr>
      <w:r w:rsidRPr="00577D40">
        <w:rPr>
          <w:lang w:val="en-US"/>
        </w:rPr>
        <w:t>For scheduling/HARQ timing of LTE FDD carrier, the following timing can be considered, e.g., for LTE:</w:t>
      </w:r>
    </w:p>
    <w:p w14:paraId="1D4B0A02" w14:textId="77777777" w:rsidR="00652D28" w:rsidRPr="00577D40" w:rsidRDefault="00652D28" w:rsidP="00652D28">
      <w:pPr>
        <w:numPr>
          <w:ilvl w:val="3"/>
          <w:numId w:val="18"/>
        </w:numPr>
        <w:overflowPunct/>
        <w:autoSpaceDE/>
        <w:autoSpaceDN/>
        <w:adjustRightInd/>
        <w:spacing w:after="0"/>
        <w:jc w:val="left"/>
        <w:textAlignment w:val="auto"/>
        <w:rPr>
          <w:lang w:val="en-US"/>
        </w:rPr>
      </w:pPr>
      <w:r w:rsidRPr="00577D40">
        <w:rPr>
          <w:lang w:val="en-US"/>
        </w:rPr>
        <w:t>DL-reference UL/DL configuration for TDD</w:t>
      </w:r>
    </w:p>
    <w:p w14:paraId="62CBBA7A" w14:textId="77777777" w:rsidR="00652D28" w:rsidRPr="00577D40" w:rsidRDefault="00652D28" w:rsidP="00652D28">
      <w:pPr>
        <w:numPr>
          <w:ilvl w:val="3"/>
          <w:numId w:val="18"/>
        </w:numPr>
        <w:overflowPunct/>
        <w:autoSpaceDE/>
        <w:autoSpaceDN/>
        <w:adjustRightInd/>
        <w:spacing w:after="0"/>
        <w:jc w:val="left"/>
        <w:textAlignment w:val="auto"/>
        <w:rPr>
          <w:lang w:val="en-US"/>
        </w:rPr>
      </w:pPr>
      <w:r w:rsidRPr="00577D40">
        <w:rPr>
          <w:lang w:val="en-US"/>
        </w:rPr>
        <w:t>DL-reference UL/DL configuration defined for FDD-SCell in TDD-FDD CA with TDD-PCell</w:t>
      </w:r>
    </w:p>
    <w:p w14:paraId="3CBDCCA9" w14:textId="77777777" w:rsidR="00652D28" w:rsidRPr="00577D40" w:rsidRDefault="00652D28" w:rsidP="00652D28">
      <w:pPr>
        <w:numPr>
          <w:ilvl w:val="3"/>
          <w:numId w:val="18"/>
        </w:numPr>
        <w:overflowPunct/>
        <w:autoSpaceDE/>
        <w:autoSpaceDN/>
        <w:adjustRightInd/>
        <w:spacing w:after="0"/>
        <w:jc w:val="left"/>
        <w:textAlignment w:val="auto"/>
        <w:rPr>
          <w:lang w:val="en-US"/>
        </w:rPr>
      </w:pPr>
      <w:r w:rsidRPr="00577D40">
        <w:rPr>
          <w:lang w:val="en-US"/>
        </w:rPr>
        <w:t>Up to NW implementation (i.e., no RAN1 spec. impact)</w:t>
      </w:r>
    </w:p>
    <w:p w14:paraId="58615047" w14:textId="77777777" w:rsidR="00652D28" w:rsidRPr="00577D40" w:rsidRDefault="00652D28" w:rsidP="00652D28">
      <w:pPr>
        <w:numPr>
          <w:ilvl w:val="2"/>
          <w:numId w:val="18"/>
        </w:numPr>
        <w:overflowPunct/>
        <w:autoSpaceDE/>
        <w:autoSpaceDN/>
        <w:adjustRightInd/>
        <w:spacing w:after="0"/>
        <w:jc w:val="left"/>
        <w:textAlignment w:val="auto"/>
        <w:rPr>
          <w:lang w:val="en-US"/>
        </w:rPr>
      </w:pPr>
      <w:r w:rsidRPr="00577D40">
        <w:rPr>
          <w:lang w:val="en-US"/>
        </w:rPr>
        <w:t xml:space="preserve">For scheduling/HARQ timing of NR carrier, no special handling would be necessary </w:t>
      </w:r>
    </w:p>
    <w:p w14:paraId="28518850" w14:textId="77777777" w:rsidR="00652D28" w:rsidRPr="00577D40" w:rsidRDefault="00652D28" w:rsidP="00652D28">
      <w:pPr>
        <w:numPr>
          <w:ilvl w:val="1"/>
          <w:numId w:val="18"/>
        </w:numPr>
        <w:overflowPunct/>
        <w:autoSpaceDE/>
        <w:autoSpaceDN/>
        <w:adjustRightInd/>
        <w:spacing w:after="0"/>
        <w:jc w:val="left"/>
        <w:textAlignment w:val="auto"/>
        <w:rPr>
          <w:lang w:val="en-US"/>
        </w:rPr>
      </w:pPr>
      <w:r w:rsidRPr="00577D40">
        <w:rPr>
          <w:lang w:val="en-US"/>
        </w:rPr>
        <w:t>Other solutions are not precluded</w:t>
      </w:r>
    </w:p>
    <w:p w14:paraId="5AE73AB4" w14:textId="77777777" w:rsidR="00652D28" w:rsidRPr="0064423F" w:rsidRDefault="00652D28" w:rsidP="00652D28">
      <w:pPr>
        <w:numPr>
          <w:ilvl w:val="0"/>
          <w:numId w:val="18"/>
        </w:numPr>
        <w:overflowPunct/>
        <w:autoSpaceDE/>
        <w:autoSpaceDN/>
        <w:adjustRightInd/>
        <w:spacing w:after="0"/>
        <w:jc w:val="left"/>
        <w:textAlignment w:val="auto"/>
        <w:rPr>
          <w:b/>
        </w:rPr>
      </w:pPr>
      <w:r w:rsidRPr="0064423F">
        <w:rPr>
          <w:lang w:val="en-US"/>
        </w:rPr>
        <w:t>Send an LS to RAN2, RAN3, and RAN4 – Kazuaki (DCM), which is drafted and</w:t>
      </w:r>
      <w:r>
        <w:rPr>
          <w:lang w:val="en-US"/>
        </w:rPr>
        <w:t xml:space="preserve"> endorsed</w:t>
      </w:r>
      <w:r w:rsidRPr="0064423F">
        <w:rPr>
          <w:lang w:val="en-US"/>
        </w:rPr>
        <w:t xml:space="preserve"> in </w:t>
      </w:r>
      <w:r w:rsidRPr="0064423F">
        <w:rPr>
          <w:b/>
          <w:lang w:val="en-US"/>
        </w:rPr>
        <w:t>R1-1711877</w:t>
      </w:r>
      <w:r>
        <w:rPr>
          <w:b/>
          <w:lang w:val="en-US"/>
        </w:rPr>
        <w:t xml:space="preserve">. </w:t>
      </w:r>
      <w:r w:rsidRPr="0064423F">
        <w:rPr>
          <w:lang w:val="en-US"/>
        </w:rPr>
        <w:t xml:space="preserve">Final LS approved in </w:t>
      </w:r>
      <w:r w:rsidRPr="0064423F">
        <w:rPr>
          <w:highlight w:val="green"/>
          <w:lang w:val="en-US"/>
        </w:rPr>
        <w:t>R1-1711878</w:t>
      </w:r>
      <w:r w:rsidRPr="0064423F">
        <w:rPr>
          <w:lang w:val="en-US"/>
        </w:rPr>
        <w:t xml:space="preserve">. </w:t>
      </w:r>
    </w:p>
    <w:p w14:paraId="6950033A" w14:textId="77777777" w:rsidR="00652D28" w:rsidRDefault="00652D28" w:rsidP="00652D28">
      <w:pPr>
        <w:rPr>
          <w:rFonts w:eastAsia="MS Mincho"/>
          <w:highlight w:val="green"/>
          <w:lang w:eastAsia="ja-JP"/>
        </w:rPr>
      </w:pPr>
    </w:p>
    <w:p w14:paraId="398962D5" w14:textId="63AFC61C" w:rsidR="00652D28" w:rsidRPr="00685A06" w:rsidRDefault="00652D28" w:rsidP="00652D28">
      <w:pPr>
        <w:rPr>
          <w:rFonts w:eastAsia="MS Mincho"/>
          <w:lang w:eastAsia="ja-JP"/>
        </w:rPr>
      </w:pPr>
      <w:r w:rsidRPr="006A453A">
        <w:rPr>
          <w:rFonts w:eastAsia="MS Mincho"/>
          <w:highlight w:val="green"/>
          <w:lang w:eastAsia="ja-JP"/>
        </w:rPr>
        <w:t>Agreements</w:t>
      </w:r>
      <w:r w:rsidRPr="00685A06">
        <w:rPr>
          <w:rFonts w:eastAsia="MS Mincho"/>
          <w:lang w:eastAsia="ja-JP"/>
        </w:rPr>
        <w:t>:</w:t>
      </w:r>
    </w:p>
    <w:p w14:paraId="66A15D7E" w14:textId="77777777" w:rsidR="00652D28" w:rsidRPr="00685A06" w:rsidRDefault="00652D28" w:rsidP="00652D28">
      <w:pPr>
        <w:numPr>
          <w:ilvl w:val="0"/>
          <w:numId w:val="19"/>
        </w:numPr>
        <w:overflowPunct/>
        <w:autoSpaceDE/>
        <w:autoSpaceDN/>
        <w:adjustRightInd/>
        <w:spacing w:after="0"/>
        <w:jc w:val="left"/>
        <w:textAlignment w:val="auto"/>
        <w:rPr>
          <w:rFonts w:eastAsia="MS Mincho"/>
          <w:lang w:eastAsia="ja-JP"/>
        </w:rPr>
      </w:pPr>
      <w:r w:rsidRPr="00685A06">
        <w:rPr>
          <w:rFonts w:eastAsia="MS Mincho"/>
          <w:lang w:eastAsia="ja-JP"/>
        </w:rPr>
        <w:t xml:space="preserve">RAN1 should consider the following scenarios as listed in R1-1711817 in the future </w:t>
      </w:r>
      <w:r>
        <w:rPr>
          <w:rFonts w:eastAsia="MS Mincho" w:hint="eastAsia"/>
          <w:lang w:eastAsia="ja-JP"/>
        </w:rPr>
        <w:t xml:space="preserve">Rel-15 </w:t>
      </w:r>
      <w:r w:rsidRPr="00685A06">
        <w:rPr>
          <w:rFonts w:eastAsia="MS Mincho"/>
          <w:lang w:eastAsia="ja-JP"/>
        </w:rPr>
        <w:t>work especially in terms of UL coverage</w:t>
      </w:r>
    </w:p>
    <w:p w14:paraId="578C9BFD" w14:textId="77777777" w:rsidR="00652D28" w:rsidRPr="00685A06" w:rsidRDefault="00652D28" w:rsidP="00652D28">
      <w:pPr>
        <w:numPr>
          <w:ilvl w:val="1"/>
          <w:numId w:val="19"/>
        </w:numPr>
        <w:overflowPunct/>
        <w:autoSpaceDE/>
        <w:autoSpaceDN/>
        <w:adjustRightInd/>
        <w:spacing w:after="0"/>
        <w:jc w:val="left"/>
        <w:textAlignment w:val="auto"/>
        <w:rPr>
          <w:rFonts w:eastAsia="MS Mincho"/>
          <w:lang w:eastAsia="ja-JP"/>
        </w:rPr>
      </w:pPr>
      <w:r w:rsidRPr="00685A06">
        <w:rPr>
          <w:rFonts w:eastAsia="MS Mincho"/>
          <w:lang w:eastAsia="ja-JP"/>
        </w:rPr>
        <w:t>Scenario 1</w:t>
      </w:r>
    </w:p>
    <w:p w14:paraId="4849245B" w14:textId="77777777" w:rsidR="00652D28" w:rsidRPr="00685A06" w:rsidRDefault="00652D28" w:rsidP="00652D28">
      <w:pPr>
        <w:numPr>
          <w:ilvl w:val="1"/>
          <w:numId w:val="19"/>
        </w:numPr>
        <w:overflowPunct/>
        <w:autoSpaceDE/>
        <w:autoSpaceDN/>
        <w:adjustRightInd/>
        <w:spacing w:after="0"/>
        <w:jc w:val="left"/>
        <w:textAlignment w:val="auto"/>
        <w:rPr>
          <w:rFonts w:eastAsia="MS Mincho"/>
          <w:lang w:eastAsia="ja-JP"/>
        </w:rPr>
      </w:pPr>
      <w:r w:rsidRPr="00685A06">
        <w:rPr>
          <w:rFonts w:eastAsia="MS Mincho"/>
          <w:lang w:eastAsia="ja-JP"/>
        </w:rPr>
        <w:t>Scenario 2 where UL sharing is from network perspective</w:t>
      </w:r>
    </w:p>
    <w:p w14:paraId="3904A308" w14:textId="77777777" w:rsidR="00652D28" w:rsidRPr="00685A06" w:rsidRDefault="00652D28" w:rsidP="00652D28">
      <w:pPr>
        <w:numPr>
          <w:ilvl w:val="2"/>
          <w:numId w:val="19"/>
        </w:numPr>
        <w:overflowPunct/>
        <w:autoSpaceDE/>
        <w:autoSpaceDN/>
        <w:adjustRightInd/>
        <w:spacing w:after="0"/>
        <w:jc w:val="left"/>
        <w:textAlignment w:val="auto"/>
        <w:rPr>
          <w:rFonts w:eastAsia="MS Mincho"/>
          <w:lang w:eastAsia="ja-JP"/>
        </w:rPr>
      </w:pPr>
      <w:r w:rsidRPr="00685A06">
        <w:rPr>
          <w:rFonts w:eastAsia="MS Mincho"/>
          <w:lang w:eastAsia="ja-JP"/>
        </w:rPr>
        <w:t>FFS where UL sharing from UE perspective</w:t>
      </w:r>
    </w:p>
    <w:p w14:paraId="01EF39EF" w14:textId="77777777" w:rsidR="00652D28" w:rsidRPr="00685A06" w:rsidRDefault="00652D28" w:rsidP="00652D28">
      <w:pPr>
        <w:numPr>
          <w:ilvl w:val="3"/>
          <w:numId w:val="19"/>
        </w:numPr>
        <w:overflowPunct/>
        <w:autoSpaceDE/>
        <w:autoSpaceDN/>
        <w:adjustRightInd/>
        <w:spacing w:after="0"/>
        <w:jc w:val="left"/>
        <w:textAlignment w:val="auto"/>
        <w:rPr>
          <w:rFonts w:eastAsia="MS Mincho"/>
          <w:lang w:eastAsia="ja-JP"/>
        </w:rPr>
      </w:pPr>
      <w:r w:rsidRPr="00685A06">
        <w:rPr>
          <w:rFonts w:eastAsia="MS Mincho"/>
          <w:lang w:eastAsia="ja-JP"/>
        </w:rPr>
        <w:t>Aim to conclude in the next meeting; if no consensus, consider sending an LS to RANP for clarification</w:t>
      </w:r>
    </w:p>
    <w:p w14:paraId="518E3900" w14:textId="77777777" w:rsidR="00652D28" w:rsidRPr="00685A06" w:rsidRDefault="00652D28" w:rsidP="00652D28">
      <w:pPr>
        <w:numPr>
          <w:ilvl w:val="1"/>
          <w:numId w:val="19"/>
        </w:numPr>
        <w:overflowPunct/>
        <w:autoSpaceDE/>
        <w:autoSpaceDN/>
        <w:adjustRightInd/>
        <w:spacing w:after="0"/>
        <w:jc w:val="left"/>
        <w:textAlignment w:val="auto"/>
        <w:rPr>
          <w:rFonts w:eastAsia="MS Mincho"/>
          <w:lang w:eastAsia="ja-JP"/>
        </w:rPr>
      </w:pPr>
      <w:r w:rsidRPr="00685A06">
        <w:rPr>
          <w:rFonts w:eastAsia="MS Mincho"/>
          <w:lang w:eastAsia="ja-JP"/>
        </w:rPr>
        <w:t>Scenario 3</w:t>
      </w:r>
    </w:p>
    <w:p w14:paraId="638EDD3A" w14:textId="77777777" w:rsidR="00B7134C" w:rsidRDefault="00B7134C" w:rsidP="00652D28">
      <w:pPr>
        <w:rPr>
          <w:rFonts w:eastAsia="MS Mincho"/>
          <w:lang w:eastAsia="ja-JP"/>
        </w:rPr>
      </w:pPr>
    </w:p>
    <w:p w14:paraId="0AEBEFCB" w14:textId="6F066648" w:rsidR="00E80B1C" w:rsidRDefault="00B7134C" w:rsidP="00652D28">
      <w:pPr>
        <w:rPr>
          <w:rFonts w:eastAsia="MS Mincho"/>
          <w:lang w:eastAsia="ja-JP"/>
        </w:rPr>
      </w:pPr>
      <w:r>
        <w:rPr>
          <w:rFonts w:eastAsia="MS Mincho"/>
          <w:lang w:eastAsia="ja-JP"/>
        </w:rPr>
        <w:t>An outline of the scenario as available here as well:</w:t>
      </w:r>
    </w:p>
    <w:p w14:paraId="6B7F6F2F" w14:textId="77777777" w:rsidR="00647AEF" w:rsidRPr="00B7134C" w:rsidRDefault="00507BC0" w:rsidP="00B7134C">
      <w:pPr>
        <w:numPr>
          <w:ilvl w:val="0"/>
          <w:numId w:val="21"/>
        </w:numPr>
        <w:rPr>
          <w:rFonts w:eastAsia="MS Mincho"/>
          <w:lang w:val="sv-SE" w:eastAsia="ja-JP"/>
        </w:rPr>
      </w:pPr>
      <w:r w:rsidRPr="00B7134C">
        <w:rPr>
          <w:rFonts w:eastAsia="MS Mincho"/>
          <w:lang w:val="en-US" w:eastAsia="ja-JP"/>
        </w:rPr>
        <w:t xml:space="preserve">Scenario #1 : </w:t>
      </w:r>
    </w:p>
    <w:p w14:paraId="12D93E83" w14:textId="77777777" w:rsidR="00647AEF" w:rsidRPr="00B7134C" w:rsidRDefault="00507BC0" w:rsidP="00B7134C">
      <w:pPr>
        <w:numPr>
          <w:ilvl w:val="2"/>
          <w:numId w:val="21"/>
        </w:numPr>
        <w:rPr>
          <w:rFonts w:eastAsia="MS Mincho"/>
          <w:lang w:val="en-US" w:eastAsia="ja-JP"/>
        </w:rPr>
      </w:pPr>
      <w:r w:rsidRPr="00B7134C">
        <w:rPr>
          <w:rFonts w:eastAsia="MS Mincho"/>
          <w:b/>
          <w:bCs/>
          <w:lang w:val="en-US" w:eastAsia="ja-JP"/>
        </w:rPr>
        <w:t>DC LTE @ Low Frequency (LF) + NR @ 3.5G</w:t>
      </w:r>
    </w:p>
    <w:p w14:paraId="333FD260" w14:textId="77777777" w:rsidR="00647AEF" w:rsidRPr="00B7134C" w:rsidRDefault="00507BC0" w:rsidP="00B7134C">
      <w:pPr>
        <w:numPr>
          <w:ilvl w:val="2"/>
          <w:numId w:val="21"/>
        </w:numPr>
        <w:rPr>
          <w:rFonts w:eastAsia="MS Mincho"/>
          <w:lang w:val="en-US" w:eastAsia="ja-JP"/>
        </w:rPr>
      </w:pPr>
      <w:r w:rsidRPr="00B7134C">
        <w:rPr>
          <w:rFonts w:eastAsia="MS Mincho"/>
          <w:lang w:val="en-US" w:eastAsia="ja-JP"/>
        </w:rPr>
        <w:t>Concept: LTE PUSCH/PUCCH LF, NR PUCCH 3.5G, NR PUSCH 3.5G configurable</w:t>
      </w:r>
    </w:p>
    <w:p w14:paraId="32767BDA" w14:textId="77777777" w:rsidR="00647AEF" w:rsidRPr="00B7134C" w:rsidRDefault="00507BC0" w:rsidP="00B7134C">
      <w:pPr>
        <w:numPr>
          <w:ilvl w:val="0"/>
          <w:numId w:val="21"/>
        </w:numPr>
        <w:rPr>
          <w:rFonts w:eastAsia="MS Mincho"/>
          <w:lang w:val="sv-SE" w:eastAsia="ja-JP"/>
        </w:rPr>
      </w:pPr>
      <w:r w:rsidRPr="00B7134C">
        <w:rPr>
          <w:rFonts w:eastAsia="MS Mincho"/>
          <w:lang w:val="en-US" w:eastAsia="ja-JP"/>
        </w:rPr>
        <w:t>Scenario #2:</w:t>
      </w:r>
    </w:p>
    <w:p w14:paraId="067A1EE9" w14:textId="77777777" w:rsidR="00647AEF" w:rsidRPr="00B7134C" w:rsidRDefault="00507BC0" w:rsidP="00B7134C">
      <w:pPr>
        <w:numPr>
          <w:ilvl w:val="2"/>
          <w:numId w:val="21"/>
        </w:numPr>
        <w:rPr>
          <w:rFonts w:eastAsia="MS Mincho"/>
          <w:lang w:val="en-US" w:eastAsia="ja-JP"/>
        </w:rPr>
      </w:pPr>
      <w:r w:rsidRPr="00B7134C">
        <w:rPr>
          <w:rFonts w:eastAsia="MS Mincho"/>
          <w:b/>
          <w:bCs/>
          <w:lang w:val="en-US" w:eastAsia="ja-JP"/>
        </w:rPr>
        <w:t>DC LTE@LF + NR@3.5G + NR@LF SUL with UL sharing</w:t>
      </w:r>
    </w:p>
    <w:p w14:paraId="1600736A" w14:textId="77777777" w:rsidR="00647AEF" w:rsidRPr="00B7134C" w:rsidRDefault="00507BC0" w:rsidP="00B7134C">
      <w:pPr>
        <w:numPr>
          <w:ilvl w:val="2"/>
          <w:numId w:val="21"/>
        </w:numPr>
        <w:rPr>
          <w:rFonts w:eastAsia="MS Mincho"/>
          <w:lang w:val="sv-SE" w:eastAsia="ja-JP"/>
        </w:rPr>
      </w:pPr>
      <w:r w:rsidRPr="00B7134C">
        <w:rPr>
          <w:rFonts w:eastAsia="MS Mincho"/>
          <w:lang w:val="en-US" w:eastAsia="ja-JP"/>
        </w:rPr>
        <w:t xml:space="preserve">NR and LTE are collocated </w:t>
      </w:r>
    </w:p>
    <w:p w14:paraId="2A5867C6" w14:textId="77777777" w:rsidR="00647AEF" w:rsidRPr="00B7134C" w:rsidRDefault="00507BC0" w:rsidP="00B7134C">
      <w:pPr>
        <w:numPr>
          <w:ilvl w:val="2"/>
          <w:numId w:val="21"/>
        </w:numPr>
        <w:rPr>
          <w:rFonts w:eastAsia="MS Mincho"/>
          <w:lang w:val="en-US" w:eastAsia="ja-JP"/>
        </w:rPr>
      </w:pPr>
      <w:r w:rsidRPr="00B7134C">
        <w:rPr>
          <w:rFonts w:eastAsia="MS Mincho"/>
          <w:lang w:val="en-US" w:eastAsia="ja-JP"/>
        </w:rPr>
        <w:t xml:space="preserve">Concept: LTE band uses LTE/NR UL sharing </w:t>
      </w:r>
    </w:p>
    <w:p w14:paraId="1C91EE99" w14:textId="77777777" w:rsidR="00647AEF" w:rsidRPr="00B7134C" w:rsidRDefault="00507BC0" w:rsidP="00B7134C">
      <w:pPr>
        <w:numPr>
          <w:ilvl w:val="2"/>
          <w:numId w:val="21"/>
        </w:numPr>
        <w:rPr>
          <w:rFonts w:eastAsia="MS Mincho"/>
          <w:lang w:val="en-US" w:eastAsia="ja-JP"/>
        </w:rPr>
      </w:pPr>
      <w:r w:rsidRPr="00B7134C">
        <w:rPr>
          <w:rFonts w:eastAsia="MS Mincho"/>
          <w:lang w:val="en-US" w:eastAsia="ja-JP"/>
        </w:rPr>
        <w:t>Note: this scenario is potentially beneficial for reducing latency</w:t>
      </w:r>
    </w:p>
    <w:p w14:paraId="257B2AFE" w14:textId="77777777" w:rsidR="00647AEF" w:rsidRPr="00B7134C" w:rsidRDefault="00507BC0" w:rsidP="00B7134C">
      <w:pPr>
        <w:numPr>
          <w:ilvl w:val="0"/>
          <w:numId w:val="21"/>
        </w:numPr>
        <w:rPr>
          <w:rFonts w:eastAsia="MS Mincho"/>
          <w:lang w:val="sv-SE" w:eastAsia="ja-JP"/>
        </w:rPr>
      </w:pPr>
      <w:r w:rsidRPr="00B7134C">
        <w:rPr>
          <w:rFonts w:eastAsia="MS Mincho"/>
          <w:lang w:val="en-US" w:eastAsia="ja-JP"/>
        </w:rPr>
        <w:t>Scenario #3:</w:t>
      </w:r>
    </w:p>
    <w:p w14:paraId="012D09B9" w14:textId="77777777" w:rsidR="00647AEF" w:rsidRPr="00B7134C" w:rsidRDefault="00507BC0" w:rsidP="00B7134C">
      <w:pPr>
        <w:numPr>
          <w:ilvl w:val="2"/>
          <w:numId w:val="21"/>
        </w:numPr>
        <w:rPr>
          <w:rFonts w:eastAsia="MS Mincho"/>
          <w:lang w:val="en-US" w:eastAsia="ja-JP"/>
        </w:rPr>
      </w:pPr>
      <w:r w:rsidRPr="00B7134C">
        <w:rPr>
          <w:rFonts w:eastAsia="MS Mincho"/>
          <w:b/>
          <w:bCs/>
          <w:lang w:val="en-US" w:eastAsia="ja-JP"/>
        </w:rPr>
        <w:lastRenderedPageBreak/>
        <w:t>DC LTE@LF1 + NR@ multiple bands (e.g. LF2 and 3.5G)</w:t>
      </w:r>
    </w:p>
    <w:p w14:paraId="37DAC192" w14:textId="77777777" w:rsidR="00647AEF" w:rsidRPr="00B7134C" w:rsidRDefault="00507BC0" w:rsidP="00B7134C">
      <w:pPr>
        <w:numPr>
          <w:ilvl w:val="2"/>
          <w:numId w:val="21"/>
        </w:numPr>
        <w:rPr>
          <w:rFonts w:eastAsia="MS Mincho"/>
          <w:lang w:val="sv-SE" w:eastAsia="ja-JP"/>
        </w:rPr>
      </w:pPr>
      <w:r w:rsidRPr="00B7134C">
        <w:rPr>
          <w:rFonts w:eastAsia="MS Mincho"/>
          <w:lang w:val="en-US" w:eastAsia="ja-JP"/>
        </w:rPr>
        <w:t xml:space="preserve">NR and LTE are collocated </w:t>
      </w:r>
    </w:p>
    <w:p w14:paraId="5E40BCD4" w14:textId="77777777" w:rsidR="00647AEF" w:rsidRPr="00B7134C" w:rsidRDefault="00507BC0" w:rsidP="00B7134C">
      <w:pPr>
        <w:numPr>
          <w:ilvl w:val="2"/>
          <w:numId w:val="21"/>
        </w:numPr>
        <w:rPr>
          <w:rFonts w:eastAsia="MS Mincho"/>
          <w:lang w:val="en-US" w:eastAsia="ja-JP"/>
        </w:rPr>
      </w:pPr>
      <w:r w:rsidRPr="00B7134C">
        <w:rPr>
          <w:rFonts w:eastAsia="MS Mincho"/>
          <w:lang w:val="en-US" w:eastAsia="ja-JP"/>
        </w:rPr>
        <w:t>Concept: NR CA from 3.5G to LF2</w:t>
      </w:r>
    </w:p>
    <w:p w14:paraId="7498FE8F" w14:textId="77777777" w:rsidR="00647AEF" w:rsidRPr="00B7134C" w:rsidRDefault="00507BC0" w:rsidP="00B7134C">
      <w:pPr>
        <w:numPr>
          <w:ilvl w:val="2"/>
          <w:numId w:val="21"/>
        </w:numPr>
        <w:rPr>
          <w:rFonts w:eastAsia="MS Mincho"/>
          <w:lang w:val="en-US" w:eastAsia="ja-JP"/>
        </w:rPr>
      </w:pPr>
      <w:r w:rsidRPr="00B7134C">
        <w:rPr>
          <w:rFonts w:eastAsia="MS Mincho"/>
          <w:lang w:val="en-US" w:eastAsia="ja-JP"/>
        </w:rPr>
        <w:t>Note: this scenario is potentially beneficial for reducing latency</w:t>
      </w:r>
    </w:p>
    <w:p w14:paraId="080A4AE3" w14:textId="77777777" w:rsidR="00B7134C" w:rsidRPr="00B7134C" w:rsidRDefault="00B7134C" w:rsidP="00652D28">
      <w:pPr>
        <w:rPr>
          <w:rFonts w:eastAsia="MS Mincho"/>
          <w:lang w:val="en-US" w:eastAsia="ja-JP"/>
        </w:rPr>
      </w:pPr>
    </w:p>
    <w:p w14:paraId="5925009D" w14:textId="7A77131B" w:rsidR="004000E8" w:rsidRDefault="004000E8" w:rsidP="00CE0424">
      <w:pPr>
        <w:pStyle w:val="Heading1"/>
        <w:rPr>
          <w:lang w:val="en-US"/>
        </w:rPr>
      </w:pPr>
      <w:bookmarkStart w:id="5" w:name="_Ref178064866"/>
      <w:r w:rsidRPr="007B78FE">
        <w:rPr>
          <w:lang w:val="en-US"/>
        </w:rPr>
        <w:t>Discussion</w:t>
      </w:r>
      <w:bookmarkEnd w:id="5"/>
    </w:p>
    <w:p w14:paraId="655BFD3F" w14:textId="7AF37875" w:rsidR="00B7134C" w:rsidRDefault="00B7134C" w:rsidP="00652D28">
      <w:pPr>
        <w:rPr>
          <w:lang w:val="en-US"/>
        </w:rPr>
      </w:pPr>
      <w:r>
        <w:rPr>
          <w:lang w:val="en-US"/>
        </w:rPr>
        <w:t xml:space="preserve">First, we try to </w:t>
      </w:r>
      <w:r w:rsidR="005347CA">
        <w:rPr>
          <w:lang w:val="en-US"/>
        </w:rPr>
        <w:t>analyses</w:t>
      </w:r>
      <w:r>
        <w:rPr>
          <w:lang w:val="en-US"/>
        </w:rPr>
        <w:t xml:space="preserve"> each scenario and after that we investigate specific solutions that are needed for each scenario. </w:t>
      </w:r>
    </w:p>
    <w:p w14:paraId="08DC5FA5" w14:textId="51ABF666" w:rsidR="00B7134C" w:rsidRDefault="00B7134C" w:rsidP="00B7134C">
      <w:pPr>
        <w:pStyle w:val="Heading2"/>
        <w:rPr>
          <w:lang w:val="en-US"/>
        </w:rPr>
      </w:pPr>
      <w:r>
        <w:rPr>
          <w:lang w:val="en-US"/>
        </w:rPr>
        <w:t>Scenario 1</w:t>
      </w:r>
    </w:p>
    <w:p w14:paraId="0B822125" w14:textId="77777777" w:rsidR="00FD707F" w:rsidRDefault="00FD707F" w:rsidP="00FD707F">
      <w:pPr>
        <w:rPr>
          <w:lang w:val="en-US"/>
        </w:rPr>
      </w:pPr>
      <w:r>
        <w:rPr>
          <w:lang w:val="en-US"/>
        </w:rPr>
        <w:t xml:space="preserve">Scenario 1 is operating NR and LTE at two different frequency bands with the corresponding UL carriers and DL carriers operating on each corresponding frequency band. If there is possibility to transmit simultaneously in the UL on both carriers that is the most flexible operation. In such a case, the NR and LTE carrier can operate independently on the physical layer mostly (except for some power control aspects). In addition to this, there is the possibility that the UL carriers cannot be simultaneously used. In such a case, there would be a need to TDM the UL carriers. For such a case, it is only the UL carriers that directly need to be TDMed. Potentially, in addition, the DL carriers may need to be TDMed as well, due to the UL carriers being TDMed. </w:t>
      </w:r>
    </w:p>
    <w:p w14:paraId="080786D2" w14:textId="34834CFD" w:rsidR="00B7134C" w:rsidRDefault="00FD707F" w:rsidP="00B7134C">
      <w:pPr>
        <w:rPr>
          <w:lang w:val="en-US"/>
        </w:rPr>
      </w:pPr>
      <w:r>
        <w:rPr>
          <w:lang w:val="en-US"/>
        </w:rPr>
        <w:t xml:space="preserve">The impact could be handled by the network if it is provided with the correct tools to do so. HARQ feedback and potential UL scheduling could be set up to be semi-statically operated between NR and LTE carriers. One way to support the TDM of HARQ feedback is to operate with polling of HARQ feedback. The polling of HARQ feedback on the NR side is further described below in section </w:t>
      </w:r>
      <w:r>
        <w:rPr>
          <w:lang w:val="en-US"/>
        </w:rPr>
        <w:fldChar w:fldCharType="begin"/>
      </w:r>
      <w:r>
        <w:rPr>
          <w:lang w:val="en-US"/>
        </w:rPr>
        <w:instrText xml:space="preserve"> REF _Ref490213719 \r \h </w:instrText>
      </w:r>
      <w:r>
        <w:rPr>
          <w:lang w:val="en-US"/>
        </w:rPr>
      </w:r>
      <w:r>
        <w:rPr>
          <w:lang w:val="en-US"/>
        </w:rPr>
        <w:fldChar w:fldCharType="separate"/>
      </w:r>
      <w:r>
        <w:rPr>
          <w:lang w:val="en-US"/>
        </w:rPr>
        <w:t>2.4.2</w:t>
      </w:r>
      <w:r>
        <w:rPr>
          <w:lang w:val="en-US"/>
        </w:rPr>
        <w:fldChar w:fldCharType="end"/>
      </w:r>
      <w:r>
        <w:rPr>
          <w:lang w:val="en-US"/>
        </w:rPr>
        <w:t xml:space="preserve">. For UL scheduling this could be done by the gNB and eNB selecting the applicable allowed slots and subframes only. To support this operation and polled HARQ feedback, there would be a need to introduce signaling over the Xn and X2 interface that supports for operation over multiple bands to give these time patterns. The basic assumption is further that there is some form of synchronization between the NR and LTE gNB and eNB respectively. Further details on the solution is given in section </w:t>
      </w:r>
      <w:r>
        <w:rPr>
          <w:lang w:val="en-US"/>
        </w:rPr>
        <w:fldChar w:fldCharType="begin"/>
      </w:r>
      <w:r>
        <w:rPr>
          <w:lang w:val="en-US"/>
        </w:rPr>
        <w:instrText xml:space="preserve"> REF _Ref490215700 \r \h </w:instrText>
      </w:r>
      <w:r>
        <w:rPr>
          <w:lang w:val="en-US"/>
        </w:rPr>
      </w:r>
      <w:r>
        <w:rPr>
          <w:lang w:val="en-US"/>
        </w:rPr>
        <w:fldChar w:fldCharType="separate"/>
      </w:r>
      <w:r>
        <w:rPr>
          <w:lang w:val="en-US"/>
        </w:rPr>
        <w:t>2.4.3.1</w:t>
      </w:r>
      <w:r>
        <w:rPr>
          <w:lang w:val="en-US"/>
        </w:rPr>
        <w:fldChar w:fldCharType="end"/>
      </w:r>
      <w:r>
        <w:rPr>
          <w:lang w:val="en-US"/>
        </w:rPr>
        <w:t>.</w:t>
      </w:r>
    </w:p>
    <w:p w14:paraId="72BF39EA" w14:textId="11EDB3B9" w:rsidR="00542B49" w:rsidRDefault="00542B49" w:rsidP="00542B49">
      <w:pPr>
        <w:pStyle w:val="Heading2"/>
        <w:rPr>
          <w:lang w:val="en-US"/>
        </w:rPr>
      </w:pPr>
      <w:r>
        <w:rPr>
          <w:lang w:val="en-US"/>
        </w:rPr>
        <w:t>Scenario 2</w:t>
      </w:r>
    </w:p>
    <w:p w14:paraId="67146BF7" w14:textId="0205B4C3" w:rsidR="00542B49" w:rsidRDefault="00774A4C" w:rsidP="00542B49">
      <w:r>
        <w:rPr>
          <w:lang w:val="en-US"/>
        </w:rPr>
        <w:t>In Scenario 2 the DL carriers for NR and LTE is operated as in scenario 1, however the ULs are operated on the same carrier frequency. This would inherently mean that a TDM design is performed between LTE and NR in the UL</w:t>
      </w:r>
      <w:r w:rsidR="00771E68">
        <w:rPr>
          <w:lang w:val="en-US"/>
        </w:rPr>
        <w:t xml:space="preserve">, </w:t>
      </w:r>
      <w:r>
        <w:rPr>
          <w:lang w:val="en-US"/>
        </w:rPr>
        <w:t xml:space="preserve">as operating them simultaneously will most likely lead to that coverage is </w:t>
      </w:r>
      <w:r w:rsidR="00C42C83">
        <w:rPr>
          <w:lang w:val="en-US"/>
        </w:rPr>
        <w:t>severely</w:t>
      </w:r>
      <w:r>
        <w:rPr>
          <w:lang w:val="en-US"/>
        </w:rPr>
        <w:t xml:space="preserve"> impacted in UL for both LTE and NR. </w:t>
      </w:r>
      <w:r w:rsidR="00C42C83">
        <w:rPr>
          <w:lang w:val="en-US"/>
        </w:rPr>
        <w:t>Consequently,</w:t>
      </w:r>
      <w:r>
        <w:rPr>
          <w:lang w:val="en-US"/>
        </w:rPr>
        <w:t xml:space="preserve"> the solution of polling the HARQ feedback bits that was needed for scenario 1 also needs to be utilized for scenario 2. </w:t>
      </w:r>
      <w:r w:rsidR="00C42C83">
        <w:rPr>
          <w:lang w:val="en-US"/>
        </w:rPr>
        <w:t xml:space="preserve">This is further described in section </w:t>
      </w:r>
      <w:r w:rsidR="00C42C83">
        <w:rPr>
          <w:lang w:val="en-US"/>
        </w:rPr>
        <w:fldChar w:fldCharType="begin"/>
      </w:r>
      <w:r w:rsidR="00C42C83">
        <w:rPr>
          <w:lang w:val="en-US"/>
        </w:rPr>
        <w:instrText xml:space="preserve"> REF _Ref490213719 \r \h </w:instrText>
      </w:r>
      <w:r w:rsidR="00C42C83">
        <w:rPr>
          <w:lang w:val="en-US"/>
        </w:rPr>
      </w:r>
      <w:r w:rsidR="00C42C83">
        <w:rPr>
          <w:lang w:val="en-US"/>
        </w:rPr>
        <w:fldChar w:fldCharType="separate"/>
      </w:r>
      <w:r w:rsidR="00771E68">
        <w:rPr>
          <w:lang w:val="en-US"/>
        </w:rPr>
        <w:t>2.4.2</w:t>
      </w:r>
      <w:r w:rsidR="00C42C83">
        <w:rPr>
          <w:lang w:val="en-US"/>
        </w:rPr>
        <w:fldChar w:fldCharType="end"/>
      </w:r>
      <w:r w:rsidR="00C42C83">
        <w:rPr>
          <w:lang w:val="en-US"/>
        </w:rPr>
        <w:t>. The need for network signaling between the gNB and eNB is further similar as in scenario 1</w:t>
      </w:r>
      <w:r w:rsidR="00555193">
        <w:rPr>
          <w:lang w:val="en-US"/>
        </w:rPr>
        <w:t xml:space="preserve">. </w:t>
      </w:r>
      <w:r w:rsidR="00C42C83">
        <w:t xml:space="preserve">Further it is assumed that NR and LTE carriers are synchronised to give optimal performance. The exact signalling is further given in section </w:t>
      </w:r>
      <w:r w:rsidR="00C42C83">
        <w:fldChar w:fldCharType="begin"/>
      </w:r>
      <w:r w:rsidR="00C42C83">
        <w:instrText xml:space="preserve"> REF _Ref490215676 \r \h </w:instrText>
      </w:r>
      <w:r w:rsidR="00C42C83">
        <w:fldChar w:fldCharType="separate"/>
      </w:r>
      <w:r w:rsidR="00771E68">
        <w:t>2.4.3.2</w:t>
      </w:r>
      <w:r w:rsidR="00C42C83">
        <w:fldChar w:fldCharType="end"/>
      </w:r>
      <w:r w:rsidR="00C42C83">
        <w:t>.</w:t>
      </w:r>
    </w:p>
    <w:p w14:paraId="3BF868F3" w14:textId="6EFC482D" w:rsidR="00C42C83" w:rsidRDefault="00C42C83" w:rsidP="00542B49">
      <w:r>
        <w:t xml:space="preserve">An additional aspect for scenario 2 is that the UE will not have a pathloss reference for the NR carrier. How to handle this is further described in section </w:t>
      </w:r>
      <w:r>
        <w:fldChar w:fldCharType="begin"/>
      </w:r>
      <w:r>
        <w:instrText xml:space="preserve"> REF _Ref490215895 \r \h </w:instrText>
      </w:r>
      <w:r>
        <w:fldChar w:fldCharType="separate"/>
      </w:r>
      <w:r w:rsidR="00771E68">
        <w:t>2.4.1</w:t>
      </w:r>
      <w:r>
        <w:fldChar w:fldCharType="end"/>
      </w:r>
      <w:r>
        <w:t>.</w:t>
      </w:r>
    </w:p>
    <w:p w14:paraId="38ED933D" w14:textId="2DA40EAD" w:rsidR="005347CA" w:rsidRDefault="005347CA" w:rsidP="00542B49">
      <w:r>
        <w:t xml:space="preserve">With these mechanism, it </w:t>
      </w:r>
      <w:r w:rsidR="0085228C">
        <w:t xml:space="preserve">is </w:t>
      </w:r>
      <w:r>
        <w:t xml:space="preserve">further sufficient to describe the UL sharing only from the network perspective and the specification impact would be to introduce the highlighted features only. </w:t>
      </w:r>
    </w:p>
    <w:p w14:paraId="354DC7BC" w14:textId="7F369AE4" w:rsidR="005347CA" w:rsidRPr="005347CA" w:rsidRDefault="005347CA" w:rsidP="00542B49">
      <w:pPr>
        <w:rPr>
          <w:b/>
        </w:rPr>
      </w:pPr>
      <w:r w:rsidRPr="005347CA">
        <w:rPr>
          <w:b/>
        </w:rPr>
        <w:t>Proposal</w:t>
      </w:r>
    </w:p>
    <w:p w14:paraId="6CE12379" w14:textId="751FF862" w:rsidR="005347CA" w:rsidRPr="005347CA" w:rsidRDefault="005347CA" w:rsidP="005347CA">
      <w:pPr>
        <w:pStyle w:val="ListParagraph"/>
        <w:numPr>
          <w:ilvl w:val="0"/>
          <w:numId w:val="22"/>
        </w:numPr>
        <w:rPr>
          <w:rFonts w:ascii="Arial" w:hAnsi="Arial" w:cs="Arial"/>
          <w:i/>
          <w:sz w:val="20"/>
          <w:szCs w:val="20"/>
        </w:rPr>
      </w:pPr>
      <w:r w:rsidRPr="005347CA">
        <w:rPr>
          <w:rFonts w:ascii="Arial" w:hAnsi="Arial" w:cs="Arial"/>
          <w:i/>
          <w:sz w:val="20"/>
          <w:szCs w:val="20"/>
        </w:rPr>
        <w:t>It is sufficient to describe UL sharing for scenario 2 from the network perspective. The impact to 3GPP is a set of specific features that the network can choose to utilize to operate this scenario</w:t>
      </w:r>
      <w:r w:rsidR="0085228C">
        <w:rPr>
          <w:rFonts w:ascii="Arial" w:hAnsi="Arial" w:cs="Arial"/>
          <w:i/>
          <w:sz w:val="20"/>
          <w:szCs w:val="20"/>
        </w:rPr>
        <w:t>.</w:t>
      </w:r>
    </w:p>
    <w:p w14:paraId="18106610" w14:textId="53899DE9" w:rsidR="00542B49" w:rsidRDefault="00542B49" w:rsidP="00542B49">
      <w:pPr>
        <w:pStyle w:val="Heading2"/>
        <w:rPr>
          <w:lang w:val="en-US"/>
        </w:rPr>
      </w:pPr>
      <w:r>
        <w:rPr>
          <w:lang w:val="en-US"/>
        </w:rPr>
        <w:t>Scenario 3</w:t>
      </w:r>
    </w:p>
    <w:p w14:paraId="617BC504" w14:textId="3D1E1554" w:rsidR="00542B49" w:rsidRPr="00542B49" w:rsidRDefault="00C42C83" w:rsidP="00542B49">
      <w:pPr>
        <w:rPr>
          <w:lang w:val="en-US"/>
        </w:rPr>
      </w:pPr>
      <w:r>
        <w:rPr>
          <w:lang w:val="en-US"/>
        </w:rPr>
        <w:t>In Scenario 3</w:t>
      </w:r>
      <w:r w:rsidR="00771E68">
        <w:rPr>
          <w:lang w:val="en-US"/>
        </w:rPr>
        <w:t>, t</w:t>
      </w:r>
      <w:r>
        <w:rPr>
          <w:lang w:val="en-US"/>
        </w:rPr>
        <w:t>he UE is operating an extension of scenario 1 wherein the UE has an addition</w:t>
      </w:r>
      <w:r w:rsidR="006D2D12">
        <w:rPr>
          <w:lang w:val="en-US"/>
        </w:rPr>
        <w:t>al</w:t>
      </w:r>
      <w:r>
        <w:rPr>
          <w:lang w:val="en-US"/>
        </w:rPr>
        <w:t xml:space="preserve"> NR carrier in adjacent frequencies to the LTE carriers but are not </w:t>
      </w:r>
      <w:r w:rsidR="005347CA">
        <w:rPr>
          <w:lang w:val="en-US"/>
        </w:rPr>
        <w:t xml:space="preserve">sharing the same frequency as the LTE carrier. This scenario could avoid the case of have intermodulation products in UL between the NR and LTE carrier by utilizing the NR UL carrier in the adjacent band to the LTE carrier. This will increase the coverage of the NR </w:t>
      </w:r>
      <w:r w:rsidR="005347CA">
        <w:rPr>
          <w:lang w:val="en-US"/>
        </w:rPr>
        <w:lastRenderedPageBreak/>
        <w:t xml:space="preserve">operation compared to scenario 1. However sending on two UL carriers at the same time </w:t>
      </w:r>
      <w:r w:rsidR="002C47EE">
        <w:rPr>
          <w:lang w:val="en-US"/>
        </w:rPr>
        <w:t>regardless whether</w:t>
      </w:r>
      <w:r w:rsidR="005347CA">
        <w:rPr>
          <w:lang w:val="en-US"/>
        </w:rPr>
        <w:t xml:space="preserve"> it is LTE+LTE, NR+NR or LTE+NR will always limit the coverage of the signals sent compared to only sending one</w:t>
      </w:r>
      <w:r w:rsidR="00771E68">
        <w:rPr>
          <w:lang w:val="en-US"/>
        </w:rPr>
        <w:t xml:space="preserve">, </w:t>
      </w:r>
      <w:r w:rsidR="005347CA">
        <w:rPr>
          <w:lang w:val="en-US"/>
        </w:rPr>
        <w:t xml:space="preserve">as the power needs to be shared between the two UL carriers. Consequently, to trade DL data rate </w:t>
      </w:r>
      <w:r w:rsidR="00771E68">
        <w:rPr>
          <w:lang w:val="en-US"/>
        </w:rPr>
        <w:t xml:space="preserve">for UL coverage </w:t>
      </w:r>
      <w:r w:rsidR="006D2D12">
        <w:rPr>
          <w:lang w:val="en-US"/>
        </w:rPr>
        <w:t>it</w:t>
      </w:r>
      <w:r w:rsidR="005347CA">
        <w:rPr>
          <w:lang w:val="en-US"/>
        </w:rPr>
        <w:t xml:space="preserve"> would be beneficial to operating with the time domain pattern given in section </w:t>
      </w:r>
      <w:r w:rsidR="005347CA">
        <w:rPr>
          <w:lang w:val="en-US"/>
        </w:rPr>
        <w:fldChar w:fldCharType="begin"/>
      </w:r>
      <w:r w:rsidR="005347CA">
        <w:rPr>
          <w:lang w:val="en-US"/>
        </w:rPr>
        <w:instrText xml:space="preserve"> REF _Ref490215700 \r \h </w:instrText>
      </w:r>
      <w:r w:rsidR="005347CA">
        <w:rPr>
          <w:lang w:val="en-US"/>
        </w:rPr>
      </w:r>
      <w:r w:rsidR="005347CA">
        <w:rPr>
          <w:lang w:val="en-US"/>
        </w:rPr>
        <w:fldChar w:fldCharType="separate"/>
      </w:r>
      <w:r w:rsidR="00771E68">
        <w:rPr>
          <w:lang w:val="en-US"/>
        </w:rPr>
        <w:t>2.4.3.1</w:t>
      </w:r>
      <w:r w:rsidR="005347CA">
        <w:rPr>
          <w:lang w:val="en-US"/>
        </w:rPr>
        <w:fldChar w:fldCharType="end"/>
      </w:r>
      <w:r w:rsidR="005347CA">
        <w:rPr>
          <w:lang w:val="en-US"/>
        </w:rPr>
        <w:t xml:space="preserve"> and also applying pooling of HARQ feedback as described in section </w:t>
      </w:r>
      <w:r w:rsidR="005347CA">
        <w:rPr>
          <w:lang w:val="en-US"/>
        </w:rPr>
        <w:fldChar w:fldCharType="begin"/>
      </w:r>
      <w:r w:rsidR="005347CA">
        <w:rPr>
          <w:lang w:val="en-US"/>
        </w:rPr>
        <w:instrText xml:space="preserve"> REF _Ref490213719 \r \h </w:instrText>
      </w:r>
      <w:r w:rsidR="005347CA">
        <w:rPr>
          <w:lang w:val="en-US"/>
        </w:rPr>
      </w:r>
      <w:r w:rsidR="005347CA">
        <w:rPr>
          <w:lang w:val="en-US"/>
        </w:rPr>
        <w:fldChar w:fldCharType="separate"/>
      </w:r>
      <w:r w:rsidR="00771E68">
        <w:rPr>
          <w:lang w:val="en-US"/>
        </w:rPr>
        <w:t>2.4.2</w:t>
      </w:r>
      <w:r w:rsidR="005347CA">
        <w:rPr>
          <w:lang w:val="en-US"/>
        </w:rPr>
        <w:fldChar w:fldCharType="end"/>
      </w:r>
      <w:r w:rsidR="005347CA">
        <w:rPr>
          <w:lang w:val="en-US"/>
        </w:rPr>
        <w:t>.</w:t>
      </w:r>
    </w:p>
    <w:p w14:paraId="70211E35" w14:textId="2EB80D32" w:rsidR="00542B49" w:rsidRDefault="00542B49" w:rsidP="00542B49">
      <w:pPr>
        <w:pStyle w:val="Heading2"/>
        <w:rPr>
          <w:lang w:val="en-US"/>
        </w:rPr>
      </w:pPr>
      <w:r>
        <w:rPr>
          <w:lang w:val="en-US"/>
        </w:rPr>
        <w:t>Specific solutions to be introduced</w:t>
      </w:r>
    </w:p>
    <w:p w14:paraId="68F51667" w14:textId="6938353B" w:rsidR="00652D28" w:rsidRDefault="00652D28" w:rsidP="00542B49">
      <w:pPr>
        <w:pStyle w:val="Heading3"/>
        <w:rPr>
          <w:lang w:val="en-US"/>
        </w:rPr>
      </w:pPr>
      <w:bookmarkStart w:id="6" w:name="_Ref490215895"/>
      <w:r>
        <w:rPr>
          <w:lang w:val="en-US"/>
        </w:rPr>
        <w:t>Power control</w:t>
      </w:r>
      <w:bookmarkEnd w:id="6"/>
    </w:p>
    <w:p w14:paraId="2C5F0FCC" w14:textId="462517F3" w:rsidR="00652D28" w:rsidRDefault="00652D28" w:rsidP="00652D28">
      <w:pPr>
        <w:rPr>
          <w:lang w:val="en-US"/>
        </w:rPr>
      </w:pPr>
      <w:r>
        <w:rPr>
          <w:lang w:val="en-US"/>
        </w:rPr>
        <w:t>The first aspects to consider is how power control is performed on an NR UL carrier wherein there is no corresponding NR DL within the same band</w:t>
      </w:r>
      <w:r w:rsidR="002B08E0">
        <w:rPr>
          <w:lang w:val="en-US"/>
        </w:rPr>
        <w:t>, e.g. Scenario 2</w:t>
      </w:r>
      <w:r>
        <w:rPr>
          <w:lang w:val="en-US"/>
        </w:rPr>
        <w:t xml:space="preserve">. The main problem is that the UE would need to </w:t>
      </w:r>
      <w:r w:rsidR="00477861">
        <w:rPr>
          <w:lang w:val="en-US"/>
        </w:rPr>
        <w:t xml:space="preserve">have reliable pathloss reference to be able to operate in UL. There are a few ways one could think of achieving this. One is that the UE measures pathloss at the correspond NR DL carrier. However, this NR carrier would be located in another band potentially multiple 1 GHz apart. Consequently, the pathloss will be different. It may also be difficult to compensate with a fixed offset. The reason is that propagation of the signaling maybe different on the different frequency bands. Another way would instead be that the UE uses the CRS from the </w:t>
      </w:r>
      <w:r w:rsidR="00CB1EDE">
        <w:rPr>
          <w:lang w:val="en-US"/>
        </w:rPr>
        <w:t xml:space="preserve">associated </w:t>
      </w:r>
      <w:r w:rsidR="00477861">
        <w:rPr>
          <w:lang w:val="en-US"/>
        </w:rPr>
        <w:t>LTE DL that is available in the same band as the NR UL. The UE would then be configured with the PCI and output power of the LTE DL carrier that is most suited as pathloss reference (typical the DL carrier that is paired with the UL carrier on the same frequency). Further the UE could also be configured with BW of the LTE DL carrier to be able to perform RSRP measurement over more the 6 PRBs if the UE supports that. The UE would be configured with this already to perform random access on the NR UL.</w:t>
      </w:r>
    </w:p>
    <w:p w14:paraId="26DB324A" w14:textId="0F660DB7" w:rsidR="00477861" w:rsidRPr="00477861" w:rsidRDefault="00477861" w:rsidP="00652D28">
      <w:pPr>
        <w:rPr>
          <w:b/>
          <w:lang w:val="en-US"/>
        </w:rPr>
      </w:pPr>
      <w:r w:rsidRPr="00477861">
        <w:rPr>
          <w:b/>
          <w:lang w:val="en-US"/>
        </w:rPr>
        <w:t>Proposal</w:t>
      </w:r>
    </w:p>
    <w:p w14:paraId="5928EE9C" w14:textId="061F30DD" w:rsidR="00477861" w:rsidRPr="00C42C83" w:rsidRDefault="00477861" w:rsidP="00477861">
      <w:pPr>
        <w:pStyle w:val="ListParagraph"/>
        <w:numPr>
          <w:ilvl w:val="0"/>
          <w:numId w:val="20"/>
        </w:numPr>
        <w:rPr>
          <w:rFonts w:ascii="Arial" w:hAnsi="Arial" w:cs="Arial"/>
          <w:i/>
          <w:sz w:val="20"/>
          <w:szCs w:val="20"/>
        </w:rPr>
      </w:pPr>
      <w:r w:rsidRPr="00C42C83">
        <w:rPr>
          <w:rFonts w:ascii="Arial" w:hAnsi="Arial" w:cs="Arial"/>
          <w:i/>
          <w:sz w:val="20"/>
          <w:szCs w:val="20"/>
        </w:rPr>
        <w:t>NR supports to have LTE CRS as pathloss reference</w:t>
      </w:r>
    </w:p>
    <w:p w14:paraId="75A24BF3" w14:textId="506CDA04" w:rsidR="00503553" w:rsidRPr="00C42C83" w:rsidRDefault="006D2D12" w:rsidP="00503553">
      <w:pPr>
        <w:pStyle w:val="ListParagraph"/>
        <w:numPr>
          <w:ilvl w:val="1"/>
          <w:numId w:val="20"/>
        </w:numPr>
        <w:rPr>
          <w:rFonts w:ascii="Arial" w:hAnsi="Arial" w:cs="Arial"/>
          <w:i/>
          <w:sz w:val="20"/>
          <w:szCs w:val="20"/>
        </w:rPr>
      </w:pPr>
      <w:r>
        <w:rPr>
          <w:rFonts w:ascii="Arial" w:hAnsi="Arial" w:cs="Arial"/>
          <w:i/>
          <w:sz w:val="20"/>
          <w:szCs w:val="20"/>
        </w:rPr>
        <w:t>F</w:t>
      </w:r>
      <w:r w:rsidR="00503553" w:rsidRPr="00C42C83">
        <w:rPr>
          <w:rFonts w:ascii="Arial" w:hAnsi="Arial" w:cs="Arial"/>
          <w:i/>
          <w:sz w:val="20"/>
          <w:szCs w:val="20"/>
        </w:rPr>
        <w:t xml:space="preserve">or a given NR UL carrier at a given frequency </w:t>
      </w:r>
      <w:r>
        <w:rPr>
          <w:rFonts w:ascii="Arial" w:hAnsi="Arial" w:cs="Arial"/>
          <w:i/>
          <w:sz w:val="20"/>
          <w:szCs w:val="20"/>
        </w:rPr>
        <w:t>UE is configured to use</w:t>
      </w:r>
      <w:r w:rsidR="00503553" w:rsidRPr="00C42C83">
        <w:rPr>
          <w:rFonts w:ascii="Arial" w:hAnsi="Arial" w:cs="Arial"/>
          <w:i/>
          <w:sz w:val="20"/>
          <w:szCs w:val="20"/>
        </w:rPr>
        <w:t xml:space="preserve"> an LTE carrier CRS on a given frequency </w:t>
      </w:r>
      <w:r w:rsidR="00CB1EDE">
        <w:rPr>
          <w:rFonts w:ascii="Arial" w:hAnsi="Arial" w:cs="Arial"/>
          <w:i/>
          <w:sz w:val="20"/>
          <w:szCs w:val="20"/>
        </w:rPr>
        <w:t>as</w:t>
      </w:r>
      <w:r w:rsidR="00CB1EDE" w:rsidRPr="00C42C83">
        <w:rPr>
          <w:rFonts w:ascii="Arial" w:hAnsi="Arial" w:cs="Arial"/>
          <w:i/>
          <w:sz w:val="20"/>
          <w:szCs w:val="20"/>
        </w:rPr>
        <w:t xml:space="preserve"> </w:t>
      </w:r>
      <w:r w:rsidR="00503553" w:rsidRPr="00C42C83">
        <w:rPr>
          <w:rFonts w:ascii="Arial" w:hAnsi="Arial" w:cs="Arial"/>
          <w:i/>
          <w:sz w:val="20"/>
          <w:szCs w:val="20"/>
        </w:rPr>
        <w:t>pathloss reference</w:t>
      </w:r>
    </w:p>
    <w:p w14:paraId="39066926" w14:textId="06605F20" w:rsidR="00503553" w:rsidRPr="00C42C83" w:rsidRDefault="00503553" w:rsidP="00503553">
      <w:pPr>
        <w:pStyle w:val="ListParagraph"/>
        <w:numPr>
          <w:ilvl w:val="2"/>
          <w:numId w:val="20"/>
        </w:numPr>
        <w:rPr>
          <w:rFonts w:ascii="Arial" w:hAnsi="Arial" w:cs="Arial"/>
          <w:i/>
          <w:sz w:val="20"/>
          <w:szCs w:val="20"/>
        </w:rPr>
      </w:pPr>
      <w:r w:rsidRPr="00C42C83">
        <w:rPr>
          <w:rFonts w:ascii="Arial" w:hAnsi="Arial" w:cs="Arial"/>
          <w:i/>
          <w:sz w:val="20"/>
          <w:szCs w:val="20"/>
        </w:rPr>
        <w:t>The UE is configured with the PCI and the transmission power of the LTE carrier</w:t>
      </w:r>
    </w:p>
    <w:p w14:paraId="3A2DFB5C" w14:textId="6F30B011" w:rsidR="00503553" w:rsidRPr="00C42C83" w:rsidRDefault="00503553" w:rsidP="00503553">
      <w:pPr>
        <w:pStyle w:val="ListParagraph"/>
        <w:numPr>
          <w:ilvl w:val="2"/>
          <w:numId w:val="20"/>
        </w:numPr>
        <w:rPr>
          <w:rFonts w:ascii="Arial" w:hAnsi="Arial" w:cs="Arial"/>
          <w:i/>
          <w:sz w:val="20"/>
          <w:szCs w:val="20"/>
        </w:rPr>
      </w:pPr>
      <w:r w:rsidRPr="00C42C83">
        <w:rPr>
          <w:rFonts w:ascii="Arial" w:hAnsi="Arial" w:cs="Arial"/>
          <w:i/>
          <w:sz w:val="20"/>
          <w:szCs w:val="20"/>
        </w:rPr>
        <w:t>If the LTE carrier is TDD</w:t>
      </w:r>
      <w:r w:rsidR="006D2D12">
        <w:rPr>
          <w:rFonts w:ascii="Arial" w:hAnsi="Arial" w:cs="Arial"/>
          <w:i/>
          <w:sz w:val="20"/>
          <w:szCs w:val="20"/>
        </w:rPr>
        <w:t>,</w:t>
      </w:r>
      <w:r w:rsidRPr="00C42C83">
        <w:rPr>
          <w:rFonts w:ascii="Arial" w:hAnsi="Arial" w:cs="Arial"/>
          <w:i/>
          <w:sz w:val="20"/>
          <w:szCs w:val="20"/>
        </w:rPr>
        <w:t xml:space="preserve"> the NR UE is further given the LTE UL/DL configuration to be able to identify the DL subframes</w:t>
      </w:r>
    </w:p>
    <w:p w14:paraId="0A545A23" w14:textId="78C8BCA2" w:rsidR="00E80B1C" w:rsidRDefault="00503553" w:rsidP="00542B49">
      <w:pPr>
        <w:pStyle w:val="Heading3"/>
      </w:pPr>
      <w:bookmarkStart w:id="7" w:name="_Ref490213719"/>
      <w:r>
        <w:t>DL HARQ feedback</w:t>
      </w:r>
      <w:bookmarkEnd w:id="7"/>
    </w:p>
    <w:p w14:paraId="6411266B" w14:textId="68DF80A4" w:rsidR="00503553" w:rsidRDefault="00503553" w:rsidP="00503553">
      <w:pPr>
        <w:pStyle w:val="BodyText"/>
      </w:pPr>
      <w:r>
        <w:t>For the case when an NR UL is operated on the same frequency as LTE UL from the same UE or that a UE is aggregating both NR UL an LTE UL on different frequency but cannot simultaneously transmit on both of them</w:t>
      </w:r>
      <w:r w:rsidR="009F2284">
        <w:t>,</w:t>
      </w:r>
      <w:r>
        <w:t xml:space="preserve"> </w:t>
      </w:r>
      <w:r w:rsidR="009F2284">
        <w:t>t</w:t>
      </w:r>
      <w:r>
        <w:t xml:space="preserve">here is </w:t>
      </w:r>
      <w:r w:rsidR="00CB1EDE">
        <w:t xml:space="preserve">a </w:t>
      </w:r>
      <w:r>
        <w:t xml:space="preserve">potential problem that the </w:t>
      </w:r>
      <w:r w:rsidR="009F2284">
        <w:t xml:space="preserve">UE </w:t>
      </w:r>
      <w:r>
        <w:t xml:space="preserve">cannot </w:t>
      </w:r>
      <w:r w:rsidR="008E7BDE">
        <w:t xml:space="preserve">be scheduled </w:t>
      </w:r>
      <w:r>
        <w:t xml:space="preserve">continuously </w:t>
      </w:r>
      <w:r w:rsidR="00224B81">
        <w:t>in a corresponding LTE and NR carrier(s) at the same time in DL due to that the HARQ feedback will be transmitted in UL. Transmitting multiple PUCCH format at the same time for LTE and NR will most likely severely impact the UL coverage. I</w:t>
      </w:r>
      <w:r>
        <w:t>n scenarios where NR coexists with LTE in the same band HARQ feedback needs to be delayed until the next available UL, see Figure 1. One code point in the HARQ timing indication in the DCI could be reserved to indicate postponed HARQ feedback. If the UE was instructed not to transmit a HARQ acknowledgement, the network could at a later time instant “poll” the UE for the status of previous receptions. Polling could also have the benefit of avoiding complicated HARQ-ACK codebooks as used in LTE and is also useful for operation in unlicensed spectrum for devices not capable of ‘immediate’ ACK.</w:t>
      </w:r>
      <w:r w:rsidR="00224B81">
        <w:t xml:space="preserve"> It could concretely be done from the network that the </w:t>
      </w:r>
      <w:r w:rsidR="00715EDD">
        <w:t>UE is</w:t>
      </w:r>
      <w:r w:rsidR="00224B81">
        <w:t xml:space="preserve"> scheduled contiguously 4 LTE and 4 NR subframes/slots and in the fifth subframe only schedules NR. This would leave room in UL to perform a polling of HARQ feedback on NR in every fifth subframe and at the same time not limiting the performance too much on the LTE carrier. On the LTE carrier, the eNB could in these occasions instead schedule another UE instead. This solution will introduce some additional delay for the HARQ feedback however, this is not great concern as typically the BLER target is very low and with operating with LDPC code it may be even lower. </w:t>
      </w:r>
    </w:p>
    <w:p w14:paraId="4298A4C3" w14:textId="4F056257" w:rsidR="00503553" w:rsidRDefault="00503553" w:rsidP="00503553">
      <w:pPr>
        <w:pStyle w:val="BodyText"/>
        <w:rPr>
          <w:b/>
        </w:rPr>
      </w:pPr>
      <w:r w:rsidRPr="00EC06DD">
        <w:rPr>
          <w:b/>
        </w:rPr>
        <w:t xml:space="preserve">Proposal </w:t>
      </w:r>
    </w:p>
    <w:p w14:paraId="00FBC804" w14:textId="5EDF965F" w:rsidR="00503553" w:rsidRPr="00503553" w:rsidRDefault="00503553" w:rsidP="00503553">
      <w:pPr>
        <w:pStyle w:val="BodyText"/>
        <w:numPr>
          <w:ilvl w:val="0"/>
          <w:numId w:val="20"/>
        </w:numPr>
        <w:rPr>
          <w:i/>
        </w:rPr>
      </w:pPr>
      <w:r w:rsidRPr="00503553">
        <w:rPr>
          <w:i/>
        </w:rPr>
        <w:t>Introduce polled HARQ-acknowledgement for PDSCH.</w:t>
      </w:r>
    </w:p>
    <w:p w14:paraId="5634FF91" w14:textId="77777777" w:rsidR="00503553" w:rsidRDefault="00503553" w:rsidP="00503553">
      <w:pPr>
        <w:pStyle w:val="BodyText"/>
        <w:keepNext/>
      </w:pPr>
      <w:r w:rsidRPr="006B1453">
        <w:rPr>
          <w:noProof/>
          <w:lang w:val="sv-SE" w:eastAsia="sv-SE"/>
        </w:rPr>
        <w:lastRenderedPageBreak/>
        <w:drawing>
          <wp:inline distT="0" distB="0" distL="0" distR="0" wp14:anchorId="2CDD59AE" wp14:editId="42C63D41">
            <wp:extent cx="5644827" cy="1571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7553" cy="1619715"/>
                    </a:xfrm>
                    <a:prstGeom prst="rect">
                      <a:avLst/>
                    </a:prstGeom>
                    <a:noFill/>
                    <a:ln>
                      <a:noFill/>
                    </a:ln>
                  </pic:spPr>
                </pic:pic>
              </a:graphicData>
            </a:graphic>
          </wp:inline>
        </w:drawing>
      </w:r>
    </w:p>
    <w:p w14:paraId="4A3D4DC5" w14:textId="3EA64D54" w:rsidR="00503553" w:rsidRPr="006B1453" w:rsidRDefault="00503553" w:rsidP="00503553">
      <w:pPr>
        <w:pStyle w:val="Caption"/>
        <w:jc w:val="both"/>
      </w:pPr>
      <w:bookmarkStart w:id="8" w:name="_Ref465862656"/>
      <w:r>
        <w:t xml:space="preserve">Figure </w:t>
      </w:r>
      <w:r>
        <w:fldChar w:fldCharType="begin"/>
      </w:r>
      <w:r>
        <w:instrText xml:space="preserve"> SEQ Figure \* ARABIC </w:instrText>
      </w:r>
      <w:r>
        <w:fldChar w:fldCharType="separate"/>
      </w:r>
      <w:r w:rsidR="00771E68">
        <w:rPr>
          <w:noProof/>
        </w:rPr>
        <w:t>1</w:t>
      </w:r>
      <w:r>
        <w:rPr>
          <w:noProof/>
        </w:rPr>
        <w:fldChar w:fldCharType="end"/>
      </w:r>
      <w:bookmarkEnd w:id="8"/>
      <w:r>
        <w:t>: HARQ feedback timing</w:t>
      </w:r>
    </w:p>
    <w:p w14:paraId="25E7425A" w14:textId="37D21BC7" w:rsidR="00652D28" w:rsidRDefault="00542B49" w:rsidP="00542B49">
      <w:pPr>
        <w:pStyle w:val="Heading3"/>
      </w:pPr>
      <w:r>
        <w:t>Signalling over the Xn interface and enhanced X2 interface</w:t>
      </w:r>
    </w:p>
    <w:p w14:paraId="12807DC2" w14:textId="46725176" w:rsidR="00542B49" w:rsidRDefault="00542B49" w:rsidP="00542B49">
      <w:pPr>
        <w:pStyle w:val="Heading4"/>
        <w:rPr>
          <w:szCs w:val="20"/>
        </w:rPr>
      </w:pPr>
      <w:bookmarkStart w:id="9" w:name="_Ref490215700"/>
      <w:r w:rsidRPr="004E4009">
        <w:rPr>
          <w:szCs w:val="20"/>
        </w:rPr>
        <w:t>For LTE-NR coexistence in adjacent spectrum</w:t>
      </w:r>
      <w:bookmarkEnd w:id="9"/>
    </w:p>
    <w:p w14:paraId="2AABFD80" w14:textId="4DCAB993" w:rsidR="00542B49" w:rsidRDefault="00542B49" w:rsidP="00542B49">
      <w:r>
        <w:t>In order for operation to function on adjacent spectrum wherein the UE cannot transmit simultaneously on both NR and LTE there would be need for the gNB and eNB to exchange information</w:t>
      </w:r>
      <w:r w:rsidR="00382566">
        <w:t xml:space="preserve"> with</w:t>
      </w:r>
      <w:r>
        <w:t xml:space="preserve"> each</w:t>
      </w:r>
      <w:r w:rsidR="00715EDD">
        <w:t xml:space="preserve"> </w:t>
      </w:r>
      <w:r>
        <w:t xml:space="preserve">other </w:t>
      </w:r>
      <w:r w:rsidR="00382566">
        <w:t>regarding the</w:t>
      </w:r>
      <w:r>
        <w:t xml:space="preserve"> subframes/slots that </w:t>
      </w:r>
      <w:r w:rsidR="000F5CC4">
        <w:t xml:space="preserve">are </w:t>
      </w:r>
      <w:r>
        <w:t>allocate</w:t>
      </w:r>
      <w:r w:rsidR="00715EDD">
        <w:t>d</w:t>
      </w:r>
      <w:r>
        <w:t xml:space="preserve"> to NR and LTE operation correspondingly. For such information to be fully useful</w:t>
      </w:r>
      <w:r w:rsidR="00382566">
        <w:t>,</w:t>
      </w:r>
      <w:r>
        <w:t xml:space="preserve"> there would be </w:t>
      </w:r>
      <w:r w:rsidR="00382566">
        <w:t xml:space="preserve">a </w:t>
      </w:r>
      <w:r>
        <w:t>need to operate the NR carriers and LTE carriers without at least drifting t</w:t>
      </w:r>
      <w:r w:rsidR="00715EDD">
        <w:t>o</w:t>
      </w:r>
      <w:r>
        <w:t>o much between each</w:t>
      </w:r>
      <w:r w:rsidR="00715EDD">
        <w:t xml:space="preserve"> </w:t>
      </w:r>
      <w:r>
        <w:t xml:space="preserve">other. Better operation is achieved if they are synchronised </w:t>
      </w:r>
      <w:r w:rsidR="00382566">
        <w:t>on an</w:t>
      </w:r>
      <w:r w:rsidR="008739DF">
        <w:t xml:space="preserve"> OFDM symbol level. </w:t>
      </w:r>
      <w:r w:rsidR="00715EDD">
        <w:t xml:space="preserve">A </w:t>
      </w:r>
      <w:r w:rsidR="008739DF">
        <w:t xml:space="preserve">straightforward operation would be that the subframe pattern based on LTE </w:t>
      </w:r>
      <w:r w:rsidR="000F5CC4">
        <w:t>timing</w:t>
      </w:r>
      <w:r w:rsidR="008739DF">
        <w:t xml:space="preserve"> as it has the longest time duration per transmission duration (always 15 kHz numerology). The signalled message contains information whether a subframe is DL on LTE and NR, </w:t>
      </w:r>
      <w:r w:rsidR="00774A4C">
        <w:t>DL only on LTE or NR and for UL whether it is used for NR or LTE.</w:t>
      </w:r>
    </w:p>
    <w:p w14:paraId="4BCA0961" w14:textId="0921DD98" w:rsidR="00774A4C" w:rsidRPr="00774A4C" w:rsidRDefault="00774A4C" w:rsidP="00542B49">
      <w:pPr>
        <w:rPr>
          <w:b/>
        </w:rPr>
      </w:pPr>
      <w:r w:rsidRPr="00774A4C">
        <w:rPr>
          <w:b/>
        </w:rPr>
        <w:t>Proposal</w:t>
      </w:r>
    </w:p>
    <w:p w14:paraId="23982324" w14:textId="3F2EEFD2" w:rsidR="00774A4C" w:rsidRPr="00C42C83" w:rsidRDefault="00774A4C" w:rsidP="00774A4C">
      <w:pPr>
        <w:pStyle w:val="ListParagraph"/>
        <w:numPr>
          <w:ilvl w:val="0"/>
          <w:numId w:val="20"/>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For LTE-NR coexistence in adjacent spectrum a subframe bit map pattern is signalled based on the LTE timing that indicate</w:t>
      </w:r>
      <w:r w:rsidR="000F5CC4">
        <w:rPr>
          <w:rFonts w:ascii="Arial" w:eastAsia="Times New Roman" w:hAnsi="Arial"/>
          <w:i/>
          <w:sz w:val="20"/>
          <w:szCs w:val="20"/>
          <w:lang w:val="en-GB" w:eastAsia="zh-CN"/>
        </w:rPr>
        <w:t>s</w:t>
      </w:r>
      <w:r w:rsidRPr="00C42C83">
        <w:rPr>
          <w:rFonts w:ascii="Arial" w:eastAsia="Times New Roman" w:hAnsi="Arial"/>
          <w:i/>
          <w:sz w:val="20"/>
          <w:szCs w:val="20"/>
          <w:lang w:val="en-GB" w:eastAsia="zh-CN"/>
        </w:rPr>
        <w:t xml:space="preserve"> whether a subframe is DL for LTE and NR or DL only for LTE or NR</w:t>
      </w:r>
      <w:r w:rsidR="000F5CC4">
        <w:rPr>
          <w:rFonts w:ascii="Arial" w:eastAsia="Times New Roman" w:hAnsi="Arial"/>
          <w:i/>
          <w:sz w:val="20"/>
          <w:szCs w:val="20"/>
          <w:lang w:val="en-GB" w:eastAsia="zh-CN"/>
        </w:rPr>
        <w:t>;</w:t>
      </w:r>
      <w:r w:rsidRPr="00C42C83">
        <w:rPr>
          <w:rFonts w:ascii="Arial" w:eastAsia="Times New Roman" w:hAnsi="Arial"/>
          <w:i/>
          <w:sz w:val="20"/>
          <w:szCs w:val="20"/>
          <w:lang w:val="en-GB" w:eastAsia="zh-CN"/>
        </w:rPr>
        <w:t xml:space="preserve"> it further indicates whether </w:t>
      </w:r>
      <w:r w:rsidR="00382566">
        <w:rPr>
          <w:rFonts w:ascii="Arial" w:eastAsia="Times New Roman" w:hAnsi="Arial"/>
          <w:i/>
          <w:sz w:val="20"/>
          <w:szCs w:val="20"/>
          <w:lang w:val="en-GB" w:eastAsia="zh-CN"/>
        </w:rPr>
        <w:t>an</w:t>
      </w:r>
      <w:r w:rsidRPr="00C42C83">
        <w:rPr>
          <w:rFonts w:ascii="Arial" w:eastAsia="Times New Roman" w:hAnsi="Arial"/>
          <w:i/>
          <w:sz w:val="20"/>
          <w:szCs w:val="20"/>
          <w:lang w:val="en-GB" w:eastAsia="zh-CN"/>
        </w:rPr>
        <w:t xml:space="preserve"> UL subframe is UL for NR or LTE.</w:t>
      </w:r>
    </w:p>
    <w:p w14:paraId="241AC013" w14:textId="30D9139E" w:rsidR="00774A4C" w:rsidRPr="00C42C83" w:rsidRDefault="00774A4C" w:rsidP="00774A4C">
      <w:pPr>
        <w:pStyle w:val="ListParagraph"/>
        <w:numPr>
          <w:ilvl w:val="1"/>
          <w:numId w:val="20"/>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Note: This</w:t>
      </w:r>
      <w:r w:rsidR="000F5CC4">
        <w:rPr>
          <w:rFonts w:ascii="Arial" w:eastAsia="Times New Roman" w:hAnsi="Arial"/>
          <w:i/>
          <w:sz w:val="20"/>
          <w:szCs w:val="20"/>
          <w:lang w:val="en-GB" w:eastAsia="zh-CN"/>
        </w:rPr>
        <w:t xml:space="preserve"> is</w:t>
      </w:r>
      <w:r w:rsidRPr="00C42C83">
        <w:rPr>
          <w:rFonts w:ascii="Arial" w:eastAsia="Times New Roman" w:hAnsi="Arial"/>
          <w:i/>
          <w:sz w:val="20"/>
          <w:szCs w:val="20"/>
          <w:lang w:val="en-GB" w:eastAsia="zh-CN"/>
        </w:rPr>
        <w:t xml:space="preserve"> to support operation wherein the UE is TDM between the LTE and NR carrier</w:t>
      </w:r>
    </w:p>
    <w:p w14:paraId="4506857C" w14:textId="06B313F9" w:rsidR="00774A4C" w:rsidRPr="00C42C83" w:rsidRDefault="00774A4C" w:rsidP="005347CA">
      <w:pPr>
        <w:pStyle w:val="ListParagraph"/>
        <w:numPr>
          <w:ilvl w:val="1"/>
          <w:numId w:val="20"/>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Some form of synchroni</w:t>
      </w:r>
      <w:r w:rsidR="00382566">
        <w:rPr>
          <w:rFonts w:ascii="Arial" w:eastAsia="Times New Roman" w:hAnsi="Arial"/>
          <w:i/>
          <w:sz w:val="20"/>
          <w:szCs w:val="20"/>
          <w:lang w:val="en-GB" w:eastAsia="zh-CN"/>
        </w:rPr>
        <w:t>z</w:t>
      </w:r>
      <w:r w:rsidRPr="00C42C83">
        <w:rPr>
          <w:rFonts w:ascii="Arial" w:eastAsia="Times New Roman" w:hAnsi="Arial"/>
          <w:i/>
          <w:sz w:val="20"/>
          <w:szCs w:val="20"/>
          <w:lang w:val="en-GB" w:eastAsia="zh-CN"/>
        </w:rPr>
        <w:t xml:space="preserve">ation is assumed between the LTE and NR carriers, i.e. they do not drift over time significantly. </w:t>
      </w:r>
    </w:p>
    <w:p w14:paraId="3854636E" w14:textId="7693F890" w:rsidR="00542B49" w:rsidRDefault="00542B49" w:rsidP="00542B49">
      <w:pPr>
        <w:pStyle w:val="Heading4"/>
        <w:rPr>
          <w:szCs w:val="20"/>
        </w:rPr>
      </w:pPr>
      <w:bookmarkStart w:id="10" w:name="_Ref490215676"/>
      <w:r w:rsidRPr="004E4009">
        <w:rPr>
          <w:szCs w:val="20"/>
        </w:rPr>
        <w:t>For LTE-NR coexistence in overlapping spectrum</w:t>
      </w:r>
      <w:bookmarkEnd w:id="10"/>
    </w:p>
    <w:p w14:paraId="0618F047" w14:textId="0B453E25" w:rsidR="00C42C83" w:rsidRDefault="00C42C83" w:rsidP="00C42C83">
      <w:r>
        <w:t>In order for operation to function in overlapping spectrum wherein the UE cannot transmit simultaneously on both NR and LTE there would be need for the gNB and eNB to exchange information between each</w:t>
      </w:r>
      <w:r w:rsidR="000F5CC4">
        <w:t xml:space="preserve"> </w:t>
      </w:r>
      <w:r>
        <w:t xml:space="preserve">other on which subframes/slots that </w:t>
      </w:r>
      <w:r w:rsidR="000F5CC4">
        <w:t>are</w:t>
      </w:r>
      <w:r>
        <w:t xml:space="preserve"> allocate</w:t>
      </w:r>
      <w:r w:rsidR="000F5CC4">
        <w:t>d</w:t>
      </w:r>
      <w:r>
        <w:t xml:space="preserve"> to NR and LTE operation correspondingly. For this operation to work in a good manner it is recommended that the NR and LTE carriers are synchronised. Further there would be a need for UEs that are aggregating both NR and LTE carriers to TDM the</w:t>
      </w:r>
      <w:r w:rsidR="000F5CC4">
        <w:t>ir</w:t>
      </w:r>
      <w:r>
        <w:t xml:space="preserve"> UL carriers. Due</w:t>
      </w:r>
      <w:r w:rsidR="007568AA">
        <w:t xml:space="preserve"> to</w:t>
      </w:r>
      <w:r>
        <w:t xml:space="preserve"> that they are TDMing the</w:t>
      </w:r>
      <w:r w:rsidR="000F5CC4">
        <w:t>ir</w:t>
      </w:r>
      <w:r>
        <w:t xml:space="preserve"> UL carriers they would need to TDM there DL carriers as well. The operation described here then becomes similar to the case described in section </w:t>
      </w:r>
      <w:r>
        <w:fldChar w:fldCharType="begin"/>
      </w:r>
      <w:r>
        <w:instrText xml:space="preserve"> REF _Ref490215700 \r \h </w:instrText>
      </w:r>
      <w:r>
        <w:fldChar w:fldCharType="separate"/>
      </w:r>
      <w:r w:rsidR="00771E68">
        <w:t>2.4.3.1</w:t>
      </w:r>
      <w:r>
        <w:fldChar w:fldCharType="end"/>
      </w:r>
      <w:r>
        <w:t xml:space="preserve">. Consequently, the same signalling between the gNB and eNB can be reused. </w:t>
      </w:r>
    </w:p>
    <w:p w14:paraId="05C676A3" w14:textId="77777777" w:rsidR="00C42C83" w:rsidRPr="00774A4C" w:rsidRDefault="00C42C83" w:rsidP="00C42C83">
      <w:pPr>
        <w:rPr>
          <w:b/>
        </w:rPr>
      </w:pPr>
      <w:r w:rsidRPr="00774A4C">
        <w:rPr>
          <w:b/>
        </w:rPr>
        <w:t>Proposal</w:t>
      </w:r>
    </w:p>
    <w:p w14:paraId="29C21073" w14:textId="6391B8B8" w:rsidR="00C42C83" w:rsidRPr="00C42C83" w:rsidRDefault="00C42C83" w:rsidP="00C42C83">
      <w:pPr>
        <w:pStyle w:val="ListParagraph"/>
        <w:numPr>
          <w:ilvl w:val="0"/>
          <w:numId w:val="20"/>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For LTE-NR coexistence in overlapping spectrum a subframe bit map pattern is signalled based on the LTE timing that indicate</w:t>
      </w:r>
      <w:r w:rsidR="000F5CC4">
        <w:rPr>
          <w:rFonts w:ascii="Arial" w:eastAsia="Times New Roman" w:hAnsi="Arial"/>
          <w:i/>
          <w:sz w:val="20"/>
          <w:szCs w:val="20"/>
          <w:lang w:val="en-GB" w:eastAsia="zh-CN"/>
        </w:rPr>
        <w:t>s</w:t>
      </w:r>
      <w:r w:rsidRPr="00C42C83">
        <w:rPr>
          <w:rFonts w:ascii="Arial" w:eastAsia="Times New Roman" w:hAnsi="Arial"/>
          <w:i/>
          <w:sz w:val="20"/>
          <w:szCs w:val="20"/>
          <w:lang w:val="en-GB" w:eastAsia="zh-CN"/>
        </w:rPr>
        <w:t xml:space="preserve"> whether a subframe is DL for LTE and NR or DL only for LTE or NR</w:t>
      </w:r>
      <w:r w:rsidR="000F5CC4">
        <w:rPr>
          <w:rFonts w:ascii="Arial" w:eastAsia="Times New Roman" w:hAnsi="Arial"/>
          <w:i/>
          <w:sz w:val="20"/>
          <w:szCs w:val="20"/>
          <w:lang w:val="en-GB" w:eastAsia="zh-CN"/>
        </w:rPr>
        <w:t>;</w:t>
      </w:r>
      <w:r w:rsidRPr="00C42C83">
        <w:rPr>
          <w:rFonts w:ascii="Arial" w:eastAsia="Times New Roman" w:hAnsi="Arial"/>
          <w:i/>
          <w:sz w:val="20"/>
          <w:szCs w:val="20"/>
          <w:lang w:val="en-GB" w:eastAsia="zh-CN"/>
        </w:rPr>
        <w:t xml:space="preserve"> it further indicates whether an UL subframe is UL for NR or LTE.</w:t>
      </w:r>
    </w:p>
    <w:p w14:paraId="14FDDF53" w14:textId="5AC8E7CD" w:rsidR="00C42C83" w:rsidRPr="00C42C83" w:rsidRDefault="00C42C83" w:rsidP="00C42C83">
      <w:pPr>
        <w:pStyle w:val="ListParagraph"/>
        <w:numPr>
          <w:ilvl w:val="1"/>
          <w:numId w:val="20"/>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 xml:space="preserve">Note: This </w:t>
      </w:r>
      <w:r w:rsidR="000F5CC4">
        <w:rPr>
          <w:rFonts w:ascii="Arial" w:eastAsia="Times New Roman" w:hAnsi="Arial"/>
          <w:i/>
          <w:sz w:val="20"/>
          <w:szCs w:val="20"/>
          <w:lang w:val="en-GB" w:eastAsia="zh-CN"/>
        </w:rPr>
        <w:t xml:space="preserve">is </w:t>
      </w:r>
      <w:r w:rsidRPr="00C42C83">
        <w:rPr>
          <w:rFonts w:ascii="Arial" w:eastAsia="Times New Roman" w:hAnsi="Arial"/>
          <w:i/>
          <w:sz w:val="20"/>
          <w:szCs w:val="20"/>
          <w:lang w:val="en-GB" w:eastAsia="zh-CN"/>
        </w:rPr>
        <w:t>to support operation wherein the UE is TDM between the LTE and NR carrier</w:t>
      </w:r>
    </w:p>
    <w:p w14:paraId="2C1B6BD4" w14:textId="77777777" w:rsidR="00C01F33" w:rsidRPr="007B78FE" w:rsidRDefault="00C01F33" w:rsidP="00CE0424">
      <w:pPr>
        <w:pStyle w:val="Heading1"/>
        <w:rPr>
          <w:lang w:val="en-US"/>
        </w:rPr>
      </w:pPr>
      <w:r w:rsidRPr="007B78FE">
        <w:rPr>
          <w:lang w:val="en-US"/>
        </w:rPr>
        <w:t>Conclusion</w:t>
      </w:r>
    </w:p>
    <w:p w14:paraId="06B8A9B6" w14:textId="77777777" w:rsidR="005347CA" w:rsidRDefault="008F47B9" w:rsidP="008E065E">
      <w:pPr>
        <w:rPr>
          <w:bCs/>
          <w:lang w:val="en-US"/>
        </w:rPr>
      </w:pPr>
      <w:r>
        <w:rPr>
          <w:bCs/>
          <w:lang w:val="en-US"/>
        </w:rPr>
        <w:t>In this contribution</w:t>
      </w:r>
      <w:r w:rsidR="005347CA">
        <w:rPr>
          <w:bCs/>
          <w:lang w:val="en-US"/>
        </w:rPr>
        <w:t xml:space="preserve"> operation of NR and LTE coex over the agreed three scenarios, based on the discussion we propose the following:</w:t>
      </w:r>
    </w:p>
    <w:p w14:paraId="25B5F4FC" w14:textId="77777777" w:rsidR="005347CA" w:rsidRPr="005347CA" w:rsidRDefault="005347CA" w:rsidP="005347CA">
      <w:pPr>
        <w:pStyle w:val="ListParagraph"/>
        <w:numPr>
          <w:ilvl w:val="0"/>
          <w:numId w:val="22"/>
        </w:numPr>
        <w:rPr>
          <w:rFonts w:ascii="Arial" w:hAnsi="Arial" w:cs="Arial"/>
          <w:i/>
          <w:sz w:val="20"/>
          <w:szCs w:val="20"/>
        </w:rPr>
      </w:pPr>
      <w:r w:rsidRPr="005347CA">
        <w:rPr>
          <w:rFonts w:ascii="Arial" w:hAnsi="Arial" w:cs="Arial"/>
          <w:i/>
          <w:sz w:val="20"/>
          <w:szCs w:val="20"/>
        </w:rPr>
        <w:t>It is sufficient to describe UL sharing for scenario 2 from the network perspective. The impact to 3GPP is a set of specific features that the network can choose to utilize to operate this scenario</w:t>
      </w:r>
    </w:p>
    <w:p w14:paraId="707786F3" w14:textId="77777777" w:rsidR="006D2D12" w:rsidRPr="00C42C83" w:rsidRDefault="006D2D12" w:rsidP="006D2D12">
      <w:pPr>
        <w:pStyle w:val="ListParagraph"/>
        <w:numPr>
          <w:ilvl w:val="0"/>
          <w:numId w:val="22"/>
        </w:numPr>
        <w:rPr>
          <w:rFonts w:ascii="Arial" w:hAnsi="Arial" w:cs="Arial"/>
          <w:i/>
          <w:sz w:val="20"/>
          <w:szCs w:val="20"/>
        </w:rPr>
      </w:pPr>
      <w:r w:rsidRPr="00C42C83">
        <w:rPr>
          <w:rFonts w:ascii="Arial" w:hAnsi="Arial" w:cs="Arial"/>
          <w:i/>
          <w:sz w:val="20"/>
          <w:szCs w:val="20"/>
        </w:rPr>
        <w:t>NR supports to have LTE CRS as pathloss reference</w:t>
      </w:r>
    </w:p>
    <w:p w14:paraId="3481072C" w14:textId="77777777" w:rsidR="006D2D12" w:rsidRPr="00C42C83" w:rsidRDefault="006D2D12" w:rsidP="006D2D12">
      <w:pPr>
        <w:pStyle w:val="ListParagraph"/>
        <w:numPr>
          <w:ilvl w:val="1"/>
          <w:numId w:val="22"/>
        </w:numPr>
        <w:rPr>
          <w:rFonts w:ascii="Arial" w:hAnsi="Arial" w:cs="Arial"/>
          <w:i/>
          <w:sz w:val="20"/>
          <w:szCs w:val="20"/>
        </w:rPr>
      </w:pPr>
      <w:r>
        <w:rPr>
          <w:rFonts w:ascii="Arial" w:hAnsi="Arial" w:cs="Arial"/>
          <w:i/>
          <w:sz w:val="20"/>
          <w:szCs w:val="20"/>
        </w:rPr>
        <w:lastRenderedPageBreak/>
        <w:t>F</w:t>
      </w:r>
      <w:r w:rsidRPr="00C42C83">
        <w:rPr>
          <w:rFonts w:ascii="Arial" w:hAnsi="Arial" w:cs="Arial"/>
          <w:i/>
          <w:sz w:val="20"/>
          <w:szCs w:val="20"/>
        </w:rPr>
        <w:t xml:space="preserve">or a given NR UL carrier at a given frequency </w:t>
      </w:r>
      <w:r>
        <w:rPr>
          <w:rFonts w:ascii="Arial" w:hAnsi="Arial" w:cs="Arial"/>
          <w:i/>
          <w:sz w:val="20"/>
          <w:szCs w:val="20"/>
        </w:rPr>
        <w:t>UE is configured to use</w:t>
      </w:r>
      <w:r w:rsidRPr="00C42C83">
        <w:rPr>
          <w:rFonts w:ascii="Arial" w:hAnsi="Arial" w:cs="Arial"/>
          <w:i/>
          <w:sz w:val="20"/>
          <w:szCs w:val="20"/>
        </w:rPr>
        <w:t xml:space="preserve"> an LTE carrier CRS on a given frequency </w:t>
      </w:r>
      <w:r>
        <w:rPr>
          <w:rFonts w:ascii="Arial" w:hAnsi="Arial" w:cs="Arial"/>
          <w:i/>
          <w:sz w:val="20"/>
          <w:szCs w:val="20"/>
        </w:rPr>
        <w:t>as</w:t>
      </w:r>
      <w:r w:rsidRPr="00C42C83">
        <w:rPr>
          <w:rFonts w:ascii="Arial" w:hAnsi="Arial" w:cs="Arial"/>
          <w:i/>
          <w:sz w:val="20"/>
          <w:szCs w:val="20"/>
        </w:rPr>
        <w:t xml:space="preserve"> pathloss reference</w:t>
      </w:r>
    </w:p>
    <w:p w14:paraId="54FCF63B" w14:textId="77777777" w:rsidR="006D2D12" w:rsidRPr="00C42C83" w:rsidRDefault="006D2D12" w:rsidP="006D2D12">
      <w:pPr>
        <w:pStyle w:val="ListParagraph"/>
        <w:numPr>
          <w:ilvl w:val="2"/>
          <w:numId w:val="22"/>
        </w:numPr>
        <w:rPr>
          <w:rFonts w:ascii="Arial" w:hAnsi="Arial" w:cs="Arial"/>
          <w:i/>
          <w:sz w:val="20"/>
          <w:szCs w:val="20"/>
        </w:rPr>
      </w:pPr>
      <w:r w:rsidRPr="00C42C83">
        <w:rPr>
          <w:rFonts w:ascii="Arial" w:hAnsi="Arial" w:cs="Arial"/>
          <w:i/>
          <w:sz w:val="20"/>
          <w:szCs w:val="20"/>
        </w:rPr>
        <w:t>The UE is configured with the PCI and the transmission power of the LTE carrier</w:t>
      </w:r>
    </w:p>
    <w:p w14:paraId="0B48AD22" w14:textId="077F07B5" w:rsidR="006D2D12" w:rsidRDefault="006D2D12" w:rsidP="005C1564">
      <w:pPr>
        <w:pStyle w:val="ListParagraph"/>
        <w:numPr>
          <w:ilvl w:val="2"/>
          <w:numId w:val="22"/>
        </w:numPr>
        <w:rPr>
          <w:rFonts w:ascii="Arial" w:hAnsi="Arial" w:cs="Arial"/>
          <w:i/>
          <w:sz w:val="20"/>
          <w:szCs w:val="20"/>
        </w:rPr>
      </w:pPr>
      <w:r w:rsidRPr="00C42C83">
        <w:rPr>
          <w:rFonts w:ascii="Arial" w:hAnsi="Arial" w:cs="Arial"/>
          <w:i/>
          <w:sz w:val="20"/>
          <w:szCs w:val="20"/>
        </w:rPr>
        <w:t>If the LTE carrier is TDD</w:t>
      </w:r>
      <w:r>
        <w:rPr>
          <w:rFonts w:ascii="Arial" w:hAnsi="Arial" w:cs="Arial"/>
          <w:i/>
          <w:sz w:val="20"/>
          <w:szCs w:val="20"/>
        </w:rPr>
        <w:t>,</w:t>
      </w:r>
      <w:r w:rsidRPr="00C42C83">
        <w:rPr>
          <w:rFonts w:ascii="Arial" w:hAnsi="Arial" w:cs="Arial"/>
          <w:i/>
          <w:sz w:val="20"/>
          <w:szCs w:val="20"/>
        </w:rPr>
        <w:t xml:space="preserve"> the NR UE is further given the LTE UL/DL configuration to be able to identify the DL subframes</w:t>
      </w:r>
    </w:p>
    <w:p w14:paraId="7DF171AD" w14:textId="15AA15B6" w:rsidR="005347CA" w:rsidRPr="00503553" w:rsidRDefault="006D2D12" w:rsidP="005C1564">
      <w:pPr>
        <w:pStyle w:val="ListParagraph"/>
        <w:numPr>
          <w:ilvl w:val="0"/>
          <w:numId w:val="22"/>
        </w:numPr>
        <w:rPr>
          <w:i/>
        </w:rPr>
      </w:pPr>
      <w:r w:rsidRPr="005C1564">
        <w:rPr>
          <w:rFonts w:ascii="Arial" w:hAnsi="Arial" w:cs="Arial"/>
          <w:i/>
          <w:sz w:val="20"/>
          <w:szCs w:val="20"/>
        </w:rPr>
        <w:t>I</w:t>
      </w:r>
      <w:r w:rsidR="005347CA" w:rsidRPr="005C1564">
        <w:rPr>
          <w:rFonts w:ascii="Arial" w:hAnsi="Arial" w:cs="Arial"/>
          <w:i/>
          <w:sz w:val="20"/>
          <w:szCs w:val="20"/>
        </w:rPr>
        <w:t>ntroduce polled HARQ-acknowledgement for PDSCH.</w:t>
      </w:r>
    </w:p>
    <w:p w14:paraId="5B983A0A" w14:textId="5FE5D5E6" w:rsidR="005347CA" w:rsidRPr="00C42C83" w:rsidRDefault="006B00D3" w:rsidP="005347CA">
      <w:pPr>
        <w:pStyle w:val="ListParagraph"/>
        <w:numPr>
          <w:ilvl w:val="0"/>
          <w:numId w:val="22"/>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For LTE-NR coexistence in adjacent spectrum a subframe bit map pattern is signalled based on the LTE timing that indicate</w:t>
      </w:r>
      <w:r>
        <w:rPr>
          <w:rFonts w:ascii="Arial" w:eastAsia="Times New Roman" w:hAnsi="Arial"/>
          <w:i/>
          <w:sz w:val="20"/>
          <w:szCs w:val="20"/>
          <w:lang w:val="en-GB" w:eastAsia="zh-CN"/>
        </w:rPr>
        <w:t>s</w:t>
      </w:r>
      <w:r w:rsidRPr="00C42C83">
        <w:rPr>
          <w:rFonts w:ascii="Arial" w:eastAsia="Times New Roman" w:hAnsi="Arial"/>
          <w:i/>
          <w:sz w:val="20"/>
          <w:szCs w:val="20"/>
          <w:lang w:val="en-GB" w:eastAsia="zh-CN"/>
        </w:rPr>
        <w:t xml:space="preserve"> whether a subframe is DL for LTE and NR or DL only for LTE or NR</w:t>
      </w:r>
      <w:r>
        <w:rPr>
          <w:rFonts w:ascii="Arial" w:eastAsia="Times New Roman" w:hAnsi="Arial"/>
          <w:i/>
          <w:sz w:val="20"/>
          <w:szCs w:val="20"/>
          <w:lang w:val="en-GB" w:eastAsia="zh-CN"/>
        </w:rPr>
        <w:t>;</w:t>
      </w:r>
      <w:r w:rsidRPr="00C42C83">
        <w:rPr>
          <w:rFonts w:ascii="Arial" w:eastAsia="Times New Roman" w:hAnsi="Arial"/>
          <w:i/>
          <w:sz w:val="20"/>
          <w:szCs w:val="20"/>
          <w:lang w:val="en-GB" w:eastAsia="zh-CN"/>
        </w:rPr>
        <w:t xml:space="preserve"> it further indicates whether </w:t>
      </w:r>
      <w:r>
        <w:rPr>
          <w:rFonts w:ascii="Arial" w:eastAsia="Times New Roman" w:hAnsi="Arial"/>
          <w:i/>
          <w:sz w:val="20"/>
          <w:szCs w:val="20"/>
          <w:lang w:val="en-GB" w:eastAsia="zh-CN"/>
        </w:rPr>
        <w:t>an</w:t>
      </w:r>
      <w:r w:rsidRPr="00C42C83">
        <w:rPr>
          <w:rFonts w:ascii="Arial" w:eastAsia="Times New Roman" w:hAnsi="Arial"/>
          <w:i/>
          <w:sz w:val="20"/>
          <w:szCs w:val="20"/>
          <w:lang w:val="en-GB" w:eastAsia="zh-CN"/>
        </w:rPr>
        <w:t xml:space="preserve"> UL subframe is UL for NR or LTE</w:t>
      </w:r>
      <w:r w:rsidR="005347CA" w:rsidRPr="00C42C83">
        <w:rPr>
          <w:rFonts w:ascii="Arial" w:eastAsia="Times New Roman" w:hAnsi="Arial"/>
          <w:i/>
          <w:sz w:val="20"/>
          <w:szCs w:val="20"/>
          <w:lang w:val="en-GB" w:eastAsia="zh-CN"/>
        </w:rPr>
        <w:t>.</w:t>
      </w:r>
    </w:p>
    <w:p w14:paraId="79F77CC7" w14:textId="7B52D473" w:rsidR="005347CA" w:rsidRPr="00C42C83" w:rsidRDefault="005347CA" w:rsidP="005347CA">
      <w:pPr>
        <w:pStyle w:val="ListParagraph"/>
        <w:numPr>
          <w:ilvl w:val="1"/>
          <w:numId w:val="22"/>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 xml:space="preserve">Note: This </w:t>
      </w:r>
      <w:r w:rsidR="000F5CC4">
        <w:rPr>
          <w:rFonts w:ascii="Arial" w:eastAsia="Times New Roman" w:hAnsi="Arial"/>
          <w:i/>
          <w:sz w:val="20"/>
          <w:szCs w:val="20"/>
          <w:lang w:val="en-GB" w:eastAsia="zh-CN"/>
        </w:rPr>
        <w:t xml:space="preserve">is </w:t>
      </w:r>
      <w:r w:rsidRPr="00C42C83">
        <w:rPr>
          <w:rFonts w:ascii="Arial" w:eastAsia="Times New Roman" w:hAnsi="Arial"/>
          <w:i/>
          <w:sz w:val="20"/>
          <w:szCs w:val="20"/>
          <w:lang w:val="en-GB" w:eastAsia="zh-CN"/>
        </w:rPr>
        <w:t>to support operation wherein the UE is TDM between the LTE and NR carrier</w:t>
      </w:r>
    </w:p>
    <w:p w14:paraId="267AD4C2" w14:textId="77777777" w:rsidR="005347CA" w:rsidRPr="00C42C83" w:rsidRDefault="005347CA" w:rsidP="005347CA">
      <w:pPr>
        <w:pStyle w:val="ListParagraph"/>
        <w:numPr>
          <w:ilvl w:val="1"/>
          <w:numId w:val="22"/>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 xml:space="preserve">Some form of synchronisation is assumed between the LTE and NR carriers, i.e. they do not drift over time significantly. </w:t>
      </w:r>
    </w:p>
    <w:p w14:paraId="7E7CFC31" w14:textId="77777777" w:rsidR="006B00D3" w:rsidRPr="00C42C83" w:rsidRDefault="006B00D3" w:rsidP="006B00D3">
      <w:pPr>
        <w:pStyle w:val="ListParagraph"/>
        <w:numPr>
          <w:ilvl w:val="0"/>
          <w:numId w:val="22"/>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For LTE-NR coexistence in overlapping spectrum a subframe bit map pattern is signalled based on the LTE timing that indicate</w:t>
      </w:r>
      <w:r>
        <w:rPr>
          <w:rFonts w:ascii="Arial" w:eastAsia="Times New Roman" w:hAnsi="Arial"/>
          <w:i/>
          <w:sz w:val="20"/>
          <w:szCs w:val="20"/>
          <w:lang w:val="en-GB" w:eastAsia="zh-CN"/>
        </w:rPr>
        <w:t>s</w:t>
      </w:r>
      <w:r w:rsidRPr="00C42C83">
        <w:rPr>
          <w:rFonts w:ascii="Arial" w:eastAsia="Times New Roman" w:hAnsi="Arial"/>
          <w:i/>
          <w:sz w:val="20"/>
          <w:szCs w:val="20"/>
          <w:lang w:val="en-GB" w:eastAsia="zh-CN"/>
        </w:rPr>
        <w:t xml:space="preserve"> whether a subframe is DL for LTE and NR or DL only for LTE or NR</w:t>
      </w:r>
      <w:r>
        <w:rPr>
          <w:rFonts w:ascii="Arial" w:eastAsia="Times New Roman" w:hAnsi="Arial"/>
          <w:i/>
          <w:sz w:val="20"/>
          <w:szCs w:val="20"/>
          <w:lang w:val="en-GB" w:eastAsia="zh-CN"/>
        </w:rPr>
        <w:t>;</w:t>
      </w:r>
      <w:r w:rsidRPr="00C42C83">
        <w:rPr>
          <w:rFonts w:ascii="Arial" w:eastAsia="Times New Roman" w:hAnsi="Arial"/>
          <w:i/>
          <w:sz w:val="20"/>
          <w:szCs w:val="20"/>
          <w:lang w:val="en-GB" w:eastAsia="zh-CN"/>
        </w:rPr>
        <w:t xml:space="preserve"> it further indicates whether an UL subframe is UL for NR or LTE.</w:t>
      </w:r>
    </w:p>
    <w:p w14:paraId="40184262" w14:textId="1BE3DACA" w:rsidR="006B00D3" w:rsidRDefault="006B00D3" w:rsidP="005C1564">
      <w:pPr>
        <w:pStyle w:val="ListParagraph"/>
        <w:numPr>
          <w:ilvl w:val="1"/>
          <w:numId w:val="22"/>
        </w:numPr>
        <w:rPr>
          <w:rFonts w:ascii="Arial" w:eastAsia="Times New Roman" w:hAnsi="Arial"/>
          <w:i/>
          <w:sz w:val="20"/>
          <w:szCs w:val="20"/>
          <w:lang w:val="en-GB" w:eastAsia="zh-CN"/>
        </w:rPr>
      </w:pPr>
      <w:r w:rsidRPr="00C42C83">
        <w:rPr>
          <w:rFonts w:ascii="Arial" w:eastAsia="Times New Roman" w:hAnsi="Arial"/>
          <w:i/>
          <w:sz w:val="20"/>
          <w:szCs w:val="20"/>
          <w:lang w:val="en-GB" w:eastAsia="zh-CN"/>
        </w:rPr>
        <w:t xml:space="preserve">Note: This </w:t>
      </w:r>
      <w:r>
        <w:rPr>
          <w:rFonts w:ascii="Arial" w:eastAsia="Times New Roman" w:hAnsi="Arial"/>
          <w:i/>
          <w:sz w:val="20"/>
          <w:szCs w:val="20"/>
          <w:lang w:val="en-GB" w:eastAsia="zh-CN"/>
        </w:rPr>
        <w:t xml:space="preserve">is </w:t>
      </w:r>
      <w:r w:rsidRPr="00C42C83">
        <w:rPr>
          <w:rFonts w:ascii="Arial" w:eastAsia="Times New Roman" w:hAnsi="Arial"/>
          <w:i/>
          <w:sz w:val="20"/>
          <w:szCs w:val="20"/>
          <w:lang w:val="en-GB" w:eastAsia="zh-CN"/>
        </w:rPr>
        <w:t>to support operation wherein the UE is TDM between the LTE and NR carrier</w:t>
      </w:r>
    </w:p>
    <w:p w14:paraId="57B73A36" w14:textId="77777777" w:rsidR="00F507D1" w:rsidRPr="007B78FE" w:rsidRDefault="00F507D1" w:rsidP="00CE0424">
      <w:pPr>
        <w:pStyle w:val="Heading1"/>
        <w:rPr>
          <w:lang w:val="en-US"/>
        </w:rPr>
      </w:pPr>
      <w:bookmarkStart w:id="11" w:name="_In-sequence_SDU_delivery"/>
      <w:bookmarkEnd w:id="11"/>
      <w:r w:rsidRPr="007B78FE">
        <w:rPr>
          <w:lang w:val="en-US"/>
        </w:rPr>
        <w:t>References</w:t>
      </w:r>
    </w:p>
    <w:p w14:paraId="3618435D" w14:textId="039111CA" w:rsidR="00221CBF" w:rsidRDefault="00221CBF" w:rsidP="00221CBF">
      <w:pPr>
        <w:pStyle w:val="Reference"/>
        <w:rPr>
          <w:lang w:val="en-US"/>
        </w:rPr>
      </w:pPr>
      <w:bookmarkStart w:id="12" w:name="_Ref473934775"/>
      <w:bookmarkStart w:id="13" w:name="_Ref481744756"/>
      <w:bookmarkStart w:id="14" w:name="_Ref174151459"/>
      <w:bookmarkStart w:id="15" w:name="_Ref189809556"/>
      <w:r w:rsidRPr="007B78FE">
        <w:rPr>
          <w:lang w:val="en-US"/>
        </w:rPr>
        <w:t>Chairman’s Notes, 3GPP TSG RAN WG1 Meeting#8</w:t>
      </w:r>
      <w:bookmarkEnd w:id="12"/>
      <w:bookmarkEnd w:id="13"/>
      <w:r w:rsidR="00ED2A30">
        <w:rPr>
          <w:lang w:val="en-US"/>
        </w:rPr>
        <w:t>9</w:t>
      </w:r>
      <w:r w:rsidRPr="007B78FE">
        <w:rPr>
          <w:lang w:val="en-US"/>
        </w:rPr>
        <w:t xml:space="preserve"> </w:t>
      </w:r>
      <w:bookmarkEnd w:id="14"/>
      <w:bookmarkEnd w:id="15"/>
    </w:p>
    <w:sectPr w:rsidR="00221CB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2E6CE" w14:textId="77777777" w:rsidR="00272E49" w:rsidRDefault="00272E49">
      <w:r>
        <w:separator/>
      </w:r>
    </w:p>
  </w:endnote>
  <w:endnote w:type="continuationSeparator" w:id="0">
    <w:p w14:paraId="7C4B13E4" w14:textId="77777777" w:rsidR="00272E49" w:rsidRDefault="0027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48C44" w14:textId="77777777" w:rsidR="009A0F8C" w:rsidRDefault="009A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834E366" w:rsidR="00920BF2" w:rsidRPr="009A0F8C" w:rsidRDefault="00920BF2" w:rsidP="009A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33E70" w14:textId="77777777" w:rsidR="009A0F8C" w:rsidRDefault="009A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A923C" w14:textId="77777777" w:rsidR="00272E49" w:rsidRDefault="00272E49">
      <w:r>
        <w:separator/>
      </w:r>
    </w:p>
  </w:footnote>
  <w:footnote w:type="continuationSeparator" w:id="0">
    <w:p w14:paraId="6FC034E7" w14:textId="77777777" w:rsidR="00272E49" w:rsidRDefault="00272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0004B758" w:rsidR="00920BF2" w:rsidRPr="009A0F8C" w:rsidRDefault="00920BF2" w:rsidP="009A0F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3A497" w14:textId="77777777" w:rsidR="009A0F8C" w:rsidRDefault="009A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6D7EB" w14:textId="77777777" w:rsidR="009A0F8C" w:rsidRDefault="009A0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B84499"/>
    <w:multiLevelType w:val="hybridMultilevel"/>
    <w:tmpl w:val="AA5034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8550DD"/>
    <w:multiLevelType w:val="hybridMultilevel"/>
    <w:tmpl w:val="EC506EB2"/>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86647C"/>
    <w:multiLevelType w:val="hybridMultilevel"/>
    <w:tmpl w:val="78D26D9E"/>
    <w:lvl w:ilvl="0" w:tplc="C212B520">
      <w:start w:val="1"/>
      <w:numFmt w:val="bullet"/>
      <w:lvlText w:val="•"/>
      <w:lvlJc w:val="left"/>
      <w:pPr>
        <w:tabs>
          <w:tab w:val="num" w:pos="720"/>
        </w:tabs>
        <w:ind w:left="720" w:hanging="360"/>
      </w:pPr>
      <w:rPr>
        <w:rFonts w:ascii="Arial" w:hAnsi="Arial" w:hint="default"/>
      </w:rPr>
    </w:lvl>
    <w:lvl w:ilvl="1" w:tplc="40D80B98" w:tentative="1">
      <w:start w:val="1"/>
      <w:numFmt w:val="bullet"/>
      <w:lvlText w:val="•"/>
      <w:lvlJc w:val="left"/>
      <w:pPr>
        <w:tabs>
          <w:tab w:val="num" w:pos="1440"/>
        </w:tabs>
        <w:ind w:left="1440" w:hanging="360"/>
      </w:pPr>
      <w:rPr>
        <w:rFonts w:ascii="Arial" w:hAnsi="Arial" w:hint="default"/>
      </w:rPr>
    </w:lvl>
    <w:lvl w:ilvl="2" w:tplc="10168A56">
      <w:numFmt w:val="bullet"/>
      <w:lvlText w:val="•"/>
      <w:lvlJc w:val="left"/>
      <w:pPr>
        <w:tabs>
          <w:tab w:val="num" w:pos="2160"/>
        </w:tabs>
        <w:ind w:left="2160" w:hanging="360"/>
      </w:pPr>
      <w:rPr>
        <w:rFonts w:ascii="Arial" w:hAnsi="Arial" w:hint="default"/>
      </w:rPr>
    </w:lvl>
    <w:lvl w:ilvl="3" w:tplc="84900D14" w:tentative="1">
      <w:start w:val="1"/>
      <w:numFmt w:val="bullet"/>
      <w:lvlText w:val="•"/>
      <w:lvlJc w:val="left"/>
      <w:pPr>
        <w:tabs>
          <w:tab w:val="num" w:pos="2880"/>
        </w:tabs>
        <w:ind w:left="2880" w:hanging="360"/>
      </w:pPr>
      <w:rPr>
        <w:rFonts w:ascii="Arial" w:hAnsi="Arial" w:hint="default"/>
      </w:rPr>
    </w:lvl>
    <w:lvl w:ilvl="4" w:tplc="367CC4B6" w:tentative="1">
      <w:start w:val="1"/>
      <w:numFmt w:val="bullet"/>
      <w:lvlText w:val="•"/>
      <w:lvlJc w:val="left"/>
      <w:pPr>
        <w:tabs>
          <w:tab w:val="num" w:pos="3600"/>
        </w:tabs>
        <w:ind w:left="3600" w:hanging="360"/>
      </w:pPr>
      <w:rPr>
        <w:rFonts w:ascii="Arial" w:hAnsi="Arial" w:hint="default"/>
      </w:rPr>
    </w:lvl>
    <w:lvl w:ilvl="5" w:tplc="37A409D4" w:tentative="1">
      <w:start w:val="1"/>
      <w:numFmt w:val="bullet"/>
      <w:lvlText w:val="•"/>
      <w:lvlJc w:val="left"/>
      <w:pPr>
        <w:tabs>
          <w:tab w:val="num" w:pos="4320"/>
        </w:tabs>
        <w:ind w:left="4320" w:hanging="360"/>
      </w:pPr>
      <w:rPr>
        <w:rFonts w:ascii="Arial" w:hAnsi="Arial" w:hint="default"/>
      </w:rPr>
    </w:lvl>
    <w:lvl w:ilvl="6" w:tplc="558EB2C4" w:tentative="1">
      <w:start w:val="1"/>
      <w:numFmt w:val="bullet"/>
      <w:lvlText w:val="•"/>
      <w:lvlJc w:val="left"/>
      <w:pPr>
        <w:tabs>
          <w:tab w:val="num" w:pos="5040"/>
        </w:tabs>
        <w:ind w:left="5040" w:hanging="360"/>
      </w:pPr>
      <w:rPr>
        <w:rFonts w:ascii="Arial" w:hAnsi="Arial" w:hint="default"/>
      </w:rPr>
    </w:lvl>
    <w:lvl w:ilvl="7" w:tplc="895ADA68" w:tentative="1">
      <w:start w:val="1"/>
      <w:numFmt w:val="bullet"/>
      <w:lvlText w:val="•"/>
      <w:lvlJc w:val="left"/>
      <w:pPr>
        <w:tabs>
          <w:tab w:val="num" w:pos="5760"/>
        </w:tabs>
        <w:ind w:left="5760" w:hanging="360"/>
      </w:pPr>
      <w:rPr>
        <w:rFonts w:ascii="Arial" w:hAnsi="Arial" w:hint="default"/>
      </w:rPr>
    </w:lvl>
    <w:lvl w:ilvl="8" w:tplc="73B678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8D5098"/>
    <w:multiLevelType w:val="hybridMultilevel"/>
    <w:tmpl w:val="46CEA7C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91D9A"/>
    <w:multiLevelType w:val="hybridMultilevel"/>
    <w:tmpl w:val="F65CD0A0"/>
    <w:lvl w:ilvl="0" w:tplc="7B4A4510">
      <w:numFmt w:val="bullet"/>
      <w:lvlText w:val="-"/>
      <w:lvlJc w:val="left"/>
      <w:pPr>
        <w:ind w:left="1800" w:hanging="360"/>
      </w:pPr>
      <w:rPr>
        <w:rFonts w:ascii="Arial" w:eastAsia="MS Mincho" w:hAnsi="Arial" w:cs="Aria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F608CC"/>
    <w:multiLevelType w:val="hybridMultilevel"/>
    <w:tmpl w:val="71541BB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49F36EA"/>
    <w:multiLevelType w:val="hybridMultilevel"/>
    <w:tmpl w:val="7B1436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16"/>
  </w:num>
  <w:num w:numId="10">
    <w:abstractNumId w:val="21"/>
  </w:num>
  <w:num w:numId="11">
    <w:abstractNumId w:val="18"/>
  </w:num>
  <w:num w:numId="12">
    <w:abstractNumId w:val="3"/>
  </w:num>
  <w:num w:numId="13">
    <w:abstractNumId w:val="11"/>
  </w:num>
  <w:num w:numId="14">
    <w:abstractNumId w:val="1"/>
  </w:num>
  <w:num w:numId="15">
    <w:abstractNumId w:val="7"/>
  </w:num>
  <w:num w:numId="16">
    <w:abstractNumId w:val="4"/>
  </w:num>
  <w:num w:numId="17">
    <w:abstractNumId w:val="19"/>
  </w:num>
  <w:num w:numId="18">
    <w:abstractNumId w:val="5"/>
  </w:num>
  <w:num w:numId="19">
    <w:abstractNumId w:val="8"/>
  </w:num>
  <w:num w:numId="20">
    <w:abstractNumId w:val="20"/>
  </w:num>
  <w:num w:numId="21">
    <w:abstractNumId w:val="6"/>
  </w:num>
  <w:num w:numId="2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3ED0"/>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B726C"/>
    <w:rsid w:val="000C165A"/>
    <w:rsid w:val="000C27FD"/>
    <w:rsid w:val="000C2E19"/>
    <w:rsid w:val="000C41A4"/>
    <w:rsid w:val="000D0D07"/>
    <w:rsid w:val="000D4797"/>
    <w:rsid w:val="000E0527"/>
    <w:rsid w:val="000E1E92"/>
    <w:rsid w:val="000E235F"/>
    <w:rsid w:val="000E474B"/>
    <w:rsid w:val="000E4FF4"/>
    <w:rsid w:val="000F06D6"/>
    <w:rsid w:val="000F0EB1"/>
    <w:rsid w:val="000F0F1F"/>
    <w:rsid w:val="000F1106"/>
    <w:rsid w:val="000F3BE9"/>
    <w:rsid w:val="000F3F6C"/>
    <w:rsid w:val="000F5CC4"/>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0366"/>
    <w:rsid w:val="0018143F"/>
    <w:rsid w:val="00186D76"/>
    <w:rsid w:val="00190AC1"/>
    <w:rsid w:val="00191947"/>
    <w:rsid w:val="0019341A"/>
    <w:rsid w:val="00197DF9"/>
    <w:rsid w:val="001A1987"/>
    <w:rsid w:val="001A2564"/>
    <w:rsid w:val="001A6173"/>
    <w:rsid w:val="001A6CBA"/>
    <w:rsid w:val="001B0D97"/>
    <w:rsid w:val="001B4B1C"/>
    <w:rsid w:val="001B5A5D"/>
    <w:rsid w:val="001C1CE5"/>
    <w:rsid w:val="001C3D2A"/>
    <w:rsid w:val="001D019B"/>
    <w:rsid w:val="001D0B06"/>
    <w:rsid w:val="001D255C"/>
    <w:rsid w:val="001D51BA"/>
    <w:rsid w:val="001D6342"/>
    <w:rsid w:val="001D6D53"/>
    <w:rsid w:val="001E58E2"/>
    <w:rsid w:val="001E7AED"/>
    <w:rsid w:val="001F3916"/>
    <w:rsid w:val="001F54C5"/>
    <w:rsid w:val="001F62D5"/>
    <w:rsid w:val="001F662C"/>
    <w:rsid w:val="001F6CB2"/>
    <w:rsid w:val="001F7074"/>
    <w:rsid w:val="00200490"/>
    <w:rsid w:val="00200A2C"/>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4B81"/>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2E49"/>
    <w:rsid w:val="00273278"/>
    <w:rsid w:val="002737F4"/>
    <w:rsid w:val="002805F5"/>
    <w:rsid w:val="00280751"/>
    <w:rsid w:val="002821C2"/>
    <w:rsid w:val="0028280A"/>
    <w:rsid w:val="00286ACD"/>
    <w:rsid w:val="00287838"/>
    <w:rsid w:val="002907B5"/>
    <w:rsid w:val="00292EB7"/>
    <w:rsid w:val="00296227"/>
    <w:rsid w:val="002966E4"/>
    <w:rsid w:val="00296F44"/>
    <w:rsid w:val="002972F4"/>
    <w:rsid w:val="0029777D"/>
    <w:rsid w:val="002A055E"/>
    <w:rsid w:val="002A1D4E"/>
    <w:rsid w:val="002A2869"/>
    <w:rsid w:val="002A7427"/>
    <w:rsid w:val="002B08E0"/>
    <w:rsid w:val="002B1BD7"/>
    <w:rsid w:val="002B24D6"/>
    <w:rsid w:val="002B335C"/>
    <w:rsid w:val="002B647F"/>
    <w:rsid w:val="002C025A"/>
    <w:rsid w:val="002C41E6"/>
    <w:rsid w:val="002C47EE"/>
    <w:rsid w:val="002C5BA4"/>
    <w:rsid w:val="002D071A"/>
    <w:rsid w:val="002D34B2"/>
    <w:rsid w:val="002D7637"/>
    <w:rsid w:val="002E17F2"/>
    <w:rsid w:val="002E2B4A"/>
    <w:rsid w:val="002E7CAE"/>
    <w:rsid w:val="002F130A"/>
    <w:rsid w:val="002F2771"/>
    <w:rsid w:val="002F37A9"/>
    <w:rsid w:val="002F703D"/>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1C51"/>
    <w:rsid w:val="003726B6"/>
    <w:rsid w:val="003742AC"/>
    <w:rsid w:val="00377CE1"/>
    <w:rsid w:val="00382566"/>
    <w:rsid w:val="00385BF0"/>
    <w:rsid w:val="003939FF"/>
    <w:rsid w:val="003A2223"/>
    <w:rsid w:val="003A2A0F"/>
    <w:rsid w:val="003A45A1"/>
    <w:rsid w:val="003A5B0A"/>
    <w:rsid w:val="003A6BAC"/>
    <w:rsid w:val="003A7EF3"/>
    <w:rsid w:val="003B159C"/>
    <w:rsid w:val="003B369F"/>
    <w:rsid w:val="003B36A3"/>
    <w:rsid w:val="003B4118"/>
    <w:rsid w:val="003B48A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75A"/>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2E76"/>
    <w:rsid w:val="004734D0"/>
    <w:rsid w:val="0047556B"/>
    <w:rsid w:val="00477768"/>
    <w:rsid w:val="00477861"/>
    <w:rsid w:val="00492BC5"/>
    <w:rsid w:val="004964F1"/>
    <w:rsid w:val="004A0391"/>
    <w:rsid w:val="004A16BC"/>
    <w:rsid w:val="004A2B94"/>
    <w:rsid w:val="004B520E"/>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3553"/>
    <w:rsid w:val="00506557"/>
    <w:rsid w:val="0050677A"/>
    <w:rsid w:val="00507BC0"/>
    <w:rsid w:val="005108D8"/>
    <w:rsid w:val="005116F9"/>
    <w:rsid w:val="005153A7"/>
    <w:rsid w:val="005154B1"/>
    <w:rsid w:val="005219CF"/>
    <w:rsid w:val="005347CA"/>
    <w:rsid w:val="00534B59"/>
    <w:rsid w:val="00536759"/>
    <w:rsid w:val="00537C62"/>
    <w:rsid w:val="00542B49"/>
    <w:rsid w:val="00546970"/>
    <w:rsid w:val="00547DF0"/>
    <w:rsid w:val="00547F4D"/>
    <w:rsid w:val="00550011"/>
    <w:rsid w:val="00550419"/>
    <w:rsid w:val="00551D4F"/>
    <w:rsid w:val="00554E19"/>
    <w:rsid w:val="00555193"/>
    <w:rsid w:val="0056121F"/>
    <w:rsid w:val="00572505"/>
    <w:rsid w:val="00582809"/>
    <w:rsid w:val="0058335A"/>
    <w:rsid w:val="00583385"/>
    <w:rsid w:val="0058798C"/>
    <w:rsid w:val="005900FA"/>
    <w:rsid w:val="005935A4"/>
    <w:rsid w:val="005948C2"/>
    <w:rsid w:val="00595DCA"/>
    <w:rsid w:val="0059779B"/>
    <w:rsid w:val="005A195D"/>
    <w:rsid w:val="005A209A"/>
    <w:rsid w:val="005A6262"/>
    <w:rsid w:val="005A662D"/>
    <w:rsid w:val="005A7282"/>
    <w:rsid w:val="005B35D7"/>
    <w:rsid w:val="005B392A"/>
    <w:rsid w:val="005B3AA3"/>
    <w:rsid w:val="005B6F83"/>
    <w:rsid w:val="005C1564"/>
    <w:rsid w:val="005C3D26"/>
    <w:rsid w:val="005C74FB"/>
    <w:rsid w:val="005D1602"/>
    <w:rsid w:val="005D17EA"/>
    <w:rsid w:val="005D1DE7"/>
    <w:rsid w:val="005D6A04"/>
    <w:rsid w:val="005E17A9"/>
    <w:rsid w:val="005E385F"/>
    <w:rsid w:val="005E3C36"/>
    <w:rsid w:val="005E5B81"/>
    <w:rsid w:val="005F2CB1"/>
    <w:rsid w:val="005F3025"/>
    <w:rsid w:val="005F618C"/>
    <w:rsid w:val="005F70BD"/>
    <w:rsid w:val="0060283C"/>
    <w:rsid w:val="0060397D"/>
    <w:rsid w:val="00604F14"/>
    <w:rsid w:val="00611B83"/>
    <w:rsid w:val="00613257"/>
    <w:rsid w:val="00616D26"/>
    <w:rsid w:val="00620A71"/>
    <w:rsid w:val="00620D80"/>
    <w:rsid w:val="006212A9"/>
    <w:rsid w:val="006234A6"/>
    <w:rsid w:val="00626DD2"/>
    <w:rsid w:val="00627D28"/>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47AEF"/>
    <w:rsid w:val="00650AB9"/>
    <w:rsid w:val="00652D28"/>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A55"/>
    <w:rsid w:val="00695FC2"/>
    <w:rsid w:val="00696949"/>
    <w:rsid w:val="00697052"/>
    <w:rsid w:val="006A46FB"/>
    <w:rsid w:val="006A5E28"/>
    <w:rsid w:val="006A6626"/>
    <w:rsid w:val="006A697B"/>
    <w:rsid w:val="006A7AFF"/>
    <w:rsid w:val="006B00D3"/>
    <w:rsid w:val="006B1816"/>
    <w:rsid w:val="006B2099"/>
    <w:rsid w:val="006B50CF"/>
    <w:rsid w:val="006B5B0F"/>
    <w:rsid w:val="006C03B8"/>
    <w:rsid w:val="006C5EC9"/>
    <w:rsid w:val="006C6059"/>
    <w:rsid w:val="006C716E"/>
    <w:rsid w:val="006C7522"/>
    <w:rsid w:val="006D2D1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A0E"/>
    <w:rsid w:val="00715B9A"/>
    <w:rsid w:val="00715EDD"/>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68AA"/>
    <w:rsid w:val="007571E1"/>
    <w:rsid w:val="007604B2"/>
    <w:rsid w:val="00765281"/>
    <w:rsid w:val="00766BAD"/>
    <w:rsid w:val="00771E68"/>
    <w:rsid w:val="007730BD"/>
    <w:rsid w:val="00774A4C"/>
    <w:rsid w:val="007755F2"/>
    <w:rsid w:val="00776971"/>
    <w:rsid w:val="0078177E"/>
    <w:rsid w:val="0078304C"/>
    <w:rsid w:val="00783673"/>
    <w:rsid w:val="00785490"/>
    <w:rsid w:val="00785FBC"/>
    <w:rsid w:val="007925EA"/>
    <w:rsid w:val="00793CD8"/>
    <w:rsid w:val="00794946"/>
    <w:rsid w:val="00795C92"/>
    <w:rsid w:val="00796231"/>
    <w:rsid w:val="00797B44"/>
    <w:rsid w:val="00797EA3"/>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3A69"/>
    <w:rsid w:val="007D4D53"/>
    <w:rsid w:val="007D5901"/>
    <w:rsid w:val="007D7526"/>
    <w:rsid w:val="007E26DB"/>
    <w:rsid w:val="007E4610"/>
    <w:rsid w:val="007E4715"/>
    <w:rsid w:val="007E505B"/>
    <w:rsid w:val="007E7091"/>
    <w:rsid w:val="007F3B7A"/>
    <w:rsid w:val="0080098C"/>
    <w:rsid w:val="00803FAE"/>
    <w:rsid w:val="0080605F"/>
    <w:rsid w:val="00806114"/>
    <w:rsid w:val="00807786"/>
    <w:rsid w:val="00811FCB"/>
    <w:rsid w:val="008158D6"/>
    <w:rsid w:val="00817196"/>
    <w:rsid w:val="008235DB"/>
    <w:rsid w:val="00824AB4"/>
    <w:rsid w:val="00825C42"/>
    <w:rsid w:val="00825D25"/>
    <w:rsid w:val="00827D17"/>
    <w:rsid w:val="00827D6F"/>
    <w:rsid w:val="00832408"/>
    <w:rsid w:val="008376AC"/>
    <w:rsid w:val="008435CE"/>
    <w:rsid w:val="008444E8"/>
    <w:rsid w:val="00844E80"/>
    <w:rsid w:val="00846505"/>
    <w:rsid w:val="00846FE7"/>
    <w:rsid w:val="00851405"/>
    <w:rsid w:val="0085228C"/>
    <w:rsid w:val="008565AD"/>
    <w:rsid w:val="00856911"/>
    <w:rsid w:val="008677FD"/>
    <w:rsid w:val="008706D4"/>
    <w:rsid w:val="0087078B"/>
    <w:rsid w:val="00870F8A"/>
    <w:rsid w:val="008719A4"/>
    <w:rsid w:val="00871D23"/>
    <w:rsid w:val="008739DF"/>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4764"/>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D6E6A"/>
    <w:rsid w:val="008E065E"/>
    <w:rsid w:val="008E0927"/>
    <w:rsid w:val="008E1909"/>
    <w:rsid w:val="008E7BDE"/>
    <w:rsid w:val="008F1EAB"/>
    <w:rsid w:val="008F33DC"/>
    <w:rsid w:val="008F477F"/>
    <w:rsid w:val="008F47B9"/>
    <w:rsid w:val="008F680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8C"/>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2284"/>
    <w:rsid w:val="009F344F"/>
    <w:rsid w:val="009F5F57"/>
    <w:rsid w:val="00A0387B"/>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3970"/>
    <w:rsid w:val="00A86BE9"/>
    <w:rsid w:val="00A92879"/>
    <w:rsid w:val="00A9442A"/>
    <w:rsid w:val="00A97A83"/>
    <w:rsid w:val="00AA016F"/>
    <w:rsid w:val="00AA1ED6"/>
    <w:rsid w:val="00AA51D6"/>
    <w:rsid w:val="00AB0BC8"/>
    <w:rsid w:val="00AB11CA"/>
    <w:rsid w:val="00AB14D9"/>
    <w:rsid w:val="00AB2203"/>
    <w:rsid w:val="00AB4AB8"/>
    <w:rsid w:val="00AB655E"/>
    <w:rsid w:val="00AC007F"/>
    <w:rsid w:val="00AC2ECD"/>
    <w:rsid w:val="00AC2FD9"/>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34C"/>
    <w:rsid w:val="00B7198C"/>
    <w:rsid w:val="00B739F6"/>
    <w:rsid w:val="00B751D1"/>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69D0"/>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3D22"/>
    <w:rsid w:val="00C279B5"/>
    <w:rsid w:val="00C27C45"/>
    <w:rsid w:val="00C3719D"/>
    <w:rsid w:val="00C42C83"/>
    <w:rsid w:val="00C52957"/>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63AE"/>
    <w:rsid w:val="00C9749F"/>
    <w:rsid w:val="00CA1ED8"/>
    <w:rsid w:val="00CB1EDE"/>
    <w:rsid w:val="00CB1F63"/>
    <w:rsid w:val="00CB4E0B"/>
    <w:rsid w:val="00CB7170"/>
    <w:rsid w:val="00CB7D95"/>
    <w:rsid w:val="00CC040E"/>
    <w:rsid w:val="00CC111F"/>
    <w:rsid w:val="00CC2011"/>
    <w:rsid w:val="00CC3EA0"/>
    <w:rsid w:val="00CC7B45"/>
    <w:rsid w:val="00CD1188"/>
    <w:rsid w:val="00CD2ED1"/>
    <w:rsid w:val="00CD337B"/>
    <w:rsid w:val="00CE0424"/>
    <w:rsid w:val="00CE1BFD"/>
    <w:rsid w:val="00CE36E3"/>
    <w:rsid w:val="00CE5F8B"/>
    <w:rsid w:val="00CE7561"/>
    <w:rsid w:val="00CF0F75"/>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0AB7"/>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06D2"/>
    <w:rsid w:val="00D61AF5"/>
    <w:rsid w:val="00D652B5"/>
    <w:rsid w:val="00D66155"/>
    <w:rsid w:val="00D708B0"/>
    <w:rsid w:val="00D74894"/>
    <w:rsid w:val="00D77B1D"/>
    <w:rsid w:val="00D77E33"/>
    <w:rsid w:val="00D8021F"/>
    <w:rsid w:val="00D80383"/>
    <w:rsid w:val="00D80D28"/>
    <w:rsid w:val="00D823C6"/>
    <w:rsid w:val="00D85EA9"/>
    <w:rsid w:val="00D86CA3"/>
    <w:rsid w:val="00D871CE"/>
    <w:rsid w:val="00D9196D"/>
    <w:rsid w:val="00D92982"/>
    <w:rsid w:val="00D94796"/>
    <w:rsid w:val="00D9772C"/>
    <w:rsid w:val="00DA2C7B"/>
    <w:rsid w:val="00DA305E"/>
    <w:rsid w:val="00DA5417"/>
    <w:rsid w:val="00DA56E8"/>
    <w:rsid w:val="00DB0A9F"/>
    <w:rsid w:val="00DB377D"/>
    <w:rsid w:val="00DC032C"/>
    <w:rsid w:val="00DC2D36"/>
    <w:rsid w:val="00DC53EF"/>
    <w:rsid w:val="00DE1D90"/>
    <w:rsid w:val="00DE402A"/>
    <w:rsid w:val="00DE5608"/>
    <w:rsid w:val="00DE58D0"/>
    <w:rsid w:val="00DE5AE1"/>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294E"/>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0B1C"/>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1D9C"/>
    <w:rsid w:val="00F2376F"/>
    <w:rsid w:val="00F243D8"/>
    <w:rsid w:val="00F30828"/>
    <w:rsid w:val="00F313D6"/>
    <w:rsid w:val="00F40F0C"/>
    <w:rsid w:val="00F41B4E"/>
    <w:rsid w:val="00F46EF2"/>
    <w:rsid w:val="00F4766C"/>
    <w:rsid w:val="00F507D1"/>
    <w:rsid w:val="00F519CE"/>
    <w:rsid w:val="00F51ADA"/>
    <w:rsid w:val="00F607C5"/>
    <w:rsid w:val="00F60DEA"/>
    <w:rsid w:val="00F61E84"/>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641E"/>
    <w:rsid w:val="00FB4C80"/>
    <w:rsid w:val="00FB6A6A"/>
    <w:rsid w:val="00FB7575"/>
    <w:rsid w:val="00FC0B15"/>
    <w:rsid w:val="00FC1C60"/>
    <w:rsid w:val="00FC5EFD"/>
    <w:rsid w:val="00FC7429"/>
    <w:rsid w:val="00FD0395"/>
    <w:rsid w:val="00FD07F6"/>
    <w:rsid w:val="00FD1EC8"/>
    <w:rsid w:val="00FD47C7"/>
    <w:rsid w:val="00FD47ED"/>
    <w:rsid w:val="00FD707F"/>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66E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06828">
      <w:bodyDiv w:val="1"/>
      <w:marLeft w:val="0"/>
      <w:marRight w:val="0"/>
      <w:marTop w:val="0"/>
      <w:marBottom w:val="0"/>
      <w:divBdr>
        <w:top w:val="none" w:sz="0" w:space="0" w:color="auto"/>
        <w:left w:val="none" w:sz="0" w:space="0" w:color="auto"/>
        <w:bottom w:val="none" w:sz="0" w:space="0" w:color="auto"/>
        <w:right w:val="none" w:sz="0" w:space="0" w:color="auto"/>
      </w:divBdr>
      <w:divsChild>
        <w:div w:id="1142768526">
          <w:marLeft w:val="1440"/>
          <w:marRight w:val="0"/>
          <w:marTop w:val="0"/>
          <w:marBottom w:val="0"/>
          <w:divBdr>
            <w:top w:val="none" w:sz="0" w:space="0" w:color="auto"/>
            <w:left w:val="none" w:sz="0" w:space="0" w:color="auto"/>
            <w:bottom w:val="none" w:sz="0" w:space="0" w:color="auto"/>
            <w:right w:val="none" w:sz="0" w:space="0" w:color="auto"/>
          </w:divBdr>
        </w:div>
        <w:div w:id="1836653595">
          <w:marLeft w:val="1440"/>
          <w:marRight w:val="0"/>
          <w:marTop w:val="0"/>
          <w:marBottom w:val="0"/>
          <w:divBdr>
            <w:top w:val="none" w:sz="0" w:space="0" w:color="auto"/>
            <w:left w:val="none" w:sz="0" w:space="0" w:color="auto"/>
            <w:bottom w:val="none" w:sz="0" w:space="0" w:color="auto"/>
            <w:right w:val="none" w:sz="0" w:space="0" w:color="auto"/>
          </w:divBdr>
        </w:div>
        <w:div w:id="583875824">
          <w:marLeft w:val="1440"/>
          <w:marRight w:val="0"/>
          <w:marTop w:val="0"/>
          <w:marBottom w:val="0"/>
          <w:divBdr>
            <w:top w:val="none" w:sz="0" w:space="0" w:color="auto"/>
            <w:left w:val="none" w:sz="0" w:space="0" w:color="auto"/>
            <w:bottom w:val="none" w:sz="0" w:space="0" w:color="auto"/>
            <w:right w:val="none" w:sz="0" w:space="0" w:color="auto"/>
          </w:divBdr>
        </w:div>
        <w:div w:id="102381108">
          <w:marLeft w:val="1440"/>
          <w:marRight w:val="0"/>
          <w:marTop w:val="0"/>
          <w:marBottom w:val="0"/>
          <w:divBdr>
            <w:top w:val="none" w:sz="0" w:space="0" w:color="auto"/>
            <w:left w:val="none" w:sz="0" w:space="0" w:color="auto"/>
            <w:bottom w:val="none" w:sz="0" w:space="0" w:color="auto"/>
            <w:right w:val="none" w:sz="0" w:space="0" w:color="auto"/>
          </w:divBdr>
        </w:div>
        <w:div w:id="33848754">
          <w:marLeft w:val="1440"/>
          <w:marRight w:val="0"/>
          <w:marTop w:val="0"/>
          <w:marBottom w:val="0"/>
          <w:divBdr>
            <w:top w:val="none" w:sz="0" w:space="0" w:color="auto"/>
            <w:left w:val="none" w:sz="0" w:space="0" w:color="auto"/>
            <w:bottom w:val="none" w:sz="0" w:space="0" w:color="auto"/>
            <w:right w:val="none" w:sz="0" w:space="0" w:color="auto"/>
          </w:divBdr>
        </w:div>
        <w:div w:id="453058478">
          <w:marLeft w:val="1440"/>
          <w:marRight w:val="0"/>
          <w:marTop w:val="0"/>
          <w:marBottom w:val="0"/>
          <w:divBdr>
            <w:top w:val="none" w:sz="0" w:space="0" w:color="auto"/>
            <w:left w:val="none" w:sz="0" w:space="0" w:color="auto"/>
            <w:bottom w:val="none" w:sz="0" w:space="0" w:color="auto"/>
            <w:right w:val="none" w:sz="0" w:space="0" w:color="auto"/>
          </w:divBdr>
        </w:div>
        <w:div w:id="2125421634">
          <w:marLeft w:val="1440"/>
          <w:marRight w:val="0"/>
          <w:marTop w:val="0"/>
          <w:marBottom w:val="0"/>
          <w:divBdr>
            <w:top w:val="none" w:sz="0" w:space="0" w:color="auto"/>
            <w:left w:val="none" w:sz="0" w:space="0" w:color="auto"/>
            <w:bottom w:val="none" w:sz="0" w:space="0" w:color="auto"/>
            <w:right w:val="none" w:sz="0" w:space="0" w:color="auto"/>
          </w:divBdr>
        </w:div>
        <w:div w:id="855316396">
          <w:marLeft w:val="1440"/>
          <w:marRight w:val="0"/>
          <w:marTop w:val="0"/>
          <w:marBottom w:val="0"/>
          <w:divBdr>
            <w:top w:val="none" w:sz="0" w:space="0" w:color="auto"/>
            <w:left w:val="none" w:sz="0" w:space="0" w:color="auto"/>
            <w:bottom w:val="none" w:sz="0" w:space="0" w:color="auto"/>
            <w:right w:val="none" w:sz="0" w:space="0" w:color="auto"/>
          </w:divBdr>
        </w:div>
        <w:div w:id="1405956619">
          <w:marLeft w:val="1440"/>
          <w:marRight w:val="0"/>
          <w:marTop w:val="0"/>
          <w:marBottom w:val="0"/>
          <w:divBdr>
            <w:top w:val="none" w:sz="0" w:space="0" w:color="auto"/>
            <w:left w:val="none" w:sz="0" w:space="0" w:color="auto"/>
            <w:bottom w:val="none" w:sz="0" w:space="0" w:color="auto"/>
            <w:right w:val="none" w:sz="0" w:space="0" w:color="auto"/>
          </w:divBdr>
        </w:div>
        <w:div w:id="1792741350">
          <w:marLeft w:val="1440"/>
          <w:marRight w:val="0"/>
          <w:marTop w:val="0"/>
          <w:marBottom w:val="0"/>
          <w:divBdr>
            <w:top w:val="none" w:sz="0" w:space="0" w:color="auto"/>
            <w:left w:val="none" w:sz="0" w:space="0" w:color="auto"/>
            <w:bottom w:val="none" w:sz="0" w:space="0" w:color="auto"/>
            <w:right w:val="none" w:sz="0" w:space="0" w:color="auto"/>
          </w:divBdr>
        </w:div>
      </w:divsChild>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EDEC6-CE8C-45A0-ADD1-ACBBDE72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2315</Words>
  <Characters>12275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2017-08-12T05:41:00Z</dcterms:created>
  <dcterms:modified xsi:type="dcterms:W3CDTF">2017-08-12T05:41:00Z</dcterms:modified>
</cp:coreProperties>
</file>