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8554D" w14:textId="77777777" w:rsidR="00F52773" w:rsidRDefault="00F52773" w:rsidP="001D27D9">
      <w:pPr>
        <w:pStyle w:val="3GPPHeader"/>
        <w:spacing w:after="60"/>
        <w:rPr>
          <w:bCs/>
          <w:sz w:val="22"/>
        </w:rPr>
      </w:pPr>
    </w:p>
    <w:p w14:paraId="1D9A863C" w14:textId="25D7AB8B" w:rsidR="001D27D9" w:rsidRPr="00D376C5" w:rsidRDefault="001D27D9" w:rsidP="001D27D9">
      <w:pPr>
        <w:pStyle w:val="3GPPHeader"/>
        <w:spacing w:after="60"/>
        <w:rPr>
          <w:bCs/>
          <w:sz w:val="22"/>
        </w:rPr>
      </w:pPr>
      <w:r w:rsidRPr="00D376C5">
        <w:rPr>
          <w:bCs/>
          <w:sz w:val="22"/>
        </w:rPr>
        <w:t xml:space="preserve">3GPP TSG RAN WG1 </w:t>
      </w:r>
      <w:r w:rsidR="00F52773">
        <w:rPr>
          <w:bCs/>
          <w:sz w:val="22"/>
        </w:rPr>
        <w:t>Meeting</w:t>
      </w:r>
      <w:r w:rsidRPr="00D376C5">
        <w:rPr>
          <w:bCs/>
          <w:sz w:val="22"/>
        </w:rPr>
        <w:t xml:space="preserve">#90                  </w:t>
      </w:r>
      <w:r w:rsidR="00F52773">
        <w:rPr>
          <w:bCs/>
          <w:sz w:val="22"/>
        </w:rPr>
        <w:t xml:space="preserve">                     </w:t>
      </w:r>
      <w:r w:rsidR="00F52773">
        <w:rPr>
          <w:bCs/>
          <w:sz w:val="22"/>
        </w:rPr>
        <w:tab/>
        <w:t>R1-1714443</w:t>
      </w:r>
    </w:p>
    <w:p w14:paraId="4C1C5B3A" w14:textId="77777777" w:rsidR="001D27D9" w:rsidRPr="00D376C5" w:rsidRDefault="001D27D9" w:rsidP="001D27D9">
      <w:pPr>
        <w:pStyle w:val="3GPPHeader"/>
        <w:rPr>
          <w:sz w:val="22"/>
          <w:lang w:val="en-US"/>
        </w:rPr>
      </w:pPr>
      <w:r w:rsidRPr="00D376C5">
        <w:rPr>
          <w:bCs/>
          <w:sz w:val="22"/>
        </w:rPr>
        <w:t>Prague, Czech Republic, 21-25 August 2017</w:t>
      </w:r>
    </w:p>
    <w:p w14:paraId="72E08FCD" w14:textId="77777777" w:rsidR="00F618ED" w:rsidRPr="008F5FB0" w:rsidRDefault="00F618ED" w:rsidP="00F618ED">
      <w:pPr>
        <w:pStyle w:val="Header"/>
        <w:tabs>
          <w:tab w:val="clear" w:pos="4536"/>
          <w:tab w:val="left" w:pos="1800"/>
        </w:tabs>
        <w:ind w:left="1800" w:hanging="1800"/>
        <w:rPr>
          <w:rFonts w:cs="Arial"/>
        </w:rPr>
      </w:pPr>
      <w:r w:rsidRPr="008F5FB0">
        <w:rPr>
          <w:rFonts w:cs="Arial"/>
        </w:rPr>
        <w:t>Source:</w:t>
      </w:r>
      <w:r w:rsidRPr="008F5FB0">
        <w:rPr>
          <w:rFonts w:cs="Arial"/>
        </w:rPr>
        <w:tab/>
        <w:t>Ericsson</w:t>
      </w:r>
    </w:p>
    <w:p w14:paraId="2BF99A4B" w14:textId="31AEDA2E" w:rsidR="00F618ED" w:rsidRPr="008F5FB0" w:rsidRDefault="00F618ED" w:rsidP="00F618ED">
      <w:pPr>
        <w:pStyle w:val="Header"/>
        <w:tabs>
          <w:tab w:val="clear" w:pos="4536"/>
          <w:tab w:val="left" w:pos="1800"/>
        </w:tabs>
        <w:rPr>
          <w:rFonts w:cs="Arial"/>
        </w:rPr>
      </w:pPr>
      <w:r w:rsidRPr="008F5FB0">
        <w:rPr>
          <w:rFonts w:cs="Arial"/>
        </w:rPr>
        <w:t>Title:</w:t>
      </w:r>
      <w:bookmarkStart w:id="0" w:name="Title"/>
      <w:bookmarkEnd w:id="0"/>
      <w:r w:rsidRPr="008F5FB0">
        <w:rPr>
          <w:rFonts w:cs="Arial"/>
        </w:rPr>
        <w:tab/>
      </w:r>
      <w:r w:rsidR="00FC3DF6" w:rsidRPr="008F5FB0">
        <w:rPr>
          <w:rFonts w:cs="Arial"/>
        </w:rPr>
        <w:t xml:space="preserve">On </w:t>
      </w:r>
      <w:r w:rsidR="006660F3" w:rsidRPr="008F5FB0">
        <w:rPr>
          <w:rFonts w:cs="Arial"/>
        </w:rPr>
        <w:t>HARQ and Soft Buffer H</w:t>
      </w:r>
      <w:r w:rsidR="00FC3DF6" w:rsidRPr="008F5FB0">
        <w:rPr>
          <w:rFonts w:cs="Arial"/>
        </w:rPr>
        <w:t>andling</w:t>
      </w:r>
      <w:r w:rsidR="00914676">
        <w:rPr>
          <w:rFonts w:cs="Arial"/>
        </w:rPr>
        <w:t xml:space="preserve"> </w:t>
      </w:r>
      <w:r w:rsidR="00914676" w:rsidRPr="00914676">
        <w:rPr>
          <w:rFonts w:cs="Arial"/>
        </w:rPr>
        <w:t>for LTE-NR Dual Connectivity</w:t>
      </w:r>
    </w:p>
    <w:p w14:paraId="21A0FB9A" w14:textId="2C3028BF" w:rsidR="00F618ED" w:rsidRPr="008F5FB0" w:rsidRDefault="00F618ED" w:rsidP="00F618ED">
      <w:pPr>
        <w:pStyle w:val="Header"/>
        <w:tabs>
          <w:tab w:val="left" w:pos="1800"/>
        </w:tabs>
        <w:rPr>
          <w:rFonts w:cs="Arial"/>
        </w:rPr>
      </w:pPr>
      <w:r w:rsidRPr="008F5FB0">
        <w:rPr>
          <w:rFonts w:cs="Arial"/>
        </w:rPr>
        <w:t>Agenda Item:</w:t>
      </w:r>
      <w:bookmarkStart w:id="1" w:name="Source"/>
      <w:bookmarkEnd w:id="1"/>
      <w:r w:rsidRPr="008F5FB0">
        <w:rPr>
          <w:rFonts w:cs="Arial"/>
        </w:rPr>
        <w:tab/>
      </w:r>
      <w:r w:rsidR="001D27D9">
        <w:rPr>
          <w:rFonts w:cs="Arial"/>
        </w:rPr>
        <w:t>6</w:t>
      </w:r>
      <w:r w:rsidR="00914676">
        <w:rPr>
          <w:rFonts w:cs="Arial"/>
          <w:sz w:val="22"/>
          <w:szCs w:val="22"/>
        </w:rPr>
        <w:t>.1.3.3.6.3</w:t>
      </w:r>
    </w:p>
    <w:p w14:paraId="37E0F9F2" w14:textId="77777777" w:rsidR="00F618ED" w:rsidRPr="008F5FB0" w:rsidRDefault="00F618ED" w:rsidP="00F618ED">
      <w:pPr>
        <w:pStyle w:val="Header"/>
        <w:tabs>
          <w:tab w:val="left" w:pos="1800"/>
        </w:tabs>
        <w:rPr>
          <w:rFonts w:cs="Arial"/>
        </w:rPr>
      </w:pPr>
      <w:r w:rsidRPr="008F5FB0">
        <w:rPr>
          <w:rFonts w:cs="Arial"/>
        </w:rPr>
        <w:t>Document for:</w:t>
      </w:r>
      <w:r w:rsidRPr="008F5FB0">
        <w:rPr>
          <w:rFonts w:cs="Arial"/>
        </w:rPr>
        <w:tab/>
      </w:r>
      <w:bookmarkStart w:id="2" w:name="DocumentFor"/>
      <w:bookmarkEnd w:id="2"/>
      <w:r w:rsidRPr="008F5FB0">
        <w:rPr>
          <w:rFonts w:cs="Arial"/>
        </w:rPr>
        <w:t>Discussion and Decision</w:t>
      </w:r>
    </w:p>
    <w:p w14:paraId="4CE178D4" w14:textId="77777777" w:rsidR="00F618ED" w:rsidRPr="008F5FB0" w:rsidRDefault="00F618ED" w:rsidP="00F618ED">
      <w:pPr>
        <w:pBdr>
          <w:bottom w:val="single" w:sz="4" w:space="1" w:color="auto"/>
        </w:pBdr>
        <w:tabs>
          <w:tab w:val="left" w:pos="2552"/>
        </w:tabs>
        <w:rPr>
          <w:rFonts w:ascii="Arial" w:hAnsi="Arial" w:cs="Arial"/>
        </w:rPr>
      </w:pPr>
    </w:p>
    <w:p w14:paraId="00E53489" w14:textId="15D89B05" w:rsidR="00F618ED" w:rsidRPr="008F5FB0" w:rsidRDefault="00F618ED" w:rsidP="00F618ED">
      <w:pPr>
        <w:pStyle w:val="Heading1"/>
        <w:spacing w:before="180"/>
        <w:ind w:left="562" w:hanging="562"/>
        <w:rPr>
          <w:rFonts w:ascii="Arial" w:hAnsi="Arial"/>
        </w:rPr>
      </w:pPr>
      <w:r w:rsidRPr="008F5FB0">
        <w:rPr>
          <w:rFonts w:ascii="Arial" w:hAnsi="Arial"/>
        </w:rPr>
        <w:t>Introduction</w:t>
      </w:r>
    </w:p>
    <w:p w14:paraId="2056CF87" w14:textId="778234DF" w:rsidR="00D42546" w:rsidRDefault="00D42546" w:rsidP="0022072F">
      <w:pPr>
        <w:pStyle w:val="BodyText"/>
        <w:rPr>
          <w:rFonts w:ascii="Arial" w:hAnsi="Arial" w:cs="Arial"/>
        </w:rPr>
      </w:pPr>
      <w:r>
        <w:rPr>
          <w:rFonts w:ascii="Arial" w:hAnsi="Arial" w:cs="Arial"/>
        </w:rPr>
        <w:t>NR supports dual connectivity between LTE and NR carriers to accelerate initial deployments for NR. It has been agreed in RAN1 that:</w:t>
      </w:r>
    </w:p>
    <w:p w14:paraId="32F95775" w14:textId="77777777" w:rsidR="00D42546" w:rsidRPr="003D3014" w:rsidRDefault="00D42546" w:rsidP="00D42546">
      <w:pPr>
        <w:ind w:left="360"/>
        <w:rPr>
          <w:rFonts w:ascii="Arial" w:eastAsia="MS Mincho" w:hAnsi="Arial" w:cs="Arial"/>
          <w:b/>
          <w:iCs/>
          <w:u w:val="single"/>
          <w:lang w:val="en-GB" w:eastAsia="ja-JP"/>
        </w:rPr>
      </w:pPr>
      <w:r w:rsidRPr="003D3014">
        <w:rPr>
          <w:rFonts w:ascii="Arial" w:eastAsia="MS Mincho" w:hAnsi="Arial" w:cs="Arial" w:hint="eastAsia"/>
          <w:b/>
          <w:iCs/>
          <w:u w:val="single"/>
          <w:lang w:val="en-GB" w:eastAsia="ja-JP"/>
        </w:rPr>
        <w:t>Agreements:</w:t>
      </w:r>
    </w:p>
    <w:p w14:paraId="229CE37F" w14:textId="77777777" w:rsidR="00D42546" w:rsidRPr="003D3014" w:rsidRDefault="00D42546" w:rsidP="00D42546">
      <w:pPr>
        <w:numPr>
          <w:ilvl w:val="0"/>
          <w:numId w:val="38"/>
        </w:numPr>
        <w:rPr>
          <w:rFonts w:ascii="Arial" w:eastAsia="MS Mincho" w:hAnsi="Arial" w:cs="Arial"/>
          <w:iCs/>
          <w:lang w:val="en-GB" w:eastAsia="ja-JP"/>
        </w:rPr>
      </w:pPr>
      <w:r w:rsidRPr="003D3014">
        <w:rPr>
          <w:rFonts w:ascii="Arial" w:eastAsia="MS Mincho" w:hAnsi="Arial" w:cs="Arial"/>
          <w:iCs/>
          <w:lang w:val="en-GB" w:eastAsia="ja-JP"/>
        </w:rPr>
        <w:t>Study at least the following aspects for NR carrier aggregation / dual connectivity</w:t>
      </w:r>
    </w:p>
    <w:p w14:paraId="77D03741" w14:textId="77777777" w:rsidR="00D42546" w:rsidRPr="003D3014" w:rsidRDefault="00D42546" w:rsidP="00D42546">
      <w:pPr>
        <w:numPr>
          <w:ilvl w:val="1"/>
          <w:numId w:val="39"/>
        </w:numPr>
        <w:rPr>
          <w:rFonts w:ascii="Arial" w:eastAsia="MS Mincho" w:hAnsi="Arial" w:cs="Arial"/>
          <w:iCs/>
          <w:lang w:val="en-GB" w:eastAsia="ja-JP"/>
        </w:rPr>
      </w:pPr>
      <w:r w:rsidRPr="003D3014">
        <w:rPr>
          <w:rFonts w:ascii="Arial" w:eastAsia="MS Mincho" w:hAnsi="Arial" w:cs="Arial"/>
          <w:iCs/>
          <w:lang w:val="en-GB" w:eastAsia="ja-JP"/>
        </w:rPr>
        <w:t>Intra-TRP and inter-TRP with ideal and non-ideal backhaul scenarios</w:t>
      </w:r>
    </w:p>
    <w:p w14:paraId="09E4BAB1" w14:textId="77777777" w:rsidR="00D42546" w:rsidRPr="003D3014" w:rsidRDefault="00D42546" w:rsidP="00D42546">
      <w:pPr>
        <w:numPr>
          <w:ilvl w:val="1"/>
          <w:numId w:val="39"/>
        </w:numPr>
        <w:rPr>
          <w:rFonts w:ascii="Arial" w:eastAsia="MS Mincho" w:hAnsi="Arial" w:cs="Arial"/>
          <w:iCs/>
          <w:lang w:val="en-GB" w:eastAsia="ja-JP"/>
        </w:rPr>
      </w:pPr>
      <w:r w:rsidRPr="003D3014">
        <w:rPr>
          <w:rFonts w:ascii="Arial" w:eastAsia="MS Mincho" w:hAnsi="Arial" w:cs="Arial"/>
          <w:iCs/>
          <w:lang w:val="en-GB" w:eastAsia="ja-JP"/>
        </w:rPr>
        <w:t>Number of carriers</w:t>
      </w:r>
    </w:p>
    <w:p w14:paraId="26DAD85E" w14:textId="77777777" w:rsidR="00D42546" w:rsidRPr="003D3014" w:rsidRDefault="00D42546" w:rsidP="00D42546">
      <w:pPr>
        <w:numPr>
          <w:ilvl w:val="1"/>
          <w:numId w:val="39"/>
        </w:numPr>
        <w:rPr>
          <w:rFonts w:ascii="Arial" w:eastAsia="MS Mincho" w:hAnsi="Arial" w:cs="Arial"/>
          <w:iCs/>
          <w:lang w:val="en-GB" w:eastAsia="ja-JP"/>
        </w:rPr>
      </w:pPr>
      <w:r w:rsidRPr="003D3014">
        <w:rPr>
          <w:rFonts w:ascii="Arial" w:eastAsia="MS Mincho" w:hAnsi="Arial" w:cs="Arial"/>
          <w:iCs/>
          <w:lang w:val="en-GB" w:eastAsia="ja-JP"/>
        </w:rPr>
        <w:t>The need for certain channels, e.g. downlink control channel, uplink control channel or PBCH for some carriers</w:t>
      </w:r>
    </w:p>
    <w:p w14:paraId="34AB4D3D" w14:textId="77777777" w:rsidR="00D42546" w:rsidRPr="003D3014" w:rsidRDefault="00D42546" w:rsidP="00D42546">
      <w:pPr>
        <w:numPr>
          <w:ilvl w:val="1"/>
          <w:numId w:val="39"/>
        </w:numPr>
        <w:rPr>
          <w:rFonts w:ascii="Arial" w:eastAsia="MS Mincho" w:hAnsi="Arial" w:cs="Arial"/>
          <w:iCs/>
          <w:lang w:val="en-GB" w:eastAsia="ja-JP"/>
        </w:rPr>
      </w:pPr>
      <w:r w:rsidRPr="003D3014">
        <w:rPr>
          <w:rFonts w:ascii="Arial" w:eastAsia="MS Mincho" w:hAnsi="Arial" w:cs="Arial"/>
          <w:iCs/>
          <w:lang w:val="en-GB" w:eastAsia="ja-JP"/>
        </w:rPr>
        <w:t>Cross-carrier scheduling and joint UCI feedback, e.g. HARQ-ACK feedback</w:t>
      </w:r>
    </w:p>
    <w:p w14:paraId="2ABEF4C1" w14:textId="77777777" w:rsidR="00D42546" w:rsidRPr="003D3014" w:rsidRDefault="00D42546" w:rsidP="00D42546">
      <w:pPr>
        <w:numPr>
          <w:ilvl w:val="1"/>
          <w:numId w:val="39"/>
        </w:numPr>
        <w:rPr>
          <w:rFonts w:ascii="Arial" w:eastAsia="MS Mincho" w:hAnsi="Arial" w:cs="Arial"/>
          <w:iCs/>
          <w:lang w:val="en-GB" w:eastAsia="ja-JP"/>
        </w:rPr>
      </w:pPr>
      <w:r w:rsidRPr="003D3014">
        <w:rPr>
          <w:rFonts w:ascii="Arial" w:eastAsia="MS Mincho" w:hAnsi="Arial" w:cs="Arial"/>
          <w:iCs/>
          <w:lang w:val="en-GB" w:eastAsia="ja-JP"/>
        </w:rPr>
        <w:t>TB mapping, i.e., per carrier or across carriers</w:t>
      </w:r>
    </w:p>
    <w:p w14:paraId="7AC0508C" w14:textId="77777777" w:rsidR="00D42546" w:rsidRPr="003D3014" w:rsidRDefault="00D42546" w:rsidP="00D42546">
      <w:pPr>
        <w:numPr>
          <w:ilvl w:val="1"/>
          <w:numId w:val="39"/>
        </w:numPr>
        <w:rPr>
          <w:rFonts w:ascii="Arial" w:eastAsia="MS Mincho" w:hAnsi="Arial" w:cs="Arial"/>
          <w:iCs/>
          <w:lang w:val="en-GB" w:eastAsia="ja-JP"/>
        </w:rPr>
      </w:pPr>
      <w:r w:rsidRPr="003D3014">
        <w:rPr>
          <w:rFonts w:ascii="Arial" w:eastAsia="MS Mincho" w:hAnsi="Arial" w:cs="Arial"/>
          <w:iCs/>
          <w:lang w:val="en-GB" w:eastAsia="ja-JP"/>
        </w:rPr>
        <w:t>Carrier on/off switching mechanism</w:t>
      </w:r>
    </w:p>
    <w:p w14:paraId="3EDF1328" w14:textId="77777777" w:rsidR="00D42546" w:rsidRPr="003D3014" w:rsidRDefault="00D42546" w:rsidP="00D42546">
      <w:pPr>
        <w:numPr>
          <w:ilvl w:val="1"/>
          <w:numId w:val="39"/>
        </w:numPr>
        <w:rPr>
          <w:rFonts w:ascii="Arial" w:eastAsia="MS Mincho" w:hAnsi="Arial" w:cs="Arial"/>
          <w:iCs/>
          <w:lang w:val="en-GB" w:eastAsia="ja-JP"/>
        </w:rPr>
      </w:pPr>
      <w:r w:rsidRPr="003D3014">
        <w:rPr>
          <w:rFonts w:ascii="Arial" w:eastAsia="MS Mincho" w:hAnsi="Arial" w:cs="Arial"/>
          <w:iCs/>
          <w:lang w:val="en-GB" w:eastAsia="ja-JP"/>
        </w:rPr>
        <w:t>Power control</w:t>
      </w:r>
    </w:p>
    <w:p w14:paraId="0EEEA898" w14:textId="77777777" w:rsidR="00D42546" w:rsidRPr="003D3014" w:rsidRDefault="00D42546" w:rsidP="00D42546">
      <w:pPr>
        <w:numPr>
          <w:ilvl w:val="1"/>
          <w:numId w:val="39"/>
        </w:numPr>
        <w:rPr>
          <w:rFonts w:ascii="Arial" w:eastAsia="MS Mincho" w:hAnsi="Arial" w:cs="Arial"/>
          <w:iCs/>
          <w:lang w:val="en-GB" w:eastAsia="ja-JP"/>
        </w:rPr>
      </w:pPr>
      <w:r w:rsidRPr="003D3014">
        <w:rPr>
          <w:rFonts w:ascii="Arial" w:eastAsia="MS Mincho" w:hAnsi="Arial" w:cs="Arial"/>
          <w:iCs/>
          <w:lang w:val="en-GB" w:eastAsia="ja-JP"/>
        </w:rPr>
        <w:t>Different numerologies between different/same carrier(s) for a given UE</w:t>
      </w:r>
    </w:p>
    <w:p w14:paraId="74C6987F" w14:textId="77777777" w:rsidR="00D42546" w:rsidRPr="003D3014" w:rsidRDefault="00D42546" w:rsidP="00D42546">
      <w:pPr>
        <w:numPr>
          <w:ilvl w:val="2"/>
          <w:numId w:val="39"/>
        </w:numPr>
        <w:rPr>
          <w:rFonts w:ascii="Arial" w:eastAsia="MS Mincho" w:hAnsi="Arial" w:cs="Arial"/>
          <w:iCs/>
          <w:lang w:val="en-GB" w:eastAsia="ja-JP"/>
        </w:rPr>
      </w:pPr>
      <w:r w:rsidRPr="003D3014">
        <w:rPr>
          <w:rFonts w:ascii="Arial" w:eastAsia="MS Mincho" w:hAnsi="Arial" w:cs="Arial"/>
          <w:iCs/>
          <w:lang w:val="en-GB" w:eastAsia="ja-JP"/>
        </w:rPr>
        <w:t>FFS: whether/if different numerologies are multiplexed on one carrier for one UE is called carrier aggregation / dual connectivity</w:t>
      </w:r>
    </w:p>
    <w:p w14:paraId="01D532B5" w14:textId="77777777" w:rsidR="00D42546" w:rsidRDefault="00D42546" w:rsidP="00D42546">
      <w:pPr>
        <w:ind w:left="360"/>
        <w:rPr>
          <w:rFonts w:ascii="Arial" w:eastAsia="MS Mincho" w:hAnsi="Arial" w:cs="Arial"/>
          <w:iCs/>
          <w:lang w:eastAsia="ja-JP"/>
        </w:rPr>
      </w:pPr>
    </w:p>
    <w:p w14:paraId="6B06F2E3" w14:textId="77777777" w:rsidR="00D42546" w:rsidRPr="003D3014" w:rsidRDefault="00D42546" w:rsidP="00D42546">
      <w:pPr>
        <w:ind w:left="360"/>
        <w:rPr>
          <w:rFonts w:ascii="Arial" w:eastAsia="MS Mincho" w:hAnsi="Arial" w:cs="Arial"/>
          <w:b/>
          <w:iCs/>
          <w:u w:val="single"/>
          <w:lang w:eastAsia="ja-JP"/>
        </w:rPr>
      </w:pPr>
      <w:r w:rsidRPr="003D3014">
        <w:rPr>
          <w:rFonts w:ascii="Arial" w:eastAsia="MS Mincho" w:hAnsi="Arial" w:cs="Arial" w:hint="eastAsia"/>
          <w:b/>
          <w:iCs/>
          <w:u w:val="single"/>
          <w:lang w:eastAsia="ja-JP"/>
        </w:rPr>
        <w:t>Agreements:</w:t>
      </w:r>
    </w:p>
    <w:p w14:paraId="04A0E3F5" w14:textId="77777777" w:rsidR="00D42546" w:rsidRPr="003D3014" w:rsidRDefault="00D42546" w:rsidP="00D42546">
      <w:pPr>
        <w:numPr>
          <w:ilvl w:val="0"/>
          <w:numId w:val="42"/>
        </w:numPr>
        <w:rPr>
          <w:rFonts w:ascii="Arial" w:eastAsia="MS Mincho" w:hAnsi="Arial" w:cs="Arial"/>
          <w:iCs/>
          <w:lang w:eastAsia="ja-JP"/>
        </w:rPr>
      </w:pPr>
      <w:r w:rsidRPr="003D3014">
        <w:rPr>
          <w:rFonts w:ascii="Arial" w:eastAsia="MS Mincho" w:hAnsi="Arial" w:cs="Arial"/>
          <w:iCs/>
          <w:lang w:val="en-GB" w:eastAsia="ja-JP"/>
        </w:rPr>
        <w:t>Both synchronous and asynchronous dual connectivity are support for LTE-NR/NR-NR DC</w:t>
      </w:r>
    </w:p>
    <w:p w14:paraId="2B55F15E" w14:textId="77777777" w:rsidR="00D42546" w:rsidRDefault="00D42546" w:rsidP="00D42546">
      <w:pPr>
        <w:ind w:left="360"/>
        <w:rPr>
          <w:rFonts w:ascii="Arial" w:eastAsia="MS Mincho" w:hAnsi="Arial" w:cs="Arial"/>
          <w:iCs/>
          <w:lang w:eastAsia="ja-JP"/>
        </w:rPr>
      </w:pPr>
    </w:p>
    <w:p w14:paraId="44F981E7" w14:textId="3718D0B8" w:rsidR="00D42546" w:rsidRDefault="00D42546" w:rsidP="0022072F">
      <w:pPr>
        <w:pStyle w:val="BodyText"/>
        <w:rPr>
          <w:rFonts w:ascii="Arial" w:hAnsi="Arial" w:cs="Arial"/>
        </w:rPr>
      </w:pPr>
      <w:r>
        <w:rPr>
          <w:rFonts w:ascii="Arial" w:hAnsi="Arial" w:cs="Arial"/>
        </w:rPr>
        <w:t xml:space="preserve">In the companion contribution </w:t>
      </w:r>
      <w:r w:rsidR="00C11A79">
        <w:rPr>
          <w:rFonts w:ascii="Arial" w:hAnsi="Arial" w:cs="Arial"/>
        </w:rPr>
        <w:fldChar w:fldCharType="begin"/>
      </w:r>
      <w:r w:rsidR="00C11A79">
        <w:rPr>
          <w:rFonts w:ascii="Arial" w:hAnsi="Arial" w:cs="Arial"/>
        </w:rPr>
        <w:instrText xml:space="preserve"> REF _Ref490053969 \r \h </w:instrText>
      </w:r>
      <w:r w:rsidR="00C11A79">
        <w:rPr>
          <w:rFonts w:ascii="Arial" w:hAnsi="Arial" w:cs="Arial"/>
        </w:rPr>
      </w:r>
      <w:r w:rsidR="00C11A79">
        <w:rPr>
          <w:rFonts w:ascii="Arial" w:hAnsi="Arial" w:cs="Arial"/>
        </w:rPr>
        <w:fldChar w:fldCharType="separate"/>
      </w:r>
      <w:r w:rsidR="00C11A79">
        <w:rPr>
          <w:rFonts w:ascii="Arial" w:hAnsi="Arial" w:cs="Arial"/>
        </w:rPr>
        <w:t>[1]</w:t>
      </w:r>
      <w:r w:rsidR="00C11A79">
        <w:rPr>
          <w:rFonts w:ascii="Arial" w:hAnsi="Arial" w:cs="Arial"/>
        </w:rPr>
        <w:fldChar w:fldCharType="end"/>
      </w:r>
      <w:r>
        <w:rPr>
          <w:rFonts w:ascii="Arial" w:hAnsi="Arial" w:cs="Arial"/>
        </w:rPr>
        <w:t>,</w:t>
      </w:r>
      <w:r w:rsidR="00C11A79">
        <w:rPr>
          <w:rFonts w:ascii="Arial" w:hAnsi="Arial" w:cs="Arial"/>
        </w:rPr>
        <w:t xml:space="preserve"> we proposed a general and more flexible soft buffer handling framework for NR network. The following conclusions were obtained:</w:t>
      </w:r>
    </w:p>
    <w:p w14:paraId="3CA77A39" w14:textId="77777777" w:rsidR="00C11A79" w:rsidRPr="008F5FB0" w:rsidRDefault="00C11A79" w:rsidP="00C11A79">
      <w:pPr>
        <w:pStyle w:val="BodyText"/>
        <w:numPr>
          <w:ilvl w:val="0"/>
          <w:numId w:val="30"/>
        </w:numPr>
        <w:rPr>
          <w:rFonts w:ascii="Arial" w:hAnsi="Arial" w:cs="Arial"/>
        </w:rPr>
      </w:pPr>
      <w:r w:rsidRPr="008F5FB0">
        <w:rPr>
          <w:rFonts w:ascii="Arial" w:hAnsi="Arial" w:cs="Arial"/>
        </w:rPr>
        <w:t xml:space="preserve">The soft buffer memory size does not have to be designed with simultaneous support of peak rate, full IR support, and the maximum number of HARQ processes in mind. </w:t>
      </w:r>
    </w:p>
    <w:p w14:paraId="0008A1CC" w14:textId="77777777" w:rsidR="00C11A79" w:rsidRDefault="00C11A79" w:rsidP="00C11A79">
      <w:pPr>
        <w:pStyle w:val="BodyText"/>
        <w:numPr>
          <w:ilvl w:val="0"/>
          <w:numId w:val="30"/>
        </w:numPr>
        <w:rPr>
          <w:rFonts w:ascii="Arial" w:hAnsi="Arial" w:cs="Arial"/>
        </w:rPr>
      </w:pPr>
      <w:r w:rsidRPr="006B443A">
        <w:rPr>
          <w:rFonts w:ascii="Arial" w:hAnsi="Arial" w:cs="Arial"/>
        </w:rPr>
        <w:t>The UE should be capable of soft buffering a certain number of code blocks (the number may depend on UE capabilities).</w:t>
      </w:r>
    </w:p>
    <w:p w14:paraId="6633AE5A" w14:textId="77777777" w:rsidR="00C11A79" w:rsidRDefault="00C11A79" w:rsidP="00C11A79">
      <w:pPr>
        <w:pStyle w:val="BodyText"/>
        <w:numPr>
          <w:ilvl w:val="0"/>
          <w:numId w:val="30"/>
        </w:numPr>
        <w:rPr>
          <w:rFonts w:ascii="Arial" w:hAnsi="Arial" w:cs="Arial"/>
        </w:rPr>
      </w:pPr>
      <w:r>
        <w:rPr>
          <w:rFonts w:ascii="Arial" w:hAnsi="Arial" w:cs="Arial"/>
        </w:rPr>
        <w:t>UE implementation is encouraged to incorporate dynamic sharing of soft buffer amongst multiple carriers.</w:t>
      </w:r>
    </w:p>
    <w:p w14:paraId="67B4A915" w14:textId="77777777" w:rsidR="00C11A79" w:rsidRPr="009C104A" w:rsidRDefault="00C11A79" w:rsidP="00C11A79">
      <w:pPr>
        <w:pStyle w:val="BodyText"/>
        <w:numPr>
          <w:ilvl w:val="1"/>
          <w:numId w:val="30"/>
        </w:numPr>
        <w:rPr>
          <w:rStyle w:val="IvDbodytextChar"/>
          <w:rFonts w:cs="Arial"/>
        </w:rPr>
      </w:pPr>
      <w:r w:rsidRPr="009C104A">
        <w:rPr>
          <w:rStyle w:val="IvDbodytextChar"/>
          <w:rFonts w:cs="Arial"/>
        </w:rPr>
        <w:t xml:space="preserve">For UEs with no dynamic sharing between carriers, the soft buffer is of size </w:t>
      </w:r>
      <m:oMath>
        <m:r>
          <w:rPr>
            <w:rStyle w:val="IvDbodytextChar"/>
            <w:rFonts w:ascii="Cambria Math" w:hAnsi="Cambria Math" w:cs="Arial"/>
          </w:rPr>
          <m:t>N</m:t>
        </m:r>
      </m:oMath>
      <w:r w:rsidRPr="009C104A">
        <w:rPr>
          <w:rStyle w:val="IvDbodytextChar"/>
          <w:rFonts w:cs="Arial"/>
        </w:rPr>
        <w:t xml:space="preserve"> code blocks</w:t>
      </w:r>
      <w:r>
        <w:rPr>
          <w:rStyle w:val="IvDbodytextChar"/>
          <w:rFonts w:cs="Arial"/>
        </w:rPr>
        <w:t xml:space="preserve"> per carrier.</w:t>
      </w:r>
    </w:p>
    <w:p w14:paraId="18C771CF" w14:textId="77777777" w:rsidR="00C11A79" w:rsidRPr="006B443A" w:rsidRDefault="00C11A79" w:rsidP="00C11A79">
      <w:pPr>
        <w:pStyle w:val="BodyText"/>
        <w:numPr>
          <w:ilvl w:val="1"/>
          <w:numId w:val="30"/>
        </w:numPr>
        <w:rPr>
          <w:rFonts w:ascii="Arial" w:hAnsi="Arial" w:cs="Arial"/>
        </w:rPr>
      </w:pPr>
      <w:r w:rsidRPr="007469D3">
        <w:rPr>
          <w:rStyle w:val="IvDbodytextChar"/>
          <w:rFonts w:cs="Arial"/>
        </w:rPr>
        <w:t xml:space="preserve">For UEs with dynamic sharing between carriers, the soft buffer is of size </w:t>
      </w:r>
      <m:oMath>
        <m:r>
          <w:rPr>
            <w:rStyle w:val="IvDbodytextChar"/>
            <w:rFonts w:ascii="Cambria Math" w:hAnsi="Cambria Math" w:cs="Arial"/>
          </w:rPr>
          <m:t>M &lt; C</m:t>
        </m:r>
        <m:r>
          <w:rPr>
            <w:rStyle w:val="IvDbodytextChar"/>
            <w:rFonts w:ascii="Cambria Math" w:hAnsi="Cambria Math"/>
          </w:rPr>
          <m:t>∙</m:t>
        </m:r>
        <m:r>
          <w:rPr>
            <w:rStyle w:val="IvDbodytextChar"/>
            <w:rFonts w:ascii="Cambria Math" w:hAnsi="Cambria Math" w:cs="Arial"/>
          </w:rPr>
          <m:t>N</m:t>
        </m:r>
      </m:oMath>
      <w:r w:rsidRPr="007469D3">
        <w:rPr>
          <w:rStyle w:val="IvDbodytextChar"/>
          <w:rFonts w:cs="Arial"/>
        </w:rPr>
        <w:t xml:space="preserve"> where </w:t>
      </w:r>
      <m:oMath>
        <m:r>
          <w:rPr>
            <w:rStyle w:val="IvDbodytextChar"/>
            <w:rFonts w:ascii="Cambria Math" w:hAnsi="Cambria Math" w:cs="Arial"/>
          </w:rPr>
          <m:t>C</m:t>
        </m:r>
      </m:oMath>
      <w:r w:rsidRPr="007469D3">
        <w:rPr>
          <w:rStyle w:val="IvDbodytextChar"/>
          <w:rFonts w:cs="Arial"/>
        </w:rPr>
        <w:t xml:space="preserve"> is the number of supported carriers.</w:t>
      </w:r>
    </w:p>
    <w:p w14:paraId="4E0BFAF5" w14:textId="28CFE437" w:rsidR="00C11A79" w:rsidRDefault="00C11A79" w:rsidP="0022072F">
      <w:pPr>
        <w:pStyle w:val="BodyText"/>
        <w:rPr>
          <w:rFonts w:ascii="Arial" w:hAnsi="Arial" w:cs="Arial"/>
        </w:rPr>
      </w:pPr>
      <w:r>
        <w:rPr>
          <w:rFonts w:ascii="Arial" w:hAnsi="Arial" w:cs="Arial"/>
        </w:rPr>
        <w:t>In this contribution, we discuss extension of the framework as well as UE Category definition to the case of LTE-NR dual connectivity.</w:t>
      </w:r>
    </w:p>
    <w:p w14:paraId="1D2A7B37" w14:textId="01F2B3D4" w:rsidR="004B1C8B" w:rsidRPr="008F5FB0" w:rsidRDefault="00230310" w:rsidP="00230310">
      <w:pPr>
        <w:pStyle w:val="Heading1"/>
        <w:spacing w:before="180"/>
        <w:ind w:left="562" w:hanging="562"/>
        <w:rPr>
          <w:rFonts w:ascii="Arial" w:hAnsi="Arial"/>
        </w:rPr>
      </w:pPr>
      <w:r w:rsidRPr="008F5FB0">
        <w:rPr>
          <w:rFonts w:ascii="Arial" w:hAnsi="Arial"/>
        </w:rPr>
        <w:t>Discussion</w:t>
      </w:r>
    </w:p>
    <w:p w14:paraId="1EAFE838" w14:textId="2B927A53" w:rsidR="00BB1E63" w:rsidRDefault="00BB1E63" w:rsidP="008F5FB0">
      <w:pPr>
        <w:pStyle w:val="BodyText"/>
        <w:rPr>
          <w:rFonts w:ascii="Arial" w:hAnsi="Arial" w:cs="Arial"/>
        </w:rPr>
      </w:pPr>
      <w:r>
        <w:rPr>
          <w:rFonts w:ascii="Arial" w:hAnsi="Arial" w:cs="Arial"/>
        </w:rPr>
        <w:t xml:space="preserve">Based on the analysis in the companion contribution </w:t>
      </w:r>
      <w:r>
        <w:rPr>
          <w:rFonts w:ascii="Arial" w:hAnsi="Arial" w:cs="Arial"/>
        </w:rPr>
        <w:fldChar w:fldCharType="begin"/>
      </w:r>
      <w:r>
        <w:rPr>
          <w:rFonts w:ascii="Arial" w:hAnsi="Arial" w:cs="Arial"/>
        </w:rPr>
        <w:instrText xml:space="preserve"> REF _Ref490053969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we proposed a more generic and flexible UE category definition based on the total number of </w:t>
      </w:r>
      <w:r w:rsidR="001E7F64">
        <w:rPr>
          <w:rFonts w:ascii="Arial" w:hAnsi="Arial" w:cs="Arial"/>
        </w:rPr>
        <w:t xml:space="preserve">largest </w:t>
      </w:r>
      <w:r>
        <w:rPr>
          <w:rFonts w:ascii="Arial" w:hAnsi="Arial" w:cs="Arial"/>
        </w:rPr>
        <w:t xml:space="preserve">code blocks the UE can store simultaneously. </w:t>
      </w:r>
      <w:r w:rsidRPr="009C104A">
        <w:rPr>
          <w:rStyle w:val="IvDbodytextChar"/>
          <w:rFonts w:cs="Arial"/>
        </w:rPr>
        <w:t xml:space="preserve">Example with LTE where </w:t>
      </w:r>
      <w:r>
        <w:rPr>
          <w:rStyle w:val="IvDbodytextChar"/>
          <w:rFonts w:cs="Arial"/>
        </w:rPr>
        <w:t>the same memory size is assumed in the follow example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093"/>
        <w:gridCol w:w="1819"/>
        <w:gridCol w:w="1677"/>
        <w:gridCol w:w="1825"/>
      </w:tblGrid>
      <w:tr w:rsidR="00BB1E63" w:rsidRPr="00F66BE5" w14:paraId="0F9FE76B" w14:textId="77777777" w:rsidTr="006D33A6">
        <w:tc>
          <w:tcPr>
            <w:tcW w:w="1648" w:type="dxa"/>
          </w:tcPr>
          <w:p w14:paraId="5D6C770C" w14:textId="77777777" w:rsidR="00BB1E63" w:rsidRPr="00F66BE5" w:rsidRDefault="00BB1E63" w:rsidP="006D33A6">
            <w:pPr>
              <w:pStyle w:val="TAH"/>
            </w:pPr>
            <w:r w:rsidRPr="00F66BE5">
              <w:lastRenderedPageBreak/>
              <w:t>UE Category</w:t>
            </w:r>
          </w:p>
        </w:tc>
        <w:tc>
          <w:tcPr>
            <w:tcW w:w="2093" w:type="dxa"/>
          </w:tcPr>
          <w:p w14:paraId="251FE4DF" w14:textId="77777777" w:rsidR="00BB1E63" w:rsidRPr="00F66BE5" w:rsidRDefault="00BB1E63" w:rsidP="006D33A6">
            <w:pPr>
              <w:pStyle w:val="TAH"/>
            </w:pPr>
            <w:r w:rsidRPr="00F66BE5">
              <w:t>Maximum number of DL-SCH transport block bits received within a TTI (Note</w:t>
            </w:r>
            <w:r>
              <w:t xml:space="preserve"> 1</w:t>
            </w:r>
            <w:r w:rsidRPr="00F66BE5">
              <w:t>)</w:t>
            </w:r>
          </w:p>
        </w:tc>
        <w:tc>
          <w:tcPr>
            <w:tcW w:w="1819" w:type="dxa"/>
          </w:tcPr>
          <w:p w14:paraId="539C0CDD" w14:textId="77777777" w:rsidR="00BB1E63" w:rsidRPr="00F66BE5" w:rsidRDefault="00BB1E63" w:rsidP="006D33A6">
            <w:pPr>
              <w:pStyle w:val="TAH"/>
            </w:pPr>
            <w:r w:rsidRPr="00F66BE5">
              <w:t>Maximum number of bits of a DL-SCH transport block received within a TTI</w:t>
            </w:r>
          </w:p>
        </w:tc>
        <w:tc>
          <w:tcPr>
            <w:tcW w:w="1677" w:type="dxa"/>
            <w:shd w:val="clear" w:color="auto" w:fill="F2F2F2" w:themeFill="background1" w:themeFillShade="F2"/>
          </w:tcPr>
          <w:p w14:paraId="24A64990" w14:textId="77777777" w:rsidR="00BB1E63" w:rsidRPr="009C104A" w:rsidRDefault="00BB1E63" w:rsidP="006D33A6">
            <w:pPr>
              <w:pStyle w:val="TAH"/>
            </w:pPr>
            <w:r w:rsidRPr="009C104A">
              <w:t>Total number of code blocks stored</w:t>
            </w:r>
            <w:r>
              <w:br/>
            </w:r>
          </w:p>
        </w:tc>
        <w:tc>
          <w:tcPr>
            <w:tcW w:w="1825" w:type="dxa"/>
          </w:tcPr>
          <w:p w14:paraId="1A60D389" w14:textId="77777777" w:rsidR="00BB1E63" w:rsidRPr="00F66BE5" w:rsidRDefault="00BB1E63" w:rsidP="006D33A6">
            <w:pPr>
              <w:pStyle w:val="TAH"/>
            </w:pPr>
            <w:r w:rsidRPr="00F66BE5">
              <w:t>Maximum number of supported layers for spatial multiplexing in DL</w:t>
            </w:r>
          </w:p>
        </w:tc>
      </w:tr>
      <w:tr w:rsidR="00BB1E63" w:rsidRPr="00F66BE5" w14:paraId="05961B0F" w14:textId="77777777" w:rsidTr="006D33A6">
        <w:tc>
          <w:tcPr>
            <w:tcW w:w="1648" w:type="dxa"/>
          </w:tcPr>
          <w:p w14:paraId="047DB3A4" w14:textId="77777777" w:rsidR="00BB1E63" w:rsidRPr="00F66BE5" w:rsidRDefault="00BB1E63" w:rsidP="006D33A6">
            <w:pPr>
              <w:pStyle w:val="TAL"/>
            </w:pPr>
            <w:r w:rsidRPr="00F66BE5">
              <w:t>Category 1</w:t>
            </w:r>
          </w:p>
        </w:tc>
        <w:tc>
          <w:tcPr>
            <w:tcW w:w="2093" w:type="dxa"/>
          </w:tcPr>
          <w:p w14:paraId="65613DCB" w14:textId="77777777" w:rsidR="00BB1E63" w:rsidRPr="00F66BE5" w:rsidRDefault="00BB1E63" w:rsidP="006D33A6">
            <w:pPr>
              <w:pStyle w:val="TAL"/>
            </w:pPr>
            <w:r w:rsidRPr="00F66BE5">
              <w:t>10296</w:t>
            </w:r>
          </w:p>
        </w:tc>
        <w:tc>
          <w:tcPr>
            <w:tcW w:w="1819" w:type="dxa"/>
          </w:tcPr>
          <w:p w14:paraId="5E8C7CD2" w14:textId="77777777" w:rsidR="00BB1E63" w:rsidRPr="00F66BE5" w:rsidRDefault="00BB1E63" w:rsidP="006D33A6">
            <w:pPr>
              <w:pStyle w:val="TAL"/>
            </w:pPr>
            <w:r w:rsidRPr="00F66BE5">
              <w:t>10296</w:t>
            </w:r>
          </w:p>
        </w:tc>
        <w:tc>
          <w:tcPr>
            <w:tcW w:w="1677" w:type="dxa"/>
            <w:shd w:val="clear" w:color="auto" w:fill="F2F2F2" w:themeFill="background1" w:themeFillShade="F2"/>
          </w:tcPr>
          <w:p w14:paraId="4E9D6997" w14:textId="77777777" w:rsidR="00BB1E63" w:rsidRPr="009C104A" w:rsidRDefault="00BB1E63" w:rsidP="006D33A6">
            <w:pPr>
              <w:pStyle w:val="TAL"/>
            </w:pPr>
            <w:r w:rsidRPr="009C104A">
              <w:t>14</w:t>
            </w:r>
          </w:p>
        </w:tc>
        <w:tc>
          <w:tcPr>
            <w:tcW w:w="1825" w:type="dxa"/>
          </w:tcPr>
          <w:p w14:paraId="07E8B5E1" w14:textId="77777777" w:rsidR="00BB1E63" w:rsidRPr="00F66BE5" w:rsidRDefault="00BB1E63" w:rsidP="006D33A6">
            <w:pPr>
              <w:pStyle w:val="TAL"/>
            </w:pPr>
            <w:r w:rsidRPr="00F66BE5">
              <w:t>1</w:t>
            </w:r>
          </w:p>
        </w:tc>
      </w:tr>
      <w:tr w:rsidR="00BB1E63" w:rsidRPr="00F66BE5" w14:paraId="71DF9E8A" w14:textId="77777777" w:rsidTr="006D33A6">
        <w:tc>
          <w:tcPr>
            <w:tcW w:w="1648" w:type="dxa"/>
          </w:tcPr>
          <w:p w14:paraId="6A98C944" w14:textId="77777777" w:rsidR="00BB1E63" w:rsidRPr="00F66BE5" w:rsidRDefault="00BB1E63" w:rsidP="006D33A6">
            <w:pPr>
              <w:pStyle w:val="TAL"/>
            </w:pPr>
            <w:r w:rsidRPr="00F66BE5">
              <w:t>Category 2</w:t>
            </w:r>
          </w:p>
        </w:tc>
        <w:tc>
          <w:tcPr>
            <w:tcW w:w="2093" w:type="dxa"/>
          </w:tcPr>
          <w:p w14:paraId="026E261A" w14:textId="77777777" w:rsidR="00BB1E63" w:rsidRPr="00F66BE5" w:rsidRDefault="00BB1E63" w:rsidP="006D33A6">
            <w:pPr>
              <w:pStyle w:val="TAL"/>
            </w:pPr>
            <w:r w:rsidRPr="00F66BE5">
              <w:t>51024</w:t>
            </w:r>
          </w:p>
        </w:tc>
        <w:tc>
          <w:tcPr>
            <w:tcW w:w="1819" w:type="dxa"/>
          </w:tcPr>
          <w:p w14:paraId="56B8523D" w14:textId="77777777" w:rsidR="00BB1E63" w:rsidRPr="00F66BE5" w:rsidRDefault="00BB1E63" w:rsidP="006D33A6">
            <w:pPr>
              <w:pStyle w:val="TAL"/>
            </w:pPr>
            <w:r w:rsidRPr="00F66BE5">
              <w:t>51024</w:t>
            </w:r>
          </w:p>
        </w:tc>
        <w:tc>
          <w:tcPr>
            <w:tcW w:w="1677" w:type="dxa"/>
            <w:shd w:val="clear" w:color="auto" w:fill="F2F2F2" w:themeFill="background1" w:themeFillShade="F2"/>
          </w:tcPr>
          <w:p w14:paraId="7837E119" w14:textId="77777777" w:rsidR="00BB1E63" w:rsidRPr="009C104A" w:rsidRDefault="00BB1E63" w:rsidP="006D33A6">
            <w:pPr>
              <w:pStyle w:val="TAL"/>
            </w:pPr>
            <w:r w:rsidRPr="009C104A">
              <w:t>67</w:t>
            </w:r>
          </w:p>
        </w:tc>
        <w:tc>
          <w:tcPr>
            <w:tcW w:w="1825" w:type="dxa"/>
          </w:tcPr>
          <w:p w14:paraId="12C3855B" w14:textId="77777777" w:rsidR="00BB1E63" w:rsidRPr="00F66BE5" w:rsidRDefault="00BB1E63" w:rsidP="006D33A6">
            <w:pPr>
              <w:pStyle w:val="TAL"/>
            </w:pPr>
            <w:r w:rsidRPr="00F66BE5">
              <w:t>2</w:t>
            </w:r>
          </w:p>
        </w:tc>
      </w:tr>
      <w:tr w:rsidR="00BB1E63" w:rsidRPr="00F66BE5" w14:paraId="147E50D5" w14:textId="77777777" w:rsidTr="006D33A6">
        <w:tc>
          <w:tcPr>
            <w:tcW w:w="1648" w:type="dxa"/>
          </w:tcPr>
          <w:p w14:paraId="2AD213F6" w14:textId="77777777" w:rsidR="00BB1E63" w:rsidRPr="00F66BE5" w:rsidRDefault="00BB1E63" w:rsidP="006D33A6">
            <w:pPr>
              <w:pStyle w:val="TAL"/>
            </w:pPr>
            <w:r w:rsidRPr="00F66BE5">
              <w:t>Category 3</w:t>
            </w:r>
          </w:p>
        </w:tc>
        <w:tc>
          <w:tcPr>
            <w:tcW w:w="2093" w:type="dxa"/>
          </w:tcPr>
          <w:p w14:paraId="585499B6" w14:textId="77777777" w:rsidR="00BB1E63" w:rsidRPr="00F66BE5" w:rsidRDefault="00BB1E63" w:rsidP="006D33A6">
            <w:pPr>
              <w:pStyle w:val="TAL"/>
            </w:pPr>
            <w:r w:rsidRPr="00F66BE5">
              <w:t>102048</w:t>
            </w:r>
          </w:p>
        </w:tc>
        <w:tc>
          <w:tcPr>
            <w:tcW w:w="1819" w:type="dxa"/>
          </w:tcPr>
          <w:p w14:paraId="4099B0B0" w14:textId="77777777" w:rsidR="00BB1E63" w:rsidRPr="00F66BE5" w:rsidRDefault="00BB1E63" w:rsidP="006D33A6">
            <w:pPr>
              <w:pStyle w:val="TAL"/>
            </w:pPr>
            <w:r w:rsidRPr="00F66BE5">
              <w:t>75376</w:t>
            </w:r>
          </w:p>
        </w:tc>
        <w:tc>
          <w:tcPr>
            <w:tcW w:w="1677" w:type="dxa"/>
            <w:shd w:val="clear" w:color="auto" w:fill="F2F2F2" w:themeFill="background1" w:themeFillShade="F2"/>
          </w:tcPr>
          <w:p w14:paraId="631C140C" w14:textId="77777777" w:rsidR="00BB1E63" w:rsidRPr="009C104A" w:rsidRDefault="00BB1E63" w:rsidP="006D33A6">
            <w:pPr>
              <w:pStyle w:val="TAL"/>
            </w:pPr>
            <w:r w:rsidRPr="009C104A">
              <w:t>67</w:t>
            </w:r>
          </w:p>
        </w:tc>
        <w:tc>
          <w:tcPr>
            <w:tcW w:w="1825" w:type="dxa"/>
          </w:tcPr>
          <w:p w14:paraId="4739EE78" w14:textId="77777777" w:rsidR="00BB1E63" w:rsidRPr="00F66BE5" w:rsidRDefault="00BB1E63" w:rsidP="006D33A6">
            <w:pPr>
              <w:pStyle w:val="TAL"/>
            </w:pPr>
            <w:r w:rsidRPr="00F66BE5">
              <w:t>2</w:t>
            </w:r>
          </w:p>
        </w:tc>
      </w:tr>
      <w:tr w:rsidR="00BB1E63" w:rsidRPr="00F66BE5" w14:paraId="0BF3A136" w14:textId="77777777" w:rsidTr="006D33A6">
        <w:tc>
          <w:tcPr>
            <w:tcW w:w="1648" w:type="dxa"/>
          </w:tcPr>
          <w:p w14:paraId="4CEFA9AF" w14:textId="77777777" w:rsidR="00BB1E63" w:rsidRPr="00F66BE5" w:rsidRDefault="00BB1E63" w:rsidP="006D33A6">
            <w:pPr>
              <w:pStyle w:val="TAL"/>
            </w:pPr>
            <w:r w:rsidRPr="00F66BE5">
              <w:t>Category 4</w:t>
            </w:r>
          </w:p>
        </w:tc>
        <w:tc>
          <w:tcPr>
            <w:tcW w:w="2093" w:type="dxa"/>
          </w:tcPr>
          <w:p w14:paraId="214D8228" w14:textId="77777777" w:rsidR="00BB1E63" w:rsidRPr="00F66BE5" w:rsidRDefault="00BB1E63" w:rsidP="006D33A6">
            <w:pPr>
              <w:pStyle w:val="TAL"/>
            </w:pPr>
            <w:r w:rsidRPr="00F66BE5">
              <w:t>150752</w:t>
            </w:r>
          </w:p>
        </w:tc>
        <w:tc>
          <w:tcPr>
            <w:tcW w:w="1819" w:type="dxa"/>
          </w:tcPr>
          <w:p w14:paraId="3586FB5E" w14:textId="77777777" w:rsidR="00BB1E63" w:rsidRPr="00F66BE5" w:rsidRDefault="00BB1E63" w:rsidP="006D33A6">
            <w:pPr>
              <w:pStyle w:val="TAL"/>
            </w:pPr>
            <w:r w:rsidRPr="00F66BE5">
              <w:t>75376</w:t>
            </w:r>
          </w:p>
        </w:tc>
        <w:tc>
          <w:tcPr>
            <w:tcW w:w="1677" w:type="dxa"/>
            <w:shd w:val="clear" w:color="auto" w:fill="F2F2F2" w:themeFill="background1" w:themeFillShade="F2"/>
          </w:tcPr>
          <w:p w14:paraId="16661FE4" w14:textId="77777777" w:rsidR="00BB1E63" w:rsidRPr="009C104A" w:rsidRDefault="00BB1E63" w:rsidP="006D33A6">
            <w:pPr>
              <w:pStyle w:val="TAL"/>
            </w:pPr>
            <w:r w:rsidRPr="009C104A">
              <w:t>100</w:t>
            </w:r>
          </w:p>
        </w:tc>
        <w:tc>
          <w:tcPr>
            <w:tcW w:w="1825" w:type="dxa"/>
          </w:tcPr>
          <w:p w14:paraId="66E22007" w14:textId="77777777" w:rsidR="00BB1E63" w:rsidRPr="00F66BE5" w:rsidRDefault="00BB1E63" w:rsidP="006D33A6">
            <w:pPr>
              <w:pStyle w:val="TAL"/>
            </w:pPr>
            <w:r w:rsidRPr="00F66BE5">
              <w:t>2</w:t>
            </w:r>
          </w:p>
        </w:tc>
      </w:tr>
      <w:tr w:rsidR="00BB1E63" w:rsidRPr="00F66BE5" w14:paraId="3BB97F1D" w14:textId="77777777" w:rsidTr="006D33A6">
        <w:tc>
          <w:tcPr>
            <w:tcW w:w="1648" w:type="dxa"/>
          </w:tcPr>
          <w:p w14:paraId="1C7C40FA" w14:textId="77777777" w:rsidR="00BB1E63" w:rsidRPr="00F66BE5" w:rsidRDefault="00BB1E63" w:rsidP="006D33A6">
            <w:pPr>
              <w:pStyle w:val="TAL"/>
            </w:pPr>
            <w:r w:rsidRPr="00F66BE5">
              <w:t>Category 5</w:t>
            </w:r>
          </w:p>
        </w:tc>
        <w:tc>
          <w:tcPr>
            <w:tcW w:w="2093" w:type="dxa"/>
          </w:tcPr>
          <w:p w14:paraId="65D57EAD" w14:textId="77777777" w:rsidR="00BB1E63" w:rsidRPr="00F66BE5" w:rsidRDefault="00BB1E63" w:rsidP="006D33A6">
            <w:pPr>
              <w:pStyle w:val="TAL"/>
            </w:pPr>
            <w:r w:rsidRPr="00F66BE5">
              <w:t>299552</w:t>
            </w:r>
          </w:p>
        </w:tc>
        <w:tc>
          <w:tcPr>
            <w:tcW w:w="1819" w:type="dxa"/>
          </w:tcPr>
          <w:p w14:paraId="4A69941B" w14:textId="77777777" w:rsidR="00BB1E63" w:rsidRPr="00F66BE5" w:rsidRDefault="00BB1E63" w:rsidP="006D33A6">
            <w:pPr>
              <w:pStyle w:val="TAL"/>
            </w:pPr>
            <w:r w:rsidRPr="00F66BE5">
              <w:t>149776</w:t>
            </w:r>
          </w:p>
        </w:tc>
        <w:tc>
          <w:tcPr>
            <w:tcW w:w="1677" w:type="dxa"/>
            <w:shd w:val="clear" w:color="auto" w:fill="F2F2F2" w:themeFill="background1" w:themeFillShade="F2"/>
          </w:tcPr>
          <w:p w14:paraId="4F63A0CE" w14:textId="77777777" w:rsidR="00BB1E63" w:rsidRPr="009C104A" w:rsidRDefault="00BB1E63" w:rsidP="006D33A6">
            <w:pPr>
              <w:pStyle w:val="TAL"/>
            </w:pPr>
            <w:r w:rsidRPr="009C104A">
              <w:t>200</w:t>
            </w:r>
          </w:p>
        </w:tc>
        <w:tc>
          <w:tcPr>
            <w:tcW w:w="1825" w:type="dxa"/>
          </w:tcPr>
          <w:p w14:paraId="3C1CE63D" w14:textId="77777777" w:rsidR="00BB1E63" w:rsidRPr="00F66BE5" w:rsidRDefault="00BB1E63" w:rsidP="006D33A6">
            <w:pPr>
              <w:pStyle w:val="TAL"/>
            </w:pPr>
            <w:r w:rsidRPr="00F66BE5">
              <w:t>4</w:t>
            </w:r>
          </w:p>
        </w:tc>
      </w:tr>
    </w:tbl>
    <w:p w14:paraId="12B783F7" w14:textId="0E7AF905" w:rsidR="00E7782D" w:rsidRDefault="00E7782D" w:rsidP="008F5FB0">
      <w:pPr>
        <w:pStyle w:val="BodyText"/>
        <w:rPr>
          <w:rFonts w:ascii="Arial" w:hAnsi="Arial" w:cs="Arial"/>
        </w:rPr>
      </w:pPr>
    </w:p>
    <w:p w14:paraId="5D70B8CB" w14:textId="3E0477AD" w:rsidR="00BB1E63" w:rsidRDefault="00BB1E63" w:rsidP="008F5FB0">
      <w:pPr>
        <w:pStyle w:val="BodyText"/>
        <w:rPr>
          <w:rFonts w:ascii="Arial" w:hAnsi="Arial" w:cs="Arial"/>
        </w:rPr>
      </w:pPr>
      <w:r>
        <w:rPr>
          <w:rFonts w:ascii="Arial" w:hAnsi="Arial" w:cs="Arial"/>
        </w:rPr>
        <w:t xml:space="preserve">This basic framework can be easily extended to the case of </w:t>
      </w:r>
      <w:r w:rsidR="001E7F64">
        <w:rPr>
          <w:rFonts w:ascii="Arial" w:hAnsi="Arial" w:cs="Arial"/>
        </w:rPr>
        <w:t>LTE-NR dual connectivity with the exception that the largest code block sizes are different between LTE and NR. This can be handled in two ways.</w:t>
      </w:r>
    </w:p>
    <w:p w14:paraId="4C6FF7CC" w14:textId="22AD9350" w:rsidR="001E7F64" w:rsidRDefault="001E7F64" w:rsidP="008F5FB0">
      <w:pPr>
        <w:pStyle w:val="BodyText"/>
        <w:rPr>
          <w:rFonts w:ascii="Arial" w:hAnsi="Arial" w:cs="Arial"/>
        </w:rPr>
      </w:pPr>
      <w:r>
        <w:rPr>
          <w:rFonts w:ascii="Arial" w:hAnsi="Arial" w:cs="Arial"/>
        </w:rPr>
        <w:t>In the first approach, a UE capable of connecting to one LTE and one NR carriers can, e.g., be defined to support 133+100 code blocks. That is, the UE can store up to 133 LTE largest code blocks (6144 bits each) and 100 NR largest code blocks (8192 bits each). This however may be interpreted as having two separate soft buffers for LTE and NR, respectively. Such static partition of soft buffer memory between LTE and NR carriers will decrease the effectiveness of dynamic pooling of the soft buffer.</w:t>
      </w:r>
    </w:p>
    <w:p w14:paraId="18A151EE" w14:textId="7A138093" w:rsidR="001E7F64" w:rsidRDefault="001E7F64" w:rsidP="008F5FB0">
      <w:pPr>
        <w:pStyle w:val="BodyText"/>
        <w:rPr>
          <w:rFonts w:ascii="Arial" w:hAnsi="Arial" w:cs="Arial"/>
        </w:rPr>
      </w:pPr>
      <w:r>
        <w:rPr>
          <w:rFonts w:ascii="Arial" w:hAnsi="Arial" w:cs="Arial"/>
        </w:rPr>
        <w:t>In a second approach, a UE capable of connecting to one LTE and one NR carriers can</w:t>
      </w:r>
      <w:r w:rsidR="00F173EF">
        <w:rPr>
          <w:rFonts w:ascii="Arial" w:hAnsi="Arial" w:cs="Arial"/>
        </w:rPr>
        <w:t xml:space="preserve"> still </w:t>
      </w:r>
      <w:r>
        <w:rPr>
          <w:rFonts w:ascii="Arial" w:hAnsi="Arial" w:cs="Arial"/>
        </w:rPr>
        <w:t xml:space="preserve">be defined to support </w:t>
      </w:r>
      <w:r w:rsidR="00F173EF">
        <w:rPr>
          <w:rFonts w:ascii="Arial" w:hAnsi="Arial" w:cs="Arial"/>
        </w:rPr>
        <w:t>200</w:t>
      </w:r>
      <w:r>
        <w:rPr>
          <w:rFonts w:ascii="Arial" w:hAnsi="Arial" w:cs="Arial"/>
        </w:rPr>
        <w:t xml:space="preserve"> code blocks, where the code block size is according to NR (i.e., 8192). </w:t>
      </w:r>
      <w:r w:rsidR="00F173EF">
        <w:rPr>
          <w:rFonts w:ascii="Arial" w:hAnsi="Arial" w:cs="Arial"/>
        </w:rPr>
        <w:t>When the UE is configured with LTE-NR dual connectivity, it can implement different sharing policies. In one approach, it can simply partition the memory of 100 NR largest code blocks into 133 LTE largest code blocks. This however, will prevent storing more than 100 NR largest code blocks temporarily and thus reduces gains of dynamic pooling. Another better but still easy approach is to start storing the NR code blocks and LTE code blocks from the two ends of the total memory buffer. This will allow the storage of either carrier to temporarily cross the mid-point of the total memory buffer.</w:t>
      </w:r>
    </w:p>
    <w:p w14:paraId="18C20FB6" w14:textId="33F19035" w:rsidR="00DA7D33" w:rsidRPr="008F5FB0" w:rsidRDefault="00DA7D33" w:rsidP="00DA7D33">
      <w:pPr>
        <w:pStyle w:val="Heading1"/>
        <w:spacing w:before="180"/>
        <w:ind w:left="562" w:hanging="562"/>
        <w:rPr>
          <w:rFonts w:ascii="Arial" w:hAnsi="Arial"/>
        </w:rPr>
      </w:pPr>
      <w:r w:rsidRPr="008F5FB0">
        <w:rPr>
          <w:rFonts w:ascii="Arial" w:hAnsi="Arial"/>
        </w:rPr>
        <w:t>Conclusion</w:t>
      </w:r>
    </w:p>
    <w:p w14:paraId="6E406A78" w14:textId="77777777" w:rsidR="000545D7" w:rsidRPr="000545D7" w:rsidRDefault="000545D7" w:rsidP="000545D7">
      <w:pPr>
        <w:pStyle w:val="BodyText"/>
        <w:rPr>
          <w:rFonts w:ascii="Arial" w:hAnsi="Arial" w:cs="Arial"/>
          <w:b/>
        </w:rPr>
      </w:pPr>
      <w:r w:rsidRPr="000545D7">
        <w:rPr>
          <w:rFonts w:ascii="Arial" w:hAnsi="Arial" w:cs="Arial"/>
          <w:b/>
        </w:rPr>
        <w:t>Proposal 1 LTE and NR carriers can share the soft buffer dynamically to increase effectiveness of the soft buffer memory.</w:t>
      </w:r>
    </w:p>
    <w:p w14:paraId="384171E2" w14:textId="77777777" w:rsidR="000545D7" w:rsidRPr="000545D7" w:rsidRDefault="000545D7" w:rsidP="000545D7">
      <w:pPr>
        <w:pStyle w:val="BodyText"/>
        <w:rPr>
          <w:rFonts w:ascii="Arial" w:hAnsi="Arial" w:cs="Arial"/>
          <w:b/>
        </w:rPr>
      </w:pPr>
      <w:r w:rsidRPr="000545D7">
        <w:rPr>
          <w:rFonts w:ascii="Arial" w:hAnsi="Arial" w:cs="Arial"/>
          <w:b/>
        </w:rPr>
        <w:t>Proposal 2 A UE category for LTE-NR dual connectivity is no different than a UE category supporting the same total number of connected carriers.</w:t>
      </w:r>
    </w:p>
    <w:p w14:paraId="12D1673C" w14:textId="77777777" w:rsidR="00C641C9" w:rsidRPr="008F5FB0" w:rsidRDefault="00C641C9" w:rsidP="00C641C9">
      <w:pPr>
        <w:pStyle w:val="Heading1"/>
        <w:rPr>
          <w:rFonts w:ascii="Arial" w:hAnsi="Arial"/>
        </w:rPr>
      </w:pPr>
      <w:r w:rsidRPr="008F5FB0">
        <w:rPr>
          <w:rFonts w:ascii="Arial" w:hAnsi="Arial"/>
        </w:rPr>
        <w:t>References</w:t>
      </w:r>
    </w:p>
    <w:p w14:paraId="157766D3" w14:textId="07DC1632" w:rsidR="00D42546" w:rsidRDefault="00F52773" w:rsidP="00D42546">
      <w:pPr>
        <w:pStyle w:val="Reference"/>
        <w:rPr>
          <w:rFonts w:cs="Arial"/>
          <w:lang w:val="en-US"/>
        </w:rPr>
      </w:pPr>
      <w:bookmarkStart w:id="3" w:name="_Ref490053969"/>
      <w:bookmarkStart w:id="4" w:name="_Ref473934775"/>
      <w:bookmarkStart w:id="5" w:name="_Ref481744756"/>
      <w:bookmarkStart w:id="6" w:name="_Ref484609843"/>
      <w:bookmarkStart w:id="7" w:name="_Ref174151459"/>
      <w:bookmarkStart w:id="8" w:name="_Ref189809556"/>
      <w:r>
        <w:rPr>
          <w:rFonts w:cs="Arial"/>
          <w:lang w:val="en-US"/>
        </w:rPr>
        <w:t>R1-1714442</w:t>
      </w:r>
      <w:bookmarkStart w:id="9" w:name="_GoBack"/>
      <w:bookmarkEnd w:id="9"/>
      <w:r w:rsidR="00D42546">
        <w:rPr>
          <w:rFonts w:cs="Arial"/>
          <w:lang w:val="en-US"/>
        </w:rPr>
        <w:t xml:space="preserve"> </w:t>
      </w:r>
      <w:r w:rsidR="00D42546" w:rsidRPr="00D42546">
        <w:rPr>
          <w:rFonts w:cs="Arial"/>
          <w:lang w:val="en-US"/>
        </w:rPr>
        <w:t>On HARQ and Soft Buffer Handling</w:t>
      </w:r>
      <w:r w:rsidR="00D42546">
        <w:rPr>
          <w:rFonts w:cs="Arial"/>
          <w:lang w:val="en-US"/>
        </w:rPr>
        <w:t>, Ericsson</w:t>
      </w:r>
      <w:bookmarkEnd w:id="3"/>
    </w:p>
    <w:bookmarkEnd w:id="4"/>
    <w:bookmarkEnd w:id="5"/>
    <w:bookmarkEnd w:id="6"/>
    <w:bookmarkEnd w:id="7"/>
    <w:bookmarkEnd w:id="8"/>
    <w:p w14:paraId="771286D0" w14:textId="77777777" w:rsidR="00D42546" w:rsidRDefault="00D42546" w:rsidP="00D42546">
      <w:pPr>
        <w:pStyle w:val="Reference"/>
        <w:numPr>
          <w:ilvl w:val="0"/>
          <w:numId w:val="0"/>
        </w:numPr>
        <w:ind w:left="567" w:hanging="567"/>
        <w:rPr>
          <w:rFonts w:cs="Arial"/>
          <w:lang w:val="en-US"/>
        </w:rPr>
      </w:pPr>
    </w:p>
    <w:sectPr w:rsidR="00D42546"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EE0F1" w14:textId="77777777" w:rsidR="004B014C" w:rsidRDefault="004B014C" w:rsidP="00C01A55">
      <w:r>
        <w:separator/>
      </w:r>
    </w:p>
  </w:endnote>
  <w:endnote w:type="continuationSeparator" w:id="0">
    <w:p w14:paraId="09AFA723" w14:textId="77777777" w:rsidR="004B014C" w:rsidRDefault="004B014C"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B6ED5" w14:textId="77777777" w:rsidR="00227A54" w:rsidRDefault="00227A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B1BC3" w14:textId="77777777" w:rsidR="00227A54" w:rsidRDefault="00227A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EC727" w14:textId="77777777" w:rsidR="00227A54" w:rsidRDefault="00227A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61AB9" w14:textId="77777777" w:rsidR="004B014C" w:rsidRDefault="004B014C" w:rsidP="00C01A55">
      <w:r>
        <w:separator/>
      </w:r>
    </w:p>
  </w:footnote>
  <w:footnote w:type="continuationSeparator" w:id="0">
    <w:p w14:paraId="7CD26C24" w14:textId="77777777" w:rsidR="004B014C" w:rsidRDefault="004B014C" w:rsidP="00C0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0EAA9" w14:textId="77777777" w:rsidR="00227A54" w:rsidRDefault="00227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0B3DA" w14:textId="77777777" w:rsidR="00227A54" w:rsidRDefault="00227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79460" w14:textId="77777777" w:rsidR="00227A54" w:rsidRDefault="00227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E3F33"/>
    <w:multiLevelType w:val="hybridMultilevel"/>
    <w:tmpl w:val="B7663A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Symbol" w:hAnsi="Symbol"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7485E45"/>
    <w:multiLevelType w:val="hybridMultilevel"/>
    <w:tmpl w:val="70F4E1E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94D51"/>
    <w:multiLevelType w:val="hybridMultilevel"/>
    <w:tmpl w:val="D84A3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219D1"/>
    <w:multiLevelType w:val="hybridMultilevel"/>
    <w:tmpl w:val="62002D82"/>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1">
      <w:start w:val="1"/>
      <w:numFmt w:val="bullet"/>
      <w:lvlText w:val=""/>
      <w:lvlJc w:val="left"/>
      <w:pPr>
        <w:ind w:left="2940" w:hanging="360"/>
      </w:pPr>
      <w:rPr>
        <w:rFonts w:ascii="Symbol" w:hAnsi="Symbol"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30" w15:restartNumberingAfterBreak="0">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64C20"/>
    <w:multiLevelType w:val="hybridMultilevel"/>
    <w:tmpl w:val="7ED2E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2"/>
  </w:num>
  <w:num w:numId="3">
    <w:abstractNumId w:val="1"/>
  </w:num>
  <w:num w:numId="4">
    <w:abstractNumId w:val="38"/>
  </w:num>
  <w:num w:numId="5">
    <w:abstractNumId w:val="35"/>
  </w:num>
  <w:num w:numId="6">
    <w:abstractNumId w:val="28"/>
  </w:num>
  <w:num w:numId="7">
    <w:abstractNumId w:val="37"/>
  </w:num>
  <w:num w:numId="8">
    <w:abstractNumId w:val="36"/>
  </w:num>
  <w:num w:numId="9">
    <w:abstractNumId w:val="15"/>
  </w:num>
  <w:num w:numId="10">
    <w:abstractNumId w:val="7"/>
  </w:num>
  <w:num w:numId="11">
    <w:abstractNumId w:val="25"/>
  </w:num>
  <w:num w:numId="12">
    <w:abstractNumId w:val="39"/>
  </w:num>
  <w:num w:numId="13">
    <w:abstractNumId w:val="4"/>
  </w:num>
  <w:num w:numId="14">
    <w:abstractNumId w:val="8"/>
  </w:num>
  <w:num w:numId="15">
    <w:abstractNumId w:val="19"/>
  </w:num>
  <w:num w:numId="16">
    <w:abstractNumId w:val="9"/>
  </w:num>
  <w:num w:numId="17">
    <w:abstractNumId w:val="38"/>
  </w:num>
  <w:num w:numId="18">
    <w:abstractNumId w:val="24"/>
  </w:num>
  <w:num w:numId="19">
    <w:abstractNumId w:val="31"/>
  </w:num>
  <w:num w:numId="20">
    <w:abstractNumId w:val="14"/>
  </w:num>
  <w:num w:numId="21">
    <w:abstractNumId w:val="12"/>
  </w:num>
  <w:num w:numId="22">
    <w:abstractNumId w:val="33"/>
  </w:num>
  <w:num w:numId="23">
    <w:abstractNumId w:val="17"/>
  </w:num>
  <w:num w:numId="24">
    <w:abstractNumId w:val="16"/>
  </w:num>
  <w:num w:numId="25">
    <w:abstractNumId w:val="21"/>
  </w:num>
  <w:num w:numId="26">
    <w:abstractNumId w:val="27"/>
  </w:num>
  <w:num w:numId="27">
    <w:abstractNumId w:val="18"/>
  </w:num>
  <w:num w:numId="28">
    <w:abstractNumId w:val="29"/>
  </w:num>
  <w:num w:numId="29">
    <w:abstractNumId w:val="6"/>
  </w:num>
  <w:num w:numId="30">
    <w:abstractNumId w:val="5"/>
  </w:num>
  <w:num w:numId="31">
    <w:abstractNumId w:val="32"/>
  </w:num>
  <w:num w:numId="32">
    <w:abstractNumId w:val="0"/>
  </w:num>
  <w:num w:numId="33">
    <w:abstractNumId w:val="23"/>
  </w:num>
  <w:num w:numId="34">
    <w:abstractNumId w:val="10"/>
  </w:num>
  <w:num w:numId="35">
    <w:abstractNumId w:val="2"/>
  </w:num>
  <w:num w:numId="36">
    <w:abstractNumId w:val="3"/>
  </w:num>
  <w:num w:numId="37">
    <w:abstractNumId w:val="34"/>
  </w:num>
  <w:num w:numId="38">
    <w:abstractNumId w:val="26"/>
  </w:num>
  <w:num w:numId="39">
    <w:abstractNumId w:val="20"/>
  </w:num>
  <w:num w:numId="40">
    <w:abstractNumId w:val="13"/>
  </w:num>
  <w:num w:numId="41">
    <w:abstractNumId w:val="30"/>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3EDF"/>
    <w:rsid w:val="000208D5"/>
    <w:rsid w:val="00022B6A"/>
    <w:rsid w:val="00024F13"/>
    <w:rsid w:val="000545D7"/>
    <w:rsid w:val="00060F67"/>
    <w:rsid w:val="0008456D"/>
    <w:rsid w:val="00084922"/>
    <w:rsid w:val="00093FC4"/>
    <w:rsid w:val="00106ABF"/>
    <w:rsid w:val="00117D16"/>
    <w:rsid w:val="00181E36"/>
    <w:rsid w:val="001B243C"/>
    <w:rsid w:val="001D27D9"/>
    <w:rsid w:val="001D6390"/>
    <w:rsid w:val="001E7F64"/>
    <w:rsid w:val="001F0CAF"/>
    <w:rsid w:val="0020769E"/>
    <w:rsid w:val="00213303"/>
    <w:rsid w:val="002144CE"/>
    <w:rsid w:val="0022072F"/>
    <w:rsid w:val="00227A54"/>
    <w:rsid w:val="00230310"/>
    <w:rsid w:val="0024148E"/>
    <w:rsid w:val="00247FAB"/>
    <w:rsid w:val="0028065B"/>
    <w:rsid w:val="00286B6D"/>
    <w:rsid w:val="00292665"/>
    <w:rsid w:val="00295CDC"/>
    <w:rsid w:val="002C613C"/>
    <w:rsid w:val="002D3036"/>
    <w:rsid w:val="002E444B"/>
    <w:rsid w:val="0034475B"/>
    <w:rsid w:val="00360749"/>
    <w:rsid w:val="003C5838"/>
    <w:rsid w:val="003D3014"/>
    <w:rsid w:val="003F33ED"/>
    <w:rsid w:val="00407725"/>
    <w:rsid w:val="00426E2E"/>
    <w:rsid w:val="00427CD7"/>
    <w:rsid w:val="00434CD6"/>
    <w:rsid w:val="0048093F"/>
    <w:rsid w:val="0049799A"/>
    <w:rsid w:val="004A5A0F"/>
    <w:rsid w:val="004B014C"/>
    <w:rsid w:val="004B1C8B"/>
    <w:rsid w:val="004C43E7"/>
    <w:rsid w:val="00514E06"/>
    <w:rsid w:val="0052140E"/>
    <w:rsid w:val="00546EB1"/>
    <w:rsid w:val="00547BB3"/>
    <w:rsid w:val="005514B5"/>
    <w:rsid w:val="00574BA1"/>
    <w:rsid w:val="005838EA"/>
    <w:rsid w:val="00627565"/>
    <w:rsid w:val="00635AA4"/>
    <w:rsid w:val="0064713B"/>
    <w:rsid w:val="00655332"/>
    <w:rsid w:val="0066079C"/>
    <w:rsid w:val="006660F3"/>
    <w:rsid w:val="006A286A"/>
    <w:rsid w:val="006B1453"/>
    <w:rsid w:val="006B443A"/>
    <w:rsid w:val="006B481E"/>
    <w:rsid w:val="006D4A4B"/>
    <w:rsid w:val="006E7782"/>
    <w:rsid w:val="007059CD"/>
    <w:rsid w:val="00723964"/>
    <w:rsid w:val="007469D3"/>
    <w:rsid w:val="00772E80"/>
    <w:rsid w:val="007A0208"/>
    <w:rsid w:val="007B42B7"/>
    <w:rsid w:val="007C6A4A"/>
    <w:rsid w:val="007C7533"/>
    <w:rsid w:val="008025CA"/>
    <w:rsid w:val="00813D98"/>
    <w:rsid w:val="00845ED1"/>
    <w:rsid w:val="00861354"/>
    <w:rsid w:val="008808D2"/>
    <w:rsid w:val="008A0342"/>
    <w:rsid w:val="008B1A2F"/>
    <w:rsid w:val="008D5332"/>
    <w:rsid w:val="008F5FB0"/>
    <w:rsid w:val="00901B24"/>
    <w:rsid w:val="00914676"/>
    <w:rsid w:val="00916E30"/>
    <w:rsid w:val="00924E96"/>
    <w:rsid w:val="00942F98"/>
    <w:rsid w:val="009867D7"/>
    <w:rsid w:val="00990B5F"/>
    <w:rsid w:val="009A0611"/>
    <w:rsid w:val="009C104A"/>
    <w:rsid w:val="009C299B"/>
    <w:rsid w:val="009E46CD"/>
    <w:rsid w:val="00A057EA"/>
    <w:rsid w:val="00A627AF"/>
    <w:rsid w:val="00A857BB"/>
    <w:rsid w:val="00A9327B"/>
    <w:rsid w:val="00A96D77"/>
    <w:rsid w:val="00AC1F7D"/>
    <w:rsid w:val="00B03ED8"/>
    <w:rsid w:val="00B05159"/>
    <w:rsid w:val="00B27C2D"/>
    <w:rsid w:val="00B368D9"/>
    <w:rsid w:val="00BA4CC0"/>
    <w:rsid w:val="00BB1E63"/>
    <w:rsid w:val="00BB2430"/>
    <w:rsid w:val="00BB7B54"/>
    <w:rsid w:val="00BC0FFC"/>
    <w:rsid w:val="00BC202A"/>
    <w:rsid w:val="00BD030B"/>
    <w:rsid w:val="00BE1F25"/>
    <w:rsid w:val="00BE4063"/>
    <w:rsid w:val="00C01A55"/>
    <w:rsid w:val="00C11A79"/>
    <w:rsid w:val="00C1560A"/>
    <w:rsid w:val="00C25EC4"/>
    <w:rsid w:val="00C36063"/>
    <w:rsid w:val="00C51999"/>
    <w:rsid w:val="00C62894"/>
    <w:rsid w:val="00C641C9"/>
    <w:rsid w:val="00C8496C"/>
    <w:rsid w:val="00CA5E5D"/>
    <w:rsid w:val="00CB3C3F"/>
    <w:rsid w:val="00CB5A40"/>
    <w:rsid w:val="00CC1CA7"/>
    <w:rsid w:val="00CC260C"/>
    <w:rsid w:val="00CE17A5"/>
    <w:rsid w:val="00CE6CB0"/>
    <w:rsid w:val="00D03072"/>
    <w:rsid w:val="00D03E47"/>
    <w:rsid w:val="00D42546"/>
    <w:rsid w:val="00D42C77"/>
    <w:rsid w:val="00D577BB"/>
    <w:rsid w:val="00D6598B"/>
    <w:rsid w:val="00D754C4"/>
    <w:rsid w:val="00D84D5E"/>
    <w:rsid w:val="00D907C7"/>
    <w:rsid w:val="00DA7D33"/>
    <w:rsid w:val="00DB6F36"/>
    <w:rsid w:val="00DD11CB"/>
    <w:rsid w:val="00DE0D8A"/>
    <w:rsid w:val="00DE1BAA"/>
    <w:rsid w:val="00DF0BF6"/>
    <w:rsid w:val="00DF5CA9"/>
    <w:rsid w:val="00E06F73"/>
    <w:rsid w:val="00E10C1F"/>
    <w:rsid w:val="00E15BCE"/>
    <w:rsid w:val="00E20E32"/>
    <w:rsid w:val="00E7782D"/>
    <w:rsid w:val="00E87FFB"/>
    <w:rsid w:val="00E9031E"/>
    <w:rsid w:val="00EB26FB"/>
    <w:rsid w:val="00EC06DD"/>
    <w:rsid w:val="00EE5AE8"/>
    <w:rsid w:val="00F173EF"/>
    <w:rsid w:val="00F23E4F"/>
    <w:rsid w:val="00F33C5D"/>
    <w:rsid w:val="00F346B4"/>
    <w:rsid w:val="00F52773"/>
    <w:rsid w:val="00F618ED"/>
    <w:rsid w:val="00F81C1C"/>
    <w:rsid w:val="00F92325"/>
    <w:rsid w:val="00F92540"/>
    <w:rsid w:val="00FC3DF6"/>
    <w:rsid w:val="00FC7A68"/>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C80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32"/>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32"/>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32"/>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32"/>
      </w:numPr>
      <w:spacing w:before="240" w:after="60"/>
      <w:outlineLvl w:val="3"/>
    </w:pPr>
    <w:rPr>
      <w:rFonts w:eastAsia="MS Mincho"/>
      <w:b/>
      <w:bCs/>
      <w:sz w:val="28"/>
      <w:szCs w:val="28"/>
    </w:rPr>
  </w:style>
  <w:style w:type="paragraph" w:styleId="Heading5">
    <w:name w:val="heading 5"/>
    <w:basedOn w:val="Heading4"/>
    <w:next w:val="Normal"/>
    <w:link w:val="Heading5Char"/>
    <w:qFormat/>
    <w:rsid w:val="00C641C9"/>
    <w:pPr>
      <w:keepLines/>
      <w:numPr>
        <w:ilvl w:val="4"/>
      </w:numPr>
      <w:overflowPunct w:val="0"/>
      <w:autoSpaceDE w:val="0"/>
      <w:autoSpaceDN w:val="0"/>
      <w:adjustRightInd w:val="0"/>
      <w:spacing w:before="120" w:after="180"/>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C641C9"/>
    <w:pPr>
      <w:keepNext/>
      <w:keepLines/>
      <w:numPr>
        <w:ilvl w:val="5"/>
        <w:numId w:val="32"/>
      </w:numPr>
      <w:overflowPunct w:val="0"/>
      <w:autoSpaceDE w:val="0"/>
      <w:autoSpaceDN w:val="0"/>
      <w:adjustRightInd w:val="0"/>
      <w:spacing w:before="120" w:after="120"/>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C641C9"/>
    <w:pPr>
      <w:keepNext/>
      <w:keepLines/>
      <w:numPr>
        <w:ilvl w:val="6"/>
        <w:numId w:val="32"/>
      </w:numPr>
      <w:overflowPunct w:val="0"/>
      <w:autoSpaceDE w:val="0"/>
      <w:autoSpaceDN w:val="0"/>
      <w:adjustRightInd w:val="0"/>
      <w:spacing w:before="120" w:after="120"/>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C641C9"/>
    <w:pPr>
      <w:numPr>
        <w:ilvl w:val="7"/>
      </w:numPr>
      <w:outlineLvl w:val="7"/>
    </w:pPr>
  </w:style>
  <w:style w:type="paragraph" w:styleId="Heading9">
    <w:name w:val="heading 9"/>
    <w:basedOn w:val="Heading8"/>
    <w:next w:val="Normal"/>
    <w:link w:val="Heading9Char"/>
    <w:qFormat/>
    <w:rsid w:val="00C641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 w:type="paragraph" w:customStyle="1" w:styleId="3GPPHeader">
    <w:name w:val="3GPP_Header"/>
    <w:basedOn w:val="Normal"/>
    <w:rsid w:val="00A9327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Heading5Char">
    <w:name w:val="Heading 5 Char"/>
    <w:basedOn w:val="DefaultParagraphFont"/>
    <w:link w:val="Heading5"/>
    <w:rsid w:val="00C641C9"/>
    <w:rPr>
      <w:rFonts w:ascii="Arial" w:hAnsi="Arial" w:cs="Arial"/>
      <w:lang w:val="en-GB" w:eastAsia="zh-CN"/>
    </w:rPr>
  </w:style>
  <w:style w:type="character" w:customStyle="1" w:styleId="Heading6Char">
    <w:name w:val="Heading 6 Char"/>
    <w:basedOn w:val="DefaultParagraphFont"/>
    <w:link w:val="Heading6"/>
    <w:rsid w:val="00C641C9"/>
    <w:rPr>
      <w:rFonts w:ascii="Arial" w:hAnsi="Arial" w:cs="Arial"/>
      <w:sz w:val="20"/>
      <w:szCs w:val="20"/>
      <w:lang w:val="en-GB" w:eastAsia="zh-CN"/>
    </w:rPr>
  </w:style>
  <w:style w:type="character" w:customStyle="1" w:styleId="Heading7Char">
    <w:name w:val="Heading 7 Char"/>
    <w:basedOn w:val="DefaultParagraphFont"/>
    <w:link w:val="Heading7"/>
    <w:rsid w:val="00C641C9"/>
    <w:rPr>
      <w:rFonts w:ascii="Arial" w:hAnsi="Arial" w:cs="Arial"/>
      <w:sz w:val="20"/>
      <w:szCs w:val="20"/>
      <w:lang w:val="en-GB" w:eastAsia="zh-CN"/>
    </w:rPr>
  </w:style>
  <w:style w:type="character" w:customStyle="1" w:styleId="Heading8Char">
    <w:name w:val="Heading 8 Char"/>
    <w:basedOn w:val="DefaultParagraphFont"/>
    <w:link w:val="Heading8"/>
    <w:rsid w:val="00C641C9"/>
    <w:rPr>
      <w:rFonts w:ascii="Arial" w:hAnsi="Arial" w:cs="Arial"/>
      <w:sz w:val="20"/>
      <w:szCs w:val="20"/>
      <w:lang w:val="en-GB" w:eastAsia="zh-CN"/>
    </w:rPr>
  </w:style>
  <w:style w:type="character" w:customStyle="1" w:styleId="Heading9Char">
    <w:name w:val="Heading 9 Char"/>
    <w:basedOn w:val="DefaultParagraphFont"/>
    <w:link w:val="Heading9"/>
    <w:rsid w:val="00C641C9"/>
    <w:rPr>
      <w:rFonts w:ascii="Arial" w:hAnsi="Arial" w:cs="Arial"/>
      <w:sz w:val="20"/>
      <w:szCs w:val="20"/>
      <w:lang w:val="en-GB" w:eastAsia="zh-CN"/>
    </w:rPr>
  </w:style>
  <w:style w:type="paragraph" w:customStyle="1" w:styleId="Reference">
    <w:name w:val="Reference"/>
    <w:basedOn w:val="Normal"/>
    <w:rsid w:val="00C641C9"/>
    <w:pPr>
      <w:numPr>
        <w:numId w:val="33"/>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IvDbodytext">
    <w:name w:val="IvD bodytext"/>
    <w:basedOn w:val="BodyText"/>
    <w:link w:val="IvDbodytextChar"/>
    <w:qFormat/>
    <w:rsid w:val="008F5FB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DefaultParagraphFont"/>
    <w:link w:val="IvDbodytext"/>
    <w:rsid w:val="008F5FB0"/>
    <w:rPr>
      <w:rFonts w:ascii="Arial" w:hAnsi="Arial"/>
      <w:spacing w:val="2"/>
      <w:sz w:val="20"/>
      <w:szCs w:val="20"/>
    </w:rPr>
  </w:style>
  <w:style w:type="paragraph" w:customStyle="1" w:styleId="TAL">
    <w:name w:val="TAL"/>
    <w:basedOn w:val="Normal"/>
    <w:link w:val="TALCar"/>
    <w:rsid w:val="009C104A"/>
    <w:pPr>
      <w:keepNext/>
      <w:keepLines/>
    </w:pPr>
    <w:rPr>
      <w:rFonts w:ascii="Arial" w:hAnsi="Arial"/>
      <w:sz w:val="18"/>
      <w:szCs w:val="20"/>
      <w:lang w:val="en-GB"/>
    </w:rPr>
  </w:style>
  <w:style w:type="paragraph" w:customStyle="1" w:styleId="TAH">
    <w:name w:val="TAH"/>
    <w:basedOn w:val="Normal"/>
    <w:rsid w:val="009C104A"/>
    <w:pPr>
      <w:keepNext/>
      <w:keepLines/>
      <w:jc w:val="center"/>
    </w:pPr>
    <w:rPr>
      <w:rFonts w:ascii="Arial" w:hAnsi="Arial"/>
      <w:b/>
      <w:sz w:val="18"/>
      <w:szCs w:val="20"/>
      <w:lang w:val="en-GB"/>
    </w:rPr>
  </w:style>
  <w:style w:type="character" w:customStyle="1" w:styleId="TALCar">
    <w:name w:val="TAL Car"/>
    <w:basedOn w:val="DefaultParagraphFont"/>
    <w:link w:val="TAL"/>
    <w:rsid w:val="009C104A"/>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01333-8C83-4A87-AF44-20859B4D1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748</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2017-08-11T15:47:00Z</dcterms:created>
  <dcterms:modified xsi:type="dcterms:W3CDTF">2017-08-11T15:47:00Z</dcterms:modified>
</cp:coreProperties>
</file>