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AC8" w:rsidRPr="00861FB6" w:rsidRDefault="004B6AC8" w:rsidP="004B6AC8">
      <w:pPr>
        <w:tabs>
          <w:tab w:val="center" w:pos="4536"/>
          <w:tab w:val="right" w:pos="8280"/>
          <w:tab w:val="right" w:pos="9781"/>
        </w:tabs>
        <w:spacing w:after="0"/>
        <w:ind w:right="-58"/>
        <w:rPr>
          <w:rFonts w:ascii="Arial" w:hAnsi="Arial" w:cs="Arial"/>
          <w:b/>
          <w:bCs/>
          <w:sz w:val="24"/>
          <w:szCs w:val="24"/>
        </w:rPr>
      </w:pPr>
      <w:r w:rsidRPr="00861FB6">
        <w:rPr>
          <w:rFonts w:ascii="Arial" w:hAnsi="Arial" w:cs="Arial"/>
          <w:b/>
          <w:bCs/>
          <w:sz w:val="24"/>
          <w:szCs w:val="24"/>
        </w:rPr>
        <w:t>3GPP TSG RAN WG1 Meeting #</w:t>
      </w:r>
      <w:r w:rsidRPr="00861FB6">
        <w:rPr>
          <w:rFonts w:ascii="Arial" w:eastAsia="MS Mincho" w:hAnsi="Arial" w:cs="Arial" w:hint="eastAsia"/>
          <w:b/>
          <w:bCs/>
          <w:sz w:val="24"/>
          <w:szCs w:val="24"/>
          <w:lang w:eastAsia="ja-JP"/>
        </w:rPr>
        <w:t>90</w:t>
      </w:r>
      <w:r w:rsidRPr="00861FB6">
        <w:rPr>
          <w:rFonts w:ascii="Arial" w:hAnsi="Arial" w:cs="Arial" w:hint="eastAsia"/>
          <w:b/>
          <w:bCs/>
          <w:sz w:val="24"/>
          <w:szCs w:val="24"/>
        </w:rPr>
        <w:t xml:space="preserve">               </w:t>
      </w:r>
      <w:r w:rsidRPr="00861FB6">
        <w:rPr>
          <w:rFonts w:ascii="Arial" w:eastAsia="MS Mincho" w:hAnsi="Arial" w:cs="Arial" w:hint="eastAsia"/>
          <w:b/>
          <w:bCs/>
          <w:sz w:val="24"/>
          <w:szCs w:val="24"/>
          <w:lang w:eastAsia="ja-JP"/>
        </w:rPr>
        <w:t xml:space="preserve">                             </w:t>
      </w:r>
      <w:r w:rsidRPr="00861FB6">
        <w:rPr>
          <w:rFonts w:ascii="Arial" w:hAnsi="Arial" w:cs="Arial"/>
          <w:b/>
          <w:bCs/>
          <w:sz w:val="24"/>
          <w:szCs w:val="24"/>
        </w:rPr>
        <w:tab/>
      </w:r>
      <w:r>
        <w:rPr>
          <w:rFonts w:ascii="Arial" w:hAnsi="Arial" w:cs="Arial"/>
          <w:b/>
          <w:bCs/>
          <w:sz w:val="24"/>
          <w:szCs w:val="24"/>
        </w:rPr>
        <w:tab/>
      </w:r>
      <w:r w:rsidRPr="00861FB6">
        <w:rPr>
          <w:rFonts w:ascii="Arial" w:hAnsi="Arial" w:cs="Arial"/>
          <w:b/>
          <w:bCs/>
          <w:sz w:val="24"/>
          <w:szCs w:val="24"/>
        </w:rPr>
        <w:t>R1-1</w:t>
      </w:r>
      <w:r w:rsidRPr="00861FB6">
        <w:rPr>
          <w:rFonts w:ascii="Arial" w:eastAsia="MS Mincho" w:hAnsi="Arial" w:cs="Arial" w:hint="eastAsia"/>
          <w:b/>
          <w:bCs/>
          <w:sz w:val="24"/>
          <w:szCs w:val="24"/>
          <w:lang w:eastAsia="ja-JP"/>
        </w:rPr>
        <w:t>7</w:t>
      </w:r>
      <w:r>
        <w:rPr>
          <w:rFonts w:ascii="Arial" w:hAnsi="Arial" w:cs="Arial"/>
          <w:b/>
          <w:bCs/>
          <w:sz w:val="24"/>
          <w:szCs w:val="24"/>
        </w:rPr>
        <w:t>14087</w:t>
      </w:r>
    </w:p>
    <w:p w:rsidR="004B6AC8" w:rsidRPr="00861FB6" w:rsidRDefault="004B6AC8" w:rsidP="004B6AC8">
      <w:pPr>
        <w:tabs>
          <w:tab w:val="center" w:pos="4536"/>
          <w:tab w:val="right" w:pos="9072"/>
        </w:tabs>
        <w:rPr>
          <w:rFonts w:ascii="Arial" w:eastAsia="MS Mincho" w:hAnsi="Arial" w:cs="Arial"/>
          <w:b/>
          <w:bCs/>
          <w:sz w:val="24"/>
          <w:szCs w:val="24"/>
          <w:lang w:eastAsia="ja-JP"/>
        </w:rPr>
      </w:pPr>
      <w:r w:rsidRPr="00861FB6">
        <w:rPr>
          <w:rFonts w:ascii="Arial" w:eastAsia="MS Mincho" w:hAnsi="Arial" w:cs="Arial" w:hint="eastAsia"/>
          <w:b/>
          <w:bCs/>
          <w:sz w:val="24"/>
          <w:szCs w:val="24"/>
          <w:lang w:eastAsia="ja-JP"/>
        </w:rPr>
        <w:t>Prague</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P.R. Czechia</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 xml:space="preserve">21th </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25th</w:t>
      </w:r>
      <w:r w:rsidRPr="00861FB6">
        <w:rPr>
          <w:rFonts w:ascii="Arial" w:hAnsi="Arial" w:cs="Arial"/>
          <w:b/>
          <w:bCs/>
          <w:sz w:val="24"/>
          <w:szCs w:val="24"/>
        </w:rPr>
        <w:t xml:space="preserve"> </w:t>
      </w:r>
      <w:r w:rsidRPr="00861FB6">
        <w:rPr>
          <w:rFonts w:ascii="Arial" w:eastAsia="MS Mincho" w:hAnsi="Arial" w:cs="Arial" w:hint="eastAsia"/>
          <w:b/>
          <w:bCs/>
          <w:sz w:val="24"/>
          <w:szCs w:val="24"/>
          <w:lang w:eastAsia="ja-JP"/>
        </w:rPr>
        <w:t>August</w:t>
      </w:r>
      <w:r w:rsidRPr="00861FB6">
        <w:rPr>
          <w:rFonts w:ascii="Arial" w:hAnsi="Arial" w:cs="Arial"/>
          <w:b/>
          <w:bCs/>
          <w:sz w:val="24"/>
          <w:szCs w:val="24"/>
        </w:rPr>
        <w:t xml:space="preserve"> 201</w:t>
      </w:r>
      <w:r w:rsidRPr="00861FB6">
        <w:rPr>
          <w:rFonts w:ascii="Arial" w:eastAsia="MS Mincho" w:hAnsi="Arial" w:cs="Arial" w:hint="eastAsia"/>
          <w:b/>
          <w:bCs/>
          <w:sz w:val="24"/>
          <w:szCs w:val="24"/>
          <w:lang w:eastAsia="ja-JP"/>
        </w:rPr>
        <w:t>7</w:t>
      </w:r>
    </w:p>
    <w:p w:rsidR="004B6AC8" w:rsidRPr="009C718A" w:rsidRDefault="004B6AC8" w:rsidP="004B6AC8">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6.1.3.3.1.3</w:t>
      </w:r>
    </w:p>
    <w:p w:rsidR="004B6AC8" w:rsidRPr="009C718A" w:rsidRDefault="004B6AC8" w:rsidP="004B6AC8">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4B6AC8" w:rsidRPr="009C718A" w:rsidRDefault="004B6AC8" w:rsidP="004B6AC8">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r w:rsidRPr="009C718A">
        <w:rPr>
          <w:rFonts w:ascii="Arial" w:hAnsi="Arial"/>
          <w:b/>
          <w:sz w:val="24"/>
          <w:szCs w:val="24"/>
        </w:rPr>
        <w:tab/>
      </w:r>
      <w:r>
        <w:rPr>
          <w:rFonts w:ascii="Arial" w:hAnsi="Arial"/>
          <w:b/>
          <w:sz w:val="24"/>
          <w:szCs w:val="24"/>
        </w:rPr>
        <w:t>TBS determination</w:t>
      </w:r>
    </w:p>
    <w:p w:rsidR="004B6AC8" w:rsidRPr="009C718A" w:rsidRDefault="004B6AC8" w:rsidP="004B6AC8">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4B6AC8" w:rsidRDefault="004B6AC8" w:rsidP="004B6AC8">
      <w:pPr>
        <w:rPr>
          <w:rFonts w:ascii="Times New Roman" w:hAnsi="Times New Roman" w:cs="Times New Roman"/>
          <w:sz w:val="20"/>
          <w:szCs w:val="20"/>
        </w:rPr>
      </w:pPr>
      <w:r>
        <w:rPr>
          <w:rFonts w:ascii="Times New Roman" w:hAnsi="Times New Roman" w:cs="Times New Roman"/>
          <w:sz w:val="20"/>
          <w:szCs w:val="20"/>
        </w:rPr>
        <w:t>----------------------------------------------------------------------------------------------------------------------------------------------------</w:t>
      </w:r>
    </w:p>
    <w:p w:rsidR="004B6AC8" w:rsidRPr="00CE3BEE" w:rsidRDefault="004B6AC8" w:rsidP="004B6AC8">
      <w:pPr>
        <w:pStyle w:val="ListParagraph"/>
        <w:numPr>
          <w:ilvl w:val="0"/>
          <w:numId w:val="1"/>
        </w:numPr>
        <w:rPr>
          <w:rFonts w:ascii="Times New Roman" w:hAnsi="Times New Roman" w:cs="Times New Roman"/>
          <w:b/>
          <w:sz w:val="32"/>
          <w:szCs w:val="20"/>
          <w:u w:val="single"/>
        </w:rPr>
      </w:pPr>
      <w:r w:rsidRPr="00CE3BEE">
        <w:rPr>
          <w:rFonts w:ascii="Times New Roman" w:hAnsi="Times New Roman" w:cs="Times New Roman"/>
          <w:b/>
          <w:sz w:val="32"/>
          <w:szCs w:val="20"/>
          <w:u w:val="single"/>
        </w:rPr>
        <w:t xml:space="preserve">Introduction </w:t>
      </w:r>
    </w:p>
    <w:p w:rsidR="004B6AC8"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In this document, we discuss transport block size determination for NR.</w:t>
      </w:r>
    </w:p>
    <w:p w:rsidR="004B6AC8" w:rsidRPr="00CE3BEE" w:rsidRDefault="004B6AC8" w:rsidP="004B6AC8">
      <w:pPr>
        <w:rPr>
          <w:rFonts w:ascii="Times New Roman" w:hAnsi="Times New Roman" w:cs="Times New Roman"/>
          <w:b/>
          <w:sz w:val="28"/>
          <w:szCs w:val="20"/>
          <w:u w:val="single"/>
        </w:rPr>
      </w:pPr>
      <w:r w:rsidRPr="00CE3BEE">
        <w:rPr>
          <w:rFonts w:ascii="Times New Roman" w:hAnsi="Times New Roman" w:cs="Times New Roman"/>
          <w:b/>
          <w:sz w:val="28"/>
          <w:szCs w:val="20"/>
          <w:u w:val="single"/>
        </w:rPr>
        <w:t>2. TBS design for NR</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 xml:space="preserve">In LTE, the transport block size is implicitly indicated in the DCI via a combination of MCS index and resource allocation, and a scaling factor (e.g. DwPTS). This is done via a lookup table (specified in 36.213) whose entries were determined using a fixed overhead assumption on the available REs per resource block, etc. Some adjustments to TBS determination (e.g. for DwPTS) were also applied when required, including special handling of combinations that can affect peak data rate. </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In NR, due to the extremely flexible resource allocation in time and frequency (in granularity of 1 OFDM symbol x 12 sc), it is reasonable to allow additional flexibility in TBS indication to ensure proper matching of the payload according to the intended MCS and available resources.</w:t>
      </w:r>
    </w:p>
    <w:p w:rsidR="004B6AC8" w:rsidRPr="00CE3BEE" w:rsidRDefault="004B6AC8" w:rsidP="004B6AC8">
      <w:pPr>
        <w:rPr>
          <w:rFonts w:ascii="Times New Roman" w:hAnsi="Times New Roman" w:cs="Times New Roman"/>
          <w:b/>
          <w:sz w:val="20"/>
          <w:szCs w:val="20"/>
          <w:u w:val="single"/>
        </w:rPr>
      </w:pPr>
      <w:r w:rsidRPr="00CE3BEE">
        <w:rPr>
          <w:rFonts w:ascii="Times New Roman" w:hAnsi="Times New Roman" w:cs="Times New Roman"/>
          <w:b/>
          <w:sz w:val="20"/>
          <w:szCs w:val="20"/>
          <w:u w:val="single"/>
        </w:rPr>
        <w:t>2.1. TBS calculation based on resources</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The MCS indication in NR could be considerably similar to LTE, e.g. it can indicate a nominal (or intended) spectral efficiency and a modulation order. Then, based on the allocated resources, a UE may determine the available number of resource elements (REs), and then determine the byte-aligned TBS according to the following expression</w:t>
      </w:r>
      <w:r>
        <w:rPr>
          <w:rFonts w:ascii="Times New Roman" w:hAnsi="Times New Roman" w:cs="Times New Roman"/>
          <w:sz w:val="20"/>
          <w:szCs w:val="20"/>
        </w:rPr>
        <w:t xml:space="preserve"> [1]– in cases TB size set is further restricted (the formula may have to be adjusted to ensure the nearest allowed TBS is selected). </w:t>
      </w:r>
    </w:p>
    <w:p w:rsidR="004B6AC8" w:rsidRPr="00CE3BEE" w:rsidRDefault="004B6AC8" w:rsidP="004B6AC8">
      <w:pPr>
        <w:jc w:val="center"/>
        <w:rPr>
          <w:rFonts w:ascii="Times New Roman" w:hAnsi="Times New Roman" w:cs="Times New Roman"/>
          <w:sz w:val="20"/>
          <w:szCs w:val="20"/>
        </w:rPr>
      </w:pPr>
      <w:r w:rsidRPr="00CE3BEE">
        <w:rPr>
          <w:rFonts w:ascii="Times New Roman" w:hAnsi="Times New Roman" w:cs="Times New Roman"/>
          <w:sz w:val="20"/>
          <w:szCs w:val="20"/>
        </w:rPr>
        <w:object w:dxaOrig="29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33.5pt" o:ole="">
            <v:imagedata r:id="rId5" o:title=""/>
          </v:shape>
          <o:OLEObject Type="Embed" ProgID="Equation.3" ShapeID="_x0000_i1025" DrawAspect="Content" ObjectID="_1563980123" r:id="rId6"/>
        </w:object>
      </w:r>
    </w:p>
    <w:p w:rsidR="004B6AC8"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Where Q</w:t>
      </w:r>
      <w:r w:rsidRPr="00CE3BEE">
        <w:rPr>
          <w:rFonts w:ascii="Times New Roman" w:hAnsi="Times New Roman" w:cs="Times New Roman"/>
          <w:sz w:val="20"/>
          <w:szCs w:val="20"/>
          <w:vertAlign w:val="subscript"/>
        </w:rPr>
        <w:t>m</w:t>
      </w:r>
      <w:r w:rsidRPr="00CE3BEE">
        <w:rPr>
          <w:rFonts w:ascii="Times New Roman" w:hAnsi="Times New Roman" w:cs="Times New Roman"/>
          <w:sz w:val="20"/>
          <w:szCs w:val="20"/>
        </w:rPr>
        <w:t xml:space="preserve"> denotes the scheduled modulation order, R denotes the intended rate, and N</w:t>
      </w:r>
      <w:r w:rsidRPr="00CE3BEE">
        <w:rPr>
          <w:rFonts w:ascii="Times New Roman" w:hAnsi="Times New Roman" w:cs="Times New Roman"/>
          <w:sz w:val="20"/>
          <w:szCs w:val="20"/>
          <w:vertAlign w:val="subscript"/>
        </w:rPr>
        <w:t>RE</w:t>
      </w:r>
      <w:r w:rsidRPr="00CE3BEE">
        <w:rPr>
          <w:rFonts w:ascii="Times New Roman" w:hAnsi="Times New Roman" w:cs="Times New Roman"/>
          <w:sz w:val="20"/>
          <w:szCs w:val="20"/>
        </w:rPr>
        <w:t xml:space="preserve"> denotes the number of resource elements in the resource allocation on which data can be transmitted. Typically, RxQ</w:t>
      </w:r>
      <w:r w:rsidRPr="00CE3BEE">
        <w:rPr>
          <w:rFonts w:ascii="Times New Roman" w:hAnsi="Times New Roman" w:cs="Times New Roman"/>
          <w:sz w:val="20"/>
          <w:szCs w:val="20"/>
          <w:vertAlign w:val="subscript"/>
        </w:rPr>
        <w:t>m</w:t>
      </w:r>
      <w:r w:rsidRPr="00CE3BEE">
        <w:rPr>
          <w:rFonts w:ascii="Times New Roman" w:hAnsi="Times New Roman" w:cs="Times New Roman"/>
          <w:sz w:val="20"/>
          <w:szCs w:val="20"/>
        </w:rPr>
        <w:t xml:space="preserve"> denotes the spectral efficiency, and N</w:t>
      </w:r>
      <w:r w:rsidRPr="00CE3BEE">
        <w:rPr>
          <w:rFonts w:ascii="Times New Roman" w:hAnsi="Times New Roman" w:cs="Times New Roman"/>
          <w:sz w:val="20"/>
          <w:szCs w:val="20"/>
          <w:vertAlign w:val="subscript"/>
        </w:rPr>
        <w:t>RE</w:t>
      </w:r>
      <w:r w:rsidRPr="00CE3BEE">
        <w:rPr>
          <w:rFonts w:ascii="Times New Roman" w:hAnsi="Times New Roman" w:cs="Times New Roman"/>
          <w:sz w:val="20"/>
          <w:szCs w:val="20"/>
        </w:rPr>
        <w:t xml:space="preserve"> has to be determined from allocated resources and removing overhead, and N</w:t>
      </w:r>
      <w:r w:rsidRPr="00CE3BEE">
        <w:rPr>
          <w:rFonts w:ascii="Times New Roman" w:hAnsi="Times New Roman" w:cs="Times New Roman"/>
          <w:sz w:val="20"/>
          <w:szCs w:val="20"/>
          <w:vertAlign w:val="subscript"/>
        </w:rPr>
        <w:t>L</w:t>
      </w:r>
      <w:r w:rsidRPr="00CE3BEE">
        <w:rPr>
          <w:rFonts w:ascii="Times New Roman" w:hAnsi="Times New Roman" w:cs="Times New Roman"/>
          <w:sz w:val="20"/>
          <w:szCs w:val="20"/>
        </w:rPr>
        <w:t xml:space="preserve"> denotes number of layers </w:t>
      </w:r>
      <w:r>
        <w:rPr>
          <w:rFonts w:ascii="Times New Roman" w:hAnsi="Times New Roman" w:cs="Times New Roman"/>
          <w:sz w:val="20"/>
          <w:szCs w:val="20"/>
        </w:rPr>
        <w:t>on which the</w:t>
      </w:r>
      <w:r w:rsidRPr="00CE3BEE">
        <w:rPr>
          <w:rFonts w:ascii="Times New Roman" w:hAnsi="Times New Roman" w:cs="Times New Roman"/>
          <w:sz w:val="20"/>
          <w:szCs w:val="20"/>
        </w:rPr>
        <w:t xml:space="preserve"> TBS </w:t>
      </w:r>
      <w:r>
        <w:rPr>
          <w:rFonts w:ascii="Times New Roman" w:hAnsi="Times New Roman" w:cs="Times New Roman"/>
          <w:sz w:val="20"/>
          <w:szCs w:val="20"/>
        </w:rPr>
        <w:t>is mapped</w:t>
      </w:r>
      <w:r w:rsidRPr="00CE3BEE">
        <w:rPr>
          <w:rFonts w:ascii="Times New Roman" w:hAnsi="Times New Roman" w:cs="Times New Roman"/>
          <w:sz w:val="20"/>
          <w:szCs w:val="20"/>
        </w:rPr>
        <w:t xml:space="preserve">. </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Assuming a nominal data allocation is a rectangular grid of time-frequency resources (# of OFDM symbols x number of subcarriers), the overheads that have to be taken into account can include the following: DMRS, SRS, guard periods or symbols indicated as “Unknown” via slot format information (SFI), possible PDCCH, SSS, PSS, PBCH, CSI-RS, and any other overhead explicitly indicated to the UE. The DMRS density itself can be variable depending upon the possible configuration (front-loaded vs front/back DMRS, different number of antenna ports, presence/absence of TRS, etc.).</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The above formula can be used in a straight-forward manner to indicate TBS on a first transmission to the UE. For a retransmission</w:t>
      </w:r>
      <w:r>
        <w:rPr>
          <w:rFonts w:ascii="Times New Roman" w:hAnsi="Times New Roman" w:cs="Times New Roman"/>
          <w:sz w:val="20"/>
          <w:szCs w:val="20"/>
        </w:rPr>
        <w:t xml:space="preserve"> of a TB, there are at least three ways to consider TBS indication</w:t>
      </w:r>
      <w:r w:rsidRPr="00CE3BEE">
        <w:rPr>
          <w:rFonts w:ascii="Times New Roman" w:hAnsi="Times New Roman" w:cs="Times New Roman"/>
          <w:sz w:val="20"/>
          <w:szCs w:val="20"/>
        </w:rPr>
        <w:t>.</w:t>
      </w:r>
    </w:p>
    <w:p w:rsidR="004B6AC8" w:rsidRPr="00CE3BEE" w:rsidRDefault="004B6AC8" w:rsidP="004B6AC8">
      <w:pPr>
        <w:pStyle w:val="ListParagraph"/>
        <w:numPr>
          <w:ilvl w:val="0"/>
          <w:numId w:val="2"/>
        </w:numPr>
        <w:jc w:val="both"/>
        <w:rPr>
          <w:rFonts w:ascii="Times New Roman" w:hAnsi="Times New Roman" w:cs="Times New Roman"/>
          <w:sz w:val="20"/>
          <w:szCs w:val="20"/>
        </w:rPr>
      </w:pPr>
      <w:r w:rsidRPr="00CE3BEE">
        <w:rPr>
          <w:rFonts w:ascii="Times New Roman" w:hAnsi="Times New Roman" w:cs="Times New Roman"/>
          <w:sz w:val="20"/>
          <w:szCs w:val="20"/>
        </w:rPr>
        <w:t>If the gNB requires the UE to re-determine the same TBS according to the formula, then the gNB has to arrange exact same size allocation (e.g. yielding N</w:t>
      </w:r>
      <w:r w:rsidRPr="00CE3BEE">
        <w:rPr>
          <w:rFonts w:ascii="Times New Roman" w:hAnsi="Times New Roman" w:cs="Times New Roman"/>
          <w:sz w:val="20"/>
          <w:szCs w:val="20"/>
          <w:vertAlign w:val="subscript"/>
        </w:rPr>
        <w:t>RE</w:t>
      </w:r>
      <w:r w:rsidRPr="00CE3BEE">
        <w:rPr>
          <w:rFonts w:ascii="Times New Roman" w:hAnsi="Times New Roman" w:cs="Times New Roman"/>
          <w:sz w:val="20"/>
          <w:szCs w:val="20"/>
        </w:rPr>
        <w:t xml:space="preserve">) to the UE, which is feasible for gNB, but may place some scheduling restrictions, e.g. in cases where gNB is dynamically varying the slot format.  </w:t>
      </w:r>
    </w:p>
    <w:p w:rsidR="004B6AC8" w:rsidRPr="00CE3BEE" w:rsidRDefault="004B6AC8" w:rsidP="004B6AC8">
      <w:pPr>
        <w:pStyle w:val="ListParagraph"/>
        <w:numPr>
          <w:ilvl w:val="0"/>
          <w:numId w:val="2"/>
        </w:numPr>
        <w:jc w:val="both"/>
        <w:rPr>
          <w:rFonts w:ascii="Times New Roman" w:hAnsi="Times New Roman" w:cs="Times New Roman"/>
          <w:sz w:val="20"/>
          <w:szCs w:val="20"/>
        </w:rPr>
      </w:pPr>
      <w:r w:rsidRPr="00CE3BEE">
        <w:rPr>
          <w:rFonts w:ascii="Times New Roman" w:hAnsi="Times New Roman" w:cs="Times New Roman"/>
          <w:sz w:val="20"/>
          <w:szCs w:val="20"/>
        </w:rPr>
        <w:lastRenderedPageBreak/>
        <w:t xml:space="preserve">If the gNB has a reliable way (e.g. via A/N DTX detection) of knowing UE has determined TBS from a 1st transmission, then the eNB can rely on implicit TBS indication (similar to MCS29,30,31 in LTE). This kind of implicit method for TBS determination has to also be used in case of CBG-based transmissions. </w:t>
      </w:r>
    </w:p>
    <w:p w:rsidR="004B6AC8" w:rsidRPr="00CE3BEE" w:rsidRDefault="004B6AC8" w:rsidP="004B6AC8">
      <w:pPr>
        <w:pStyle w:val="ListParagraph"/>
        <w:numPr>
          <w:ilvl w:val="0"/>
          <w:numId w:val="2"/>
        </w:numPr>
        <w:jc w:val="both"/>
        <w:rPr>
          <w:rFonts w:ascii="Times New Roman" w:hAnsi="Times New Roman" w:cs="Times New Roman"/>
          <w:sz w:val="20"/>
          <w:szCs w:val="20"/>
        </w:rPr>
      </w:pPr>
      <w:r w:rsidRPr="00CE3BEE">
        <w:rPr>
          <w:rFonts w:ascii="Times New Roman" w:hAnsi="Times New Roman" w:cs="Times New Roman"/>
          <w:sz w:val="20"/>
          <w:szCs w:val="20"/>
        </w:rPr>
        <w:t>In addition to the above two possibilities, it is also possible to allow TBS to be derived using a reference formula which allows the gNB to indicate TBS, which can be somewhat invariant to overhead. For further flexibility, different overheads can be supported.</w:t>
      </w:r>
    </w:p>
    <w:p w:rsidR="004B6AC8"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 xml:space="preserve">We think all the three mechanisms can be considered for TBS indication. For example, a two-bit TBS indicator could be introduced in the DCI to provide the desired flexibility </w:t>
      </w:r>
      <w:r>
        <w:rPr>
          <w:rFonts w:ascii="Times New Roman" w:hAnsi="Times New Roman" w:cs="Times New Roman"/>
          <w:sz w:val="20"/>
          <w:szCs w:val="20"/>
        </w:rPr>
        <w:t>of both implicit and explicit TBS calculation. For example, for slot based transmissions the table may look as follows. This allows full flexibility on the gNB scheduling. Similar considerations can be made for other resource allocations such as mini-slots, etc.</w:t>
      </w:r>
    </w:p>
    <w:tbl>
      <w:tblPr>
        <w:tblStyle w:val="TableGrid"/>
        <w:tblW w:w="0" w:type="auto"/>
        <w:tblLook w:val="04A0" w:firstRow="1" w:lastRow="0" w:firstColumn="1" w:lastColumn="0" w:noHBand="0" w:noVBand="1"/>
      </w:tblPr>
      <w:tblGrid>
        <w:gridCol w:w="1861"/>
        <w:gridCol w:w="3318"/>
        <w:gridCol w:w="3318"/>
      </w:tblGrid>
      <w:tr w:rsidR="004B6AC8" w:rsidTr="005E7E6F">
        <w:tc>
          <w:tcPr>
            <w:tcW w:w="1861"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TBS indicator field</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TBS calculation</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Comment</w:t>
            </w:r>
          </w:p>
        </w:tc>
      </w:tr>
      <w:tr w:rsidR="004B6AC8" w:rsidTr="005E7E6F">
        <w:tc>
          <w:tcPr>
            <w:tcW w:w="1861"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00</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Based on formula and indicated MCS</w:t>
            </w:r>
          </w:p>
        </w:tc>
        <w:tc>
          <w:tcPr>
            <w:tcW w:w="3318" w:type="dxa"/>
          </w:tcPr>
          <w:p w:rsidR="004B6AC8" w:rsidRDefault="004B6AC8" w:rsidP="005E7E6F">
            <w:pPr>
              <w:rPr>
                <w:rFonts w:ascii="Times New Roman" w:hAnsi="Times New Roman" w:cs="Times New Roman"/>
                <w:sz w:val="20"/>
                <w:szCs w:val="20"/>
              </w:rPr>
            </w:pPr>
          </w:p>
        </w:tc>
      </w:tr>
      <w:tr w:rsidR="004B6AC8" w:rsidTr="005E7E6F">
        <w:tc>
          <w:tcPr>
            <w:tcW w:w="1861"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01</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Based on 120 REs/PRB</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Reference overhead for TBS calculation</w:t>
            </w:r>
          </w:p>
        </w:tc>
      </w:tr>
      <w:tr w:rsidR="004B6AC8" w:rsidTr="005E7E6F">
        <w:tc>
          <w:tcPr>
            <w:tcW w:w="1861"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10</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Based on 132 REs/PRB</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Reference overhead for TBS calculation</w:t>
            </w:r>
          </w:p>
        </w:tc>
      </w:tr>
      <w:tr w:rsidR="004B6AC8" w:rsidTr="005E7E6F">
        <w:trPr>
          <w:trHeight w:val="226"/>
        </w:trPr>
        <w:tc>
          <w:tcPr>
            <w:tcW w:w="1861"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11</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Based on 108 REs/PRB</w:t>
            </w:r>
          </w:p>
        </w:tc>
        <w:tc>
          <w:tcPr>
            <w:tcW w:w="3318" w:type="dxa"/>
          </w:tcPr>
          <w:p w:rsidR="004B6AC8" w:rsidRDefault="004B6AC8" w:rsidP="005E7E6F">
            <w:pPr>
              <w:rPr>
                <w:rFonts w:ascii="Times New Roman" w:hAnsi="Times New Roman" w:cs="Times New Roman"/>
                <w:sz w:val="20"/>
                <w:szCs w:val="20"/>
              </w:rPr>
            </w:pPr>
            <w:r>
              <w:rPr>
                <w:rFonts w:ascii="Times New Roman" w:hAnsi="Times New Roman" w:cs="Times New Roman"/>
                <w:sz w:val="20"/>
                <w:szCs w:val="20"/>
              </w:rPr>
              <w:t>Reference overhead for TBS calculation</w:t>
            </w:r>
          </w:p>
        </w:tc>
      </w:tr>
    </w:tbl>
    <w:p w:rsidR="004B6AC8" w:rsidRDefault="004B6AC8" w:rsidP="004B6AC8">
      <w:pPr>
        <w:rPr>
          <w:rFonts w:ascii="Times New Roman" w:hAnsi="Times New Roman" w:cs="Times New Roman"/>
          <w:sz w:val="20"/>
          <w:szCs w:val="20"/>
        </w:rPr>
      </w:pPr>
    </w:p>
    <w:p w:rsidR="004B6AC8" w:rsidRPr="00E76A31" w:rsidRDefault="004B6AC8" w:rsidP="004B6AC8">
      <w:pPr>
        <w:rPr>
          <w:rFonts w:ascii="Times New Roman" w:hAnsi="Times New Roman" w:cs="Times New Roman"/>
          <w:i/>
          <w:sz w:val="20"/>
          <w:szCs w:val="20"/>
        </w:rPr>
      </w:pPr>
      <w:r w:rsidRPr="00E76A31">
        <w:rPr>
          <w:rFonts w:ascii="Times New Roman" w:hAnsi="Times New Roman" w:cs="Times New Roman"/>
          <w:i/>
          <w:sz w:val="20"/>
          <w:szCs w:val="20"/>
        </w:rPr>
        <w:t>Proposal 1: Following types of TBS indication are supported in NR – 1) based on available number of REs and indicated MCS, and 2) based on a reference number of REs/slot and indicated MCS.</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Apart from the TBS calculation</w:t>
      </w:r>
      <w:r>
        <w:rPr>
          <w:rFonts w:ascii="Times New Roman" w:hAnsi="Times New Roman" w:cs="Times New Roman"/>
          <w:sz w:val="20"/>
          <w:szCs w:val="20"/>
        </w:rPr>
        <w:t xml:space="preserve"> itself, it is also important to consider typical payloads, and other operations that can be simplified through TBS design. We list a few topics below. </w:t>
      </w:r>
    </w:p>
    <w:p w:rsidR="004B6AC8" w:rsidRPr="00CE3BEE" w:rsidRDefault="004B6AC8" w:rsidP="004B6AC8">
      <w:pPr>
        <w:rPr>
          <w:rFonts w:ascii="Times New Roman" w:hAnsi="Times New Roman" w:cs="Times New Roman"/>
          <w:b/>
          <w:sz w:val="20"/>
          <w:szCs w:val="20"/>
          <w:u w:val="single"/>
        </w:rPr>
      </w:pPr>
      <w:r w:rsidRPr="00CE3BEE">
        <w:rPr>
          <w:rFonts w:ascii="Times New Roman" w:hAnsi="Times New Roman" w:cs="Times New Roman"/>
          <w:b/>
          <w:sz w:val="20"/>
          <w:szCs w:val="20"/>
          <w:u w:val="single"/>
        </w:rPr>
        <w:t>Small packet sizes su</w:t>
      </w:r>
      <w:r>
        <w:rPr>
          <w:rFonts w:ascii="Times New Roman" w:hAnsi="Times New Roman" w:cs="Times New Roman"/>
          <w:b/>
          <w:sz w:val="20"/>
          <w:szCs w:val="20"/>
          <w:u w:val="single"/>
        </w:rPr>
        <w:t>ch as MAC payloads, and VoIP</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 xml:space="preserve">For scheduling of very small packet sizes such as MAC payload, or VoIP packets, special handling of TBS indication can be considered. For example, an explicit TBS table can be designed for a certain combination of MCS and RA combinations (e.g. up to MCS 2 bps and (e.g. upto MCS 2 bps and RA of up to 4 PRBs).Another option is to define the TBS for small packet sizes, and allow the TBS to be selected from this set for up to a particular threshold TB size.  </w:t>
      </w:r>
    </w:p>
    <w:p w:rsidR="004B6AC8" w:rsidRPr="00CE3BEE" w:rsidRDefault="004B6AC8" w:rsidP="004B6AC8">
      <w:pPr>
        <w:rPr>
          <w:rFonts w:ascii="Times New Roman" w:hAnsi="Times New Roman" w:cs="Times New Roman"/>
          <w:b/>
          <w:sz w:val="20"/>
          <w:szCs w:val="20"/>
          <w:u w:val="single"/>
        </w:rPr>
      </w:pPr>
      <w:r w:rsidRPr="00CE3BEE">
        <w:rPr>
          <w:rFonts w:ascii="Times New Roman" w:hAnsi="Times New Roman" w:cs="Times New Roman"/>
          <w:b/>
          <w:sz w:val="20"/>
          <w:szCs w:val="20"/>
          <w:u w:val="single"/>
        </w:rPr>
        <w:t>TBS and peak TBS</w:t>
      </w:r>
    </w:p>
    <w:p w:rsidR="004B6AC8" w:rsidRPr="00CE3BEE"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 xml:space="preserve">Another approach for TBS determination option is to define a TBS </w:t>
      </w:r>
      <w:r>
        <w:rPr>
          <w:rFonts w:ascii="Times New Roman" w:hAnsi="Times New Roman" w:cs="Times New Roman"/>
          <w:sz w:val="20"/>
          <w:szCs w:val="20"/>
        </w:rPr>
        <w:t xml:space="preserve">set </w:t>
      </w:r>
      <w:r w:rsidRPr="00CE3BEE">
        <w:rPr>
          <w:rFonts w:ascii="Times New Roman" w:hAnsi="Times New Roman" w:cs="Times New Roman"/>
          <w:sz w:val="20"/>
          <w:szCs w:val="20"/>
        </w:rPr>
        <w:t xml:space="preserve">at least beyond a certain length (e.g. &gt;8448), and round the calculated number (from formula) to nearest value in the TBS </w:t>
      </w:r>
      <w:r>
        <w:rPr>
          <w:rFonts w:ascii="Times New Roman" w:hAnsi="Times New Roman" w:cs="Times New Roman"/>
          <w:sz w:val="20"/>
          <w:szCs w:val="20"/>
        </w:rPr>
        <w:t>set</w:t>
      </w:r>
      <w:r w:rsidRPr="00CE3BEE">
        <w:rPr>
          <w:rFonts w:ascii="Times New Roman" w:hAnsi="Times New Roman" w:cs="Times New Roman"/>
          <w:sz w:val="20"/>
          <w:szCs w:val="20"/>
        </w:rPr>
        <w:t xml:space="preserve"> – this could reduce the total number of TBSes to support, and could also ensure frequently encountered payloads to be prioritized. The TBS </w:t>
      </w:r>
      <w:r>
        <w:rPr>
          <w:rFonts w:ascii="Times New Roman" w:hAnsi="Times New Roman" w:cs="Times New Roman"/>
          <w:sz w:val="20"/>
          <w:szCs w:val="20"/>
        </w:rPr>
        <w:t>set</w:t>
      </w:r>
      <w:r w:rsidRPr="00CE3BEE">
        <w:rPr>
          <w:rFonts w:ascii="Times New Roman" w:hAnsi="Times New Roman" w:cs="Times New Roman"/>
          <w:sz w:val="20"/>
          <w:szCs w:val="20"/>
        </w:rPr>
        <w:t xml:space="preserve"> could be defined such that it can support code block segmentation with equal and perhaps byte-aligned code block sizes</w:t>
      </w:r>
      <w:r>
        <w:rPr>
          <w:rFonts w:ascii="Times New Roman" w:hAnsi="Times New Roman" w:cs="Times New Roman"/>
          <w:sz w:val="20"/>
          <w:szCs w:val="20"/>
        </w:rPr>
        <w:t xml:space="preserve"> or the code block sizes that have been thoroughly evaluated in RAN1 LDPC evaluation campaigns</w:t>
      </w:r>
      <w:r w:rsidRPr="00CE3BEE">
        <w:rPr>
          <w:rFonts w:ascii="Times New Roman" w:hAnsi="Times New Roman" w:cs="Times New Roman"/>
          <w:sz w:val="20"/>
          <w:szCs w:val="20"/>
        </w:rPr>
        <w:t xml:space="preserve">. </w:t>
      </w:r>
    </w:p>
    <w:p w:rsidR="004B6AC8" w:rsidRDefault="004B6AC8" w:rsidP="004B6AC8">
      <w:pPr>
        <w:jc w:val="both"/>
        <w:rPr>
          <w:rFonts w:ascii="Times New Roman" w:hAnsi="Times New Roman" w:cs="Times New Roman"/>
          <w:sz w:val="20"/>
          <w:szCs w:val="20"/>
        </w:rPr>
      </w:pPr>
      <w:r w:rsidRPr="00CE3BEE">
        <w:rPr>
          <w:rFonts w:ascii="Times New Roman" w:hAnsi="Times New Roman" w:cs="Times New Roman"/>
          <w:sz w:val="20"/>
          <w:szCs w:val="20"/>
        </w:rPr>
        <w:t xml:space="preserve">One more issue to be considered is TBS selection for the maximum MCS. To avoid multiple variants of the maximum TBS, it would be good to let UE choose TBS from certain TBS set that could provide the maximum coding rate below the decoding threshold (e.g. ~0.93 for LDPC), so that UE can always achieve the maximum possible peak data rate regardless of the available REs in a given allocation. In this sense defining common TBS pool (not associated with MCS), that will be used by the UE to match the target coding rate of the MCS table seems a possible option though it requires UE to perform search in this TBS </w:t>
      </w:r>
      <w:r>
        <w:rPr>
          <w:rFonts w:ascii="Times New Roman" w:hAnsi="Times New Roman" w:cs="Times New Roman"/>
          <w:sz w:val="20"/>
          <w:szCs w:val="20"/>
        </w:rPr>
        <w:t>set</w:t>
      </w:r>
      <w:r w:rsidRPr="00CE3BEE">
        <w:rPr>
          <w:rFonts w:ascii="Times New Roman" w:hAnsi="Times New Roman" w:cs="Times New Roman"/>
          <w:sz w:val="20"/>
          <w:szCs w:val="20"/>
        </w:rPr>
        <w:t>.</w:t>
      </w:r>
    </w:p>
    <w:p w:rsidR="004B6AC8" w:rsidRPr="00E76A31" w:rsidRDefault="004B6AC8" w:rsidP="004B6AC8">
      <w:pPr>
        <w:jc w:val="both"/>
        <w:rPr>
          <w:rFonts w:ascii="Times New Roman" w:hAnsi="Times New Roman" w:cs="Times New Roman"/>
          <w:i/>
          <w:sz w:val="20"/>
          <w:szCs w:val="20"/>
        </w:rPr>
      </w:pPr>
      <w:r w:rsidRPr="00E76A31">
        <w:rPr>
          <w:rFonts w:ascii="Times New Roman" w:hAnsi="Times New Roman" w:cs="Times New Roman"/>
          <w:i/>
          <w:sz w:val="20"/>
          <w:szCs w:val="20"/>
        </w:rPr>
        <w:t>Proposal 2: For NR TBS design</w:t>
      </w:r>
      <w:r>
        <w:rPr>
          <w:rFonts w:ascii="Times New Roman" w:hAnsi="Times New Roman" w:cs="Times New Roman"/>
          <w:i/>
          <w:sz w:val="20"/>
          <w:szCs w:val="20"/>
        </w:rPr>
        <w:t>,</w:t>
      </w:r>
      <w:r w:rsidRPr="00E76A31">
        <w:rPr>
          <w:rFonts w:ascii="Times New Roman" w:hAnsi="Times New Roman" w:cs="Times New Roman"/>
          <w:i/>
          <w:sz w:val="20"/>
          <w:szCs w:val="20"/>
        </w:rPr>
        <w:t xml:space="preserve"> a TBS set is defined to reduce the number of TB sizes to be supported.  </w:t>
      </w:r>
    </w:p>
    <w:p w:rsidR="004B6AC8" w:rsidRPr="00CE3BEE" w:rsidRDefault="004B6AC8" w:rsidP="004B6AC8">
      <w:pPr>
        <w:rPr>
          <w:rFonts w:ascii="Times New Roman" w:hAnsi="Times New Roman" w:cs="Times New Roman"/>
          <w:b/>
          <w:sz w:val="20"/>
          <w:szCs w:val="20"/>
          <w:u w:val="single"/>
        </w:rPr>
      </w:pPr>
      <w:r w:rsidRPr="00CE3BEE">
        <w:rPr>
          <w:rFonts w:ascii="Times New Roman" w:hAnsi="Times New Roman" w:cs="Times New Roman"/>
          <w:b/>
          <w:sz w:val="20"/>
          <w:szCs w:val="20"/>
          <w:u w:val="single"/>
        </w:rPr>
        <w:t>Slot aggregation</w:t>
      </w:r>
    </w:p>
    <w:p w:rsidR="004B6AC8"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 xml:space="preserve">In slot aggregation, a transport block can be mapped to multiple slots, which may be analogous to TTI bundling operation in LTE. In such a case, the transport block size should preferably be determined based on a single slot allocation, and the other slots are effectively retransmissions of the same TB. In certain low MCS cases (such as pi/2 BPSK), it may be possible to consider the entire aggregated slots to determine the TBS (similar to coverage enhancement use case), but for medium to </w:t>
      </w:r>
      <w:r w:rsidRPr="00CE3BEE">
        <w:rPr>
          <w:rFonts w:ascii="Times New Roman" w:hAnsi="Times New Roman" w:cs="Times New Roman"/>
          <w:sz w:val="20"/>
          <w:szCs w:val="20"/>
        </w:rPr>
        <w:lastRenderedPageBreak/>
        <w:t>high MCS, such configurations leading to very large TBS (due to slot aggregation) should be avoided as they can cause undue burden to UE implementation without significant benefit. In general, TBS determination assuming mapping to aggregated slots or aggregation of slots and symbols should be subject to certain limits on the MCS and/or frequency domain resource allocation such that the TBS is not simply scaled up with the number of aggregated slots for the highest possible spectral efficiency.</w:t>
      </w:r>
    </w:p>
    <w:p w:rsidR="004B6AC8" w:rsidRPr="00CE3BEE" w:rsidRDefault="004B6AC8" w:rsidP="004B6AC8">
      <w:pPr>
        <w:rPr>
          <w:rFonts w:ascii="Times New Roman" w:hAnsi="Times New Roman" w:cs="Times New Roman"/>
          <w:b/>
          <w:sz w:val="20"/>
          <w:szCs w:val="20"/>
        </w:rPr>
      </w:pPr>
      <w:r w:rsidRPr="00CE3BEE">
        <w:rPr>
          <w:rFonts w:ascii="Times New Roman" w:hAnsi="Times New Roman" w:cs="Times New Roman"/>
          <w:b/>
          <w:sz w:val="20"/>
          <w:szCs w:val="20"/>
        </w:rPr>
        <w:t>3. Summary</w:t>
      </w:r>
    </w:p>
    <w:p w:rsidR="004B6AC8"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This document presented our views on TBS</w:t>
      </w:r>
      <w:r>
        <w:rPr>
          <w:rFonts w:ascii="Times New Roman" w:hAnsi="Times New Roman" w:cs="Times New Roman"/>
          <w:sz w:val="20"/>
          <w:szCs w:val="20"/>
        </w:rPr>
        <w:t xml:space="preserve">. we make the following proposals. </w:t>
      </w:r>
    </w:p>
    <w:p w:rsidR="004B6AC8" w:rsidRPr="00E76A31" w:rsidRDefault="004B6AC8" w:rsidP="004B6AC8">
      <w:pPr>
        <w:rPr>
          <w:rFonts w:ascii="Times New Roman" w:hAnsi="Times New Roman" w:cs="Times New Roman"/>
          <w:i/>
          <w:sz w:val="20"/>
          <w:szCs w:val="20"/>
        </w:rPr>
      </w:pPr>
      <w:r w:rsidRPr="00E76A31">
        <w:rPr>
          <w:rFonts w:ascii="Times New Roman" w:hAnsi="Times New Roman" w:cs="Times New Roman"/>
          <w:i/>
          <w:sz w:val="20"/>
          <w:szCs w:val="20"/>
        </w:rPr>
        <w:t>Proposal 1 : Following types of TBS indication are supported in NR – 1) based on available number of REs and indicated MCS, and 2) based on a reference number of REs/slot and indicated MCS.</w:t>
      </w:r>
    </w:p>
    <w:p w:rsidR="004B6AC8" w:rsidRPr="00E76A31" w:rsidRDefault="004B6AC8" w:rsidP="004B6AC8">
      <w:pPr>
        <w:jc w:val="both"/>
        <w:rPr>
          <w:rFonts w:ascii="Times New Roman" w:hAnsi="Times New Roman" w:cs="Times New Roman"/>
          <w:i/>
          <w:sz w:val="20"/>
          <w:szCs w:val="20"/>
        </w:rPr>
      </w:pPr>
      <w:r w:rsidRPr="00E76A31">
        <w:rPr>
          <w:rFonts w:ascii="Times New Roman" w:hAnsi="Times New Roman" w:cs="Times New Roman"/>
          <w:i/>
          <w:sz w:val="20"/>
          <w:szCs w:val="20"/>
        </w:rPr>
        <w:t xml:space="preserve">Proposal 2: For NR TBS design a TBS set is defined to reduce the number of TB sizes to be supported.  </w:t>
      </w:r>
    </w:p>
    <w:p w:rsidR="004B6AC8" w:rsidRDefault="004B6AC8" w:rsidP="004B6AC8">
      <w:pPr>
        <w:rPr>
          <w:rFonts w:ascii="Times New Roman" w:hAnsi="Times New Roman" w:cs="Times New Roman"/>
          <w:sz w:val="20"/>
          <w:szCs w:val="20"/>
        </w:rPr>
      </w:pPr>
    </w:p>
    <w:p w:rsidR="004B6AC8" w:rsidRPr="00CE3BEE" w:rsidRDefault="004B6AC8" w:rsidP="004B6AC8">
      <w:pPr>
        <w:rPr>
          <w:rFonts w:ascii="Times New Roman" w:hAnsi="Times New Roman" w:cs="Times New Roman"/>
          <w:b/>
          <w:sz w:val="20"/>
          <w:szCs w:val="20"/>
        </w:rPr>
      </w:pPr>
      <w:r w:rsidRPr="00CE3BEE">
        <w:rPr>
          <w:rFonts w:ascii="Times New Roman" w:hAnsi="Times New Roman" w:cs="Times New Roman"/>
          <w:b/>
          <w:sz w:val="20"/>
          <w:szCs w:val="20"/>
        </w:rPr>
        <w:t>4.</w:t>
      </w:r>
      <w:r w:rsidRPr="00CE3BEE">
        <w:rPr>
          <w:rFonts w:ascii="Times New Roman" w:hAnsi="Times New Roman" w:cs="Times New Roman"/>
          <w:b/>
          <w:sz w:val="20"/>
          <w:szCs w:val="20"/>
        </w:rPr>
        <w:tab/>
        <w:t>Reference</w:t>
      </w:r>
      <w:r>
        <w:rPr>
          <w:rFonts w:ascii="Times New Roman" w:hAnsi="Times New Roman" w:cs="Times New Roman"/>
          <w:b/>
          <w:sz w:val="20"/>
          <w:szCs w:val="20"/>
        </w:rPr>
        <w:t>s</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[1]</w:t>
      </w:r>
      <w:r w:rsidRPr="00CE3BEE">
        <w:rPr>
          <w:rFonts w:ascii="Times New Roman" w:hAnsi="Times New Roman" w:cs="Times New Roman"/>
          <w:sz w:val="20"/>
          <w:szCs w:val="20"/>
        </w:rPr>
        <w:tab/>
        <w:t>R1-1711501</w:t>
      </w:r>
      <w:r w:rsidRPr="00CE3BEE">
        <w:rPr>
          <w:rFonts w:ascii="Times New Roman" w:hAnsi="Times New Roman" w:cs="Times New Roman"/>
          <w:sz w:val="20"/>
          <w:szCs w:val="20"/>
        </w:rPr>
        <w:tab/>
        <w:t>On MCS/transport Block Size Determination</w:t>
      </w:r>
      <w:r w:rsidRPr="00CE3BEE">
        <w:rPr>
          <w:rFonts w:ascii="Times New Roman" w:hAnsi="Times New Roman" w:cs="Times New Roman"/>
          <w:sz w:val="20"/>
          <w:szCs w:val="20"/>
        </w:rPr>
        <w:tab/>
        <w:t>Ericsson, NR-AH#2, June 2017</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[2]</w:t>
      </w:r>
      <w:r w:rsidRPr="00CE3BEE">
        <w:rPr>
          <w:rFonts w:ascii="Times New Roman" w:hAnsi="Times New Roman" w:cs="Times New Roman"/>
          <w:sz w:val="20"/>
          <w:szCs w:val="20"/>
        </w:rPr>
        <w:tab/>
        <w:t>R1-1709978</w:t>
      </w:r>
      <w:r w:rsidRPr="00CE3BEE">
        <w:rPr>
          <w:rFonts w:ascii="Times New Roman" w:hAnsi="Times New Roman" w:cs="Times New Roman"/>
          <w:sz w:val="20"/>
          <w:szCs w:val="20"/>
        </w:rPr>
        <w:tab/>
        <w:t>TB mapping and TB size determination</w:t>
      </w:r>
      <w:r w:rsidRPr="00CE3BEE">
        <w:rPr>
          <w:rFonts w:ascii="Times New Roman" w:hAnsi="Times New Roman" w:cs="Times New Roman"/>
          <w:sz w:val="20"/>
          <w:szCs w:val="20"/>
        </w:rPr>
        <w:tab/>
        <w:t>Huawei, HiSilicon, NR-AH#2, June 2017</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[3]</w:t>
      </w:r>
      <w:r w:rsidRPr="00CE3BEE">
        <w:rPr>
          <w:rFonts w:ascii="Times New Roman" w:hAnsi="Times New Roman" w:cs="Times New Roman"/>
          <w:sz w:val="20"/>
          <w:szCs w:val="20"/>
        </w:rPr>
        <w:tab/>
        <w:t>R1-1710325</w:t>
      </w:r>
      <w:r w:rsidRPr="00CE3BEE">
        <w:rPr>
          <w:rFonts w:ascii="Times New Roman" w:hAnsi="Times New Roman" w:cs="Times New Roman"/>
          <w:sz w:val="20"/>
          <w:szCs w:val="20"/>
        </w:rPr>
        <w:tab/>
        <w:t>Discussion on TB size determination for NR</w:t>
      </w:r>
      <w:r w:rsidRPr="00CE3BEE">
        <w:rPr>
          <w:rFonts w:ascii="Times New Roman" w:hAnsi="Times New Roman" w:cs="Times New Roman"/>
          <w:sz w:val="20"/>
          <w:szCs w:val="20"/>
        </w:rPr>
        <w:tab/>
        <w:t>LG Electronics, NR-AH#2, June 2017</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[4]</w:t>
      </w:r>
      <w:r w:rsidRPr="00CE3BEE">
        <w:rPr>
          <w:rFonts w:ascii="Times New Roman" w:hAnsi="Times New Roman" w:cs="Times New Roman"/>
          <w:sz w:val="20"/>
          <w:szCs w:val="20"/>
        </w:rPr>
        <w:tab/>
        <w:t>R1-1710720</w:t>
      </w:r>
      <w:r w:rsidRPr="00CE3BEE">
        <w:rPr>
          <w:rFonts w:ascii="Times New Roman" w:hAnsi="Times New Roman" w:cs="Times New Roman"/>
          <w:sz w:val="20"/>
          <w:szCs w:val="20"/>
        </w:rPr>
        <w:tab/>
        <w:t>Transport Block Size Determination</w:t>
      </w:r>
      <w:r w:rsidRPr="00CE3BEE">
        <w:rPr>
          <w:rFonts w:ascii="Times New Roman" w:hAnsi="Times New Roman" w:cs="Times New Roman"/>
          <w:sz w:val="20"/>
          <w:szCs w:val="20"/>
        </w:rPr>
        <w:tab/>
        <w:t>Samsung, NR-AH#2, June 2017</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[5]</w:t>
      </w:r>
      <w:r w:rsidRPr="00CE3BEE">
        <w:rPr>
          <w:rFonts w:ascii="Times New Roman" w:hAnsi="Times New Roman" w:cs="Times New Roman"/>
          <w:sz w:val="20"/>
          <w:szCs w:val="20"/>
        </w:rPr>
        <w:tab/>
        <w:t>R1-1710991</w:t>
      </w:r>
      <w:r w:rsidRPr="00CE3BEE">
        <w:rPr>
          <w:rFonts w:ascii="Times New Roman" w:hAnsi="Times New Roman" w:cs="Times New Roman"/>
          <w:sz w:val="20"/>
          <w:szCs w:val="20"/>
        </w:rPr>
        <w:tab/>
        <w:t>Transport block size determination and the support of slot aggregation in NR</w:t>
      </w:r>
      <w:r w:rsidRPr="00CE3BEE">
        <w:rPr>
          <w:rFonts w:ascii="Times New Roman" w:hAnsi="Times New Roman" w:cs="Times New Roman"/>
          <w:sz w:val="20"/>
          <w:szCs w:val="20"/>
        </w:rPr>
        <w:tab/>
        <w:t>Nokia, Alcatel-Lucent Shanghai Bell, NR-AH#2, June 2017</w:t>
      </w:r>
    </w:p>
    <w:p w:rsidR="004B6AC8" w:rsidRPr="00CE3BEE"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[6]</w:t>
      </w:r>
      <w:r w:rsidRPr="00CE3BEE">
        <w:rPr>
          <w:rFonts w:ascii="Times New Roman" w:hAnsi="Times New Roman" w:cs="Times New Roman"/>
          <w:sz w:val="20"/>
          <w:szCs w:val="20"/>
        </w:rPr>
        <w:tab/>
        <w:t>R1-1711109</w:t>
      </w:r>
      <w:r w:rsidRPr="00CE3BEE">
        <w:rPr>
          <w:rFonts w:ascii="Times New Roman" w:hAnsi="Times New Roman" w:cs="Times New Roman"/>
          <w:sz w:val="20"/>
          <w:szCs w:val="20"/>
        </w:rPr>
        <w:tab/>
        <w:t>Transport block size determination</w:t>
      </w:r>
      <w:r w:rsidRPr="00CE3BEE">
        <w:rPr>
          <w:rFonts w:ascii="Times New Roman" w:hAnsi="Times New Roman" w:cs="Times New Roman"/>
          <w:sz w:val="20"/>
          <w:szCs w:val="20"/>
        </w:rPr>
        <w:tab/>
        <w:t>NTT DOCOMO, INC. , NR-AH#2, June 2017</w:t>
      </w:r>
    </w:p>
    <w:p w:rsidR="004B6AC8" w:rsidRDefault="004B6AC8" w:rsidP="004B6AC8">
      <w:pPr>
        <w:rPr>
          <w:rFonts w:ascii="Times New Roman" w:hAnsi="Times New Roman" w:cs="Times New Roman"/>
          <w:sz w:val="20"/>
          <w:szCs w:val="20"/>
        </w:rPr>
      </w:pPr>
      <w:r w:rsidRPr="00CE3BEE">
        <w:rPr>
          <w:rFonts w:ascii="Times New Roman" w:hAnsi="Times New Roman" w:cs="Times New Roman"/>
          <w:sz w:val="20"/>
          <w:szCs w:val="20"/>
        </w:rPr>
        <w:t>[7]</w:t>
      </w:r>
      <w:r w:rsidRPr="00CE3BEE">
        <w:rPr>
          <w:rFonts w:ascii="Times New Roman" w:hAnsi="Times New Roman" w:cs="Times New Roman"/>
          <w:sz w:val="20"/>
          <w:szCs w:val="20"/>
        </w:rPr>
        <w:tab/>
        <w:t>R1-1711199</w:t>
      </w:r>
      <w:r w:rsidRPr="00CE3BEE">
        <w:rPr>
          <w:rFonts w:ascii="Times New Roman" w:hAnsi="Times New Roman" w:cs="Times New Roman"/>
          <w:sz w:val="20"/>
          <w:szCs w:val="20"/>
        </w:rPr>
        <w:tab/>
        <w:t>Discussion TB size determination</w:t>
      </w:r>
      <w:r w:rsidRPr="00CE3BEE">
        <w:rPr>
          <w:rFonts w:ascii="Times New Roman" w:hAnsi="Times New Roman" w:cs="Times New Roman"/>
          <w:sz w:val="20"/>
          <w:szCs w:val="20"/>
        </w:rPr>
        <w:tab/>
        <w:t>Qualcomm Incorporated, NR-AH#2, June 2017</w:t>
      </w:r>
    </w:p>
    <w:p w:rsidR="004B6AC8" w:rsidRPr="00CE3BEE" w:rsidRDefault="004B6AC8" w:rsidP="004B6AC8">
      <w:pPr>
        <w:rPr>
          <w:rFonts w:ascii="Times New Roman" w:hAnsi="Times New Roman" w:cs="Times New Roman"/>
          <w:sz w:val="20"/>
          <w:szCs w:val="20"/>
        </w:rPr>
      </w:pPr>
    </w:p>
    <w:p w:rsidR="002F3778" w:rsidRDefault="002F3778">
      <w:bookmarkStart w:id="0" w:name="_GoBack"/>
      <w:bookmarkEnd w:id="0"/>
    </w:p>
    <w:sectPr w:rsidR="002F3778" w:rsidSect="00F546BE">
      <w:footerReference w:type="default" r:id="rId7"/>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4422502"/>
      <w:docPartObj>
        <w:docPartGallery w:val="Page Numbers (Bottom of Page)"/>
        <w:docPartUnique/>
      </w:docPartObj>
    </w:sdtPr>
    <w:sdtEndPr>
      <w:rPr>
        <w:color w:val="7F7F7F" w:themeColor="background1" w:themeShade="7F"/>
        <w:spacing w:val="60"/>
      </w:rPr>
    </w:sdtEndPr>
    <w:sdtContent>
      <w:p w:rsidR="00E76A31" w:rsidRDefault="004B6AC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w:t>
        </w:r>
        <w:r>
          <w:rPr>
            <w:noProof/>
          </w:rPr>
          <w:fldChar w:fldCharType="end"/>
        </w:r>
        <w:r>
          <w:t xml:space="preserve"> | </w:t>
        </w:r>
        <w:r>
          <w:rPr>
            <w:color w:val="7F7F7F" w:themeColor="background1" w:themeShade="7F"/>
            <w:spacing w:val="60"/>
          </w:rPr>
          <w:t>Page</w:t>
        </w:r>
      </w:p>
    </w:sdtContent>
  </w:sdt>
  <w:p w:rsidR="00E76A31" w:rsidRDefault="004B6AC8">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11E9E"/>
    <w:multiLevelType w:val="hybridMultilevel"/>
    <w:tmpl w:val="54A23B4E"/>
    <w:lvl w:ilvl="0" w:tplc="6F0E0A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ECD73A9"/>
    <w:multiLevelType w:val="hybridMultilevel"/>
    <w:tmpl w:val="BB623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AC8"/>
    <w:rsid w:val="002F3778"/>
    <w:rsid w:val="004B6AC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FD77B0-3FF9-4040-8F48-0B6466316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A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6AC8"/>
    <w:pPr>
      <w:ind w:left="720"/>
      <w:contextualSpacing/>
    </w:pPr>
  </w:style>
  <w:style w:type="table" w:styleId="TableGrid">
    <w:name w:val="Table Grid"/>
    <w:basedOn w:val="TableNormal"/>
    <w:uiPriority w:val="39"/>
    <w:rsid w:val="004B6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B6A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2017-08-12T01:05:00Z</dcterms:created>
  <dcterms:modified xsi:type="dcterms:W3CDTF">2017-08-12T01:06:00Z</dcterms:modified>
</cp:coreProperties>
</file>