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35536" w14:textId="06D65521" w:rsidR="00972301" w:rsidRPr="006430CE" w:rsidRDefault="00972301" w:rsidP="00972301">
      <w:pPr>
        <w:pStyle w:val="Header"/>
        <w:rPr>
          <w:bCs/>
          <w:noProof w:val="0"/>
          <w:sz w:val="24"/>
          <w:lang w:val="en-GB"/>
        </w:rPr>
      </w:pPr>
      <w:r w:rsidRPr="006430CE">
        <w:rPr>
          <w:bCs/>
          <w:noProof w:val="0"/>
          <w:sz w:val="24"/>
          <w:lang w:val="en-GB"/>
        </w:rPr>
        <w:t xml:space="preserve">3GPP TSG-RAN WG1#90 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7620B3" w:rsidRPr="007620B3">
        <w:rPr>
          <w:bCs/>
          <w:noProof w:val="0"/>
          <w:sz w:val="24"/>
          <w:lang w:val="en-GB"/>
        </w:rPr>
        <w:t>R1-1714061</w:t>
      </w:r>
      <w:r w:rsidRPr="006430CE">
        <w:rPr>
          <w:bCs/>
          <w:noProof w:val="0"/>
          <w:sz w:val="24"/>
          <w:lang w:val="en-GB"/>
        </w:rPr>
        <w:t xml:space="preserve"> </w:t>
      </w:r>
    </w:p>
    <w:p w14:paraId="7B48C3B1" w14:textId="77777777" w:rsidR="00972301" w:rsidRDefault="00972301" w:rsidP="00972301">
      <w:pPr>
        <w:pStyle w:val="Header"/>
        <w:rPr>
          <w:bCs/>
          <w:noProof w:val="0"/>
          <w:sz w:val="24"/>
          <w:lang w:val="en-GB"/>
        </w:rPr>
      </w:pPr>
      <w:r w:rsidRPr="006430CE">
        <w:rPr>
          <w:bCs/>
          <w:noProof w:val="0"/>
          <w:sz w:val="24"/>
          <w:lang w:val="en-GB"/>
        </w:rPr>
        <w:t xml:space="preserve">Prague, Czech Republic, 21st – 25th August 2017 </w:t>
      </w:r>
    </w:p>
    <w:p w14:paraId="263B8568" w14:textId="77777777" w:rsidR="00B71F09" w:rsidRPr="0016316A" w:rsidRDefault="00B71F09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5EA79AFB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72301">
        <w:rPr>
          <w:rFonts w:cs="Arial"/>
          <w:b/>
          <w:bCs/>
          <w:sz w:val="24"/>
        </w:rPr>
        <w:t>6</w:t>
      </w:r>
      <w:r w:rsidR="00C43547">
        <w:rPr>
          <w:rFonts w:cs="Arial"/>
          <w:b/>
          <w:bCs/>
          <w:sz w:val="24"/>
        </w:rPr>
        <w:t>.1.3.1.</w:t>
      </w:r>
      <w:r w:rsidR="00753F11">
        <w:rPr>
          <w:rFonts w:cs="Arial"/>
          <w:b/>
          <w:bCs/>
          <w:sz w:val="24"/>
        </w:rPr>
        <w:t>2.3</w:t>
      </w:r>
    </w:p>
    <w:p w14:paraId="54BF8606" w14:textId="5EF1837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972301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5853304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923F0">
        <w:rPr>
          <w:rFonts w:ascii="Arial" w:hAnsi="Arial" w:cs="Arial"/>
          <w:b/>
          <w:bCs/>
          <w:sz w:val="24"/>
        </w:rPr>
        <w:t>PDCCH support for multi-beam system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97C0530" w14:textId="77777777" w:rsidR="004A64F6" w:rsidRDefault="004A64F6" w:rsidP="004A64F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5786408" w14:textId="414DFD51" w:rsidR="00EE466B" w:rsidRDefault="00EE466B" w:rsidP="00EE466B">
      <w:pPr>
        <w:rPr>
          <w:bCs/>
        </w:rPr>
      </w:pPr>
      <w:r>
        <w:t xml:space="preserve">The beamforming architecture used in the </w:t>
      </w:r>
      <w:proofErr w:type="spellStart"/>
      <w:r>
        <w:t>gNB</w:t>
      </w:r>
      <w:proofErr w:type="spellEnd"/>
      <w:r>
        <w:t xml:space="preserve"> needs to be taken into account also in the PDCCH design. This is due to the fact that not all the beam directions can be served simultaneously. </w:t>
      </w:r>
      <w:r>
        <w:rPr>
          <w:bCs/>
        </w:rPr>
        <w:t>This contribution relates to PDCCH transmission</w:t>
      </w:r>
      <w:r w:rsidR="00C83A77">
        <w:rPr>
          <w:bCs/>
        </w:rPr>
        <w:t>/reception</w:t>
      </w:r>
      <w:r>
        <w:rPr>
          <w:bCs/>
        </w:rPr>
        <w:t xml:space="preserve"> in the case when cell is operating according to </w:t>
      </w:r>
      <w:r w:rsidR="00260DD5">
        <w:rPr>
          <w:bCs/>
        </w:rPr>
        <w:t xml:space="preserve">a </w:t>
      </w:r>
      <w:r>
        <w:rPr>
          <w:bCs/>
        </w:rPr>
        <w:t xml:space="preserve">multi-beam configuration. </w:t>
      </w:r>
    </w:p>
    <w:p w14:paraId="726B03A8" w14:textId="2A35D1A4" w:rsidR="00C7542D" w:rsidRDefault="00C7542D" w:rsidP="00C7542D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9B0B12">
        <w:t>Discussion</w:t>
      </w:r>
    </w:p>
    <w:p w14:paraId="0991E42D" w14:textId="1FCAC868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2.1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9E16BE">
        <w:rPr>
          <w:rFonts w:ascii="Arial" w:hAnsi="Arial"/>
          <w:sz w:val="24"/>
        </w:rPr>
        <w:t>Beam sweeping</w:t>
      </w:r>
    </w:p>
    <w:p w14:paraId="0C7E7B5B" w14:textId="7A2C700D" w:rsidR="002C28B2" w:rsidRDefault="00835A50" w:rsidP="00835A50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The beam</w:t>
      </w:r>
      <w:r w:rsidR="00EE466B" w:rsidRPr="00EE466B">
        <w:rPr>
          <w:rFonts w:eastAsia="Times New Roman"/>
          <w:lang w:val="en-US" w:eastAsia="fi-FI"/>
        </w:rPr>
        <w:t xml:space="preserve"> s</w:t>
      </w:r>
      <w:r w:rsidR="002C28B2">
        <w:rPr>
          <w:rFonts w:eastAsia="Times New Roman"/>
          <w:lang w:val="en-US" w:eastAsia="fi-FI"/>
        </w:rPr>
        <w:t>weeping</w:t>
      </w:r>
      <w:r>
        <w:rPr>
          <w:rFonts w:eastAsia="Times New Roman"/>
          <w:lang w:val="en-US" w:eastAsia="fi-FI"/>
        </w:rPr>
        <w:t xml:space="preserve"> operation</w:t>
      </w:r>
      <w:r w:rsidR="002C28B2">
        <w:rPr>
          <w:rFonts w:eastAsia="Times New Roman"/>
          <w:lang w:val="en-US" w:eastAsia="fi-FI"/>
        </w:rPr>
        <w:t xml:space="preserve"> needs to be supported for PDCCH</w:t>
      </w:r>
      <w:r>
        <w:rPr>
          <w:rFonts w:eastAsia="Times New Roman"/>
          <w:lang w:val="en-US" w:eastAsia="fi-FI"/>
        </w:rPr>
        <w:t xml:space="preserve"> at least</w:t>
      </w:r>
      <w:r w:rsidR="002C28B2">
        <w:rPr>
          <w:rFonts w:eastAsia="Times New Roman"/>
          <w:lang w:val="en-US" w:eastAsia="fi-FI"/>
        </w:rPr>
        <w:t xml:space="preserve"> in </w:t>
      </w:r>
      <w:r>
        <w:rPr>
          <w:rFonts w:eastAsia="Times New Roman"/>
          <w:lang w:val="en-US" w:eastAsia="fi-FI"/>
        </w:rPr>
        <w:t>the following scenarios:</w:t>
      </w:r>
    </w:p>
    <w:p w14:paraId="517A79C7" w14:textId="53B0CBD2" w:rsid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>triggering a common channel transmission/reception in the multi-beam scenario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, for example </w:t>
      </w:r>
      <w:r>
        <w:rPr>
          <w:rFonts w:eastAsia="Times New Roman"/>
          <w:sz w:val="20"/>
          <w:szCs w:val="20"/>
          <w:lang w:val="en-US" w:eastAsia="fi-FI"/>
        </w:rPr>
        <w:t>paging.</w:t>
      </w:r>
    </w:p>
    <w:p w14:paraId="4EDC0C9D" w14:textId="23FE26A9" w:rsidR="00835A50" w:rsidRP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 xml:space="preserve">triggering a shared channel transmission/reception (PDSCH, PUSCH) for an UE in the multi-beam scenario where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the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has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uncertainy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related to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the </w:t>
      </w:r>
      <w:r>
        <w:rPr>
          <w:rFonts w:eastAsia="Times New Roman"/>
          <w:sz w:val="20"/>
          <w:szCs w:val="20"/>
          <w:lang w:val="en-US" w:eastAsia="fi-FI"/>
        </w:rPr>
        <w:t xml:space="preserve">UE location within the cell. </w:t>
      </w:r>
    </w:p>
    <w:p w14:paraId="5C4B5573" w14:textId="2483F346" w:rsidR="00692CA7" w:rsidRDefault="00692CA7" w:rsidP="00692CA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There are two main </w:t>
      </w:r>
      <w:r w:rsidR="00AE2E35">
        <w:rPr>
          <w:rFonts w:eastAsia="Times New Roman"/>
          <w:lang w:val="en-US" w:eastAsia="fi-FI"/>
        </w:rPr>
        <w:t>options</w:t>
      </w:r>
      <w:r>
        <w:rPr>
          <w:rFonts w:eastAsia="Times New Roman"/>
          <w:lang w:val="en-US" w:eastAsia="fi-FI"/>
        </w:rPr>
        <w:t xml:space="preserve"> for </w:t>
      </w:r>
      <w:r w:rsidR="00C83A77">
        <w:rPr>
          <w:rFonts w:eastAsia="Times New Roman"/>
          <w:lang w:val="en-US" w:eastAsia="fi-FI"/>
        </w:rPr>
        <w:t>the PDCCH beam sweeping</w:t>
      </w:r>
      <w:r>
        <w:rPr>
          <w:rFonts w:eastAsia="Times New Roman"/>
          <w:lang w:val="en-US" w:eastAsia="fi-FI"/>
        </w:rPr>
        <w:t>:</w:t>
      </w:r>
      <w:r w:rsidRPr="00692CA7">
        <w:rPr>
          <w:rFonts w:eastAsia="Times New Roman"/>
          <w:lang w:val="en-US" w:eastAsia="fi-FI"/>
        </w:rPr>
        <w:t xml:space="preserve"> </w:t>
      </w:r>
    </w:p>
    <w:p w14:paraId="511A05AD" w14:textId="3A7645A5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1</w:t>
      </w:r>
      <w:r>
        <w:rPr>
          <w:rFonts w:eastAsia="Times New Roman"/>
          <w:sz w:val="20"/>
          <w:szCs w:val="20"/>
          <w:lang w:val="en-US" w:eastAsia="fi-FI"/>
        </w:rPr>
        <w:t xml:space="preserve">: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Pre-defined </w:t>
      </w:r>
      <w:r w:rsidR="00A1302A">
        <w:rPr>
          <w:rFonts w:eastAsia="Times New Roman"/>
          <w:sz w:val="20"/>
          <w:szCs w:val="20"/>
          <w:lang w:val="en-US" w:eastAsia="fi-FI"/>
        </w:rPr>
        <w:t xml:space="preserve">OFDM/symbols and/or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resource elements of </w:t>
      </w:r>
      <w:r w:rsidR="00A1302A">
        <w:rPr>
          <w:rFonts w:eastAsia="Times New Roman"/>
          <w:sz w:val="20"/>
          <w:szCs w:val="20"/>
          <w:lang w:val="en-US" w:eastAsia="fi-FI"/>
        </w:rPr>
        <w:t xml:space="preserve">the slots containing </w:t>
      </w:r>
      <w:r w:rsidR="00692CA7">
        <w:rPr>
          <w:rFonts w:eastAsia="Times New Roman"/>
          <w:sz w:val="20"/>
          <w:szCs w:val="20"/>
          <w:lang w:val="en-US" w:eastAsia="fi-FI"/>
        </w:rPr>
        <w:t>synchronization signal</w:t>
      </w:r>
      <w:r w:rsidR="00A1302A">
        <w:rPr>
          <w:rFonts w:eastAsia="Times New Roman"/>
          <w:sz w:val="20"/>
          <w:szCs w:val="20"/>
          <w:lang w:val="en-US" w:eastAsia="fi-FI"/>
        </w:rPr>
        <w:t xml:space="preserve"> (SS)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block</w:t>
      </w:r>
      <w:r w:rsidR="00A1302A">
        <w:rPr>
          <w:rFonts w:eastAsia="Times New Roman"/>
          <w:sz w:val="20"/>
          <w:szCs w:val="20"/>
          <w:lang w:val="en-US" w:eastAsia="fi-FI"/>
        </w:rPr>
        <w:t>s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are made available for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the sweeping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PDCCH. </w:t>
      </w:r>
    </w:p>
    <w:p w14:paraId="6E58A313" w14:textId="528342A7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2:</w:t>
      </w:r>
      <w:r>
        <w:rPr>
          <w:rFonts w:eastAsia="Times New Roman"/>
          <w:sz w:val="20"/>
          <w:szCs w:val="20"/>
          <w:lang w:val="en-US" w:eastAsia="fi-FI"/>
        </w:rPr>
        <w:t xml:space="preserve"> </w:t>
      </w:r>
      <w:r w:rsidR="00A33CFA">
        <w:rPr>
          <w:rFonts w:eastAsia="Times New Roman"/>
          <w:sz w:val="20"/>
          <w:szCs w:val="20"/>
          <w:lang w:val="en-US" w:eastAsia="fi-FI"/>
        </w:rPr>
        <w:t>A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separate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is provided for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NR-PDCCH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independently from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the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SS block. For example in the case of </w:t>
      </w:r>
      <w:r w:rsidR="00692CA7">
        <w:rPr>
          <w:rFonts w:eastAsia="Times New Roman"/>
          <w:sz w:val="20"/>
          <w:szCs w:val="20"/>
          <w:lang w:val="en-US" w:eastAsia="fi-FI"/>
        </w:rPr>
        <w:t>paging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, a sweeping PDCCH could be used for scheduling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PCH on NR-PDSCH after the 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scheduling sweep [</w:t>
      </w:r>
      <w:r w:rsidR="009D40F2" w:rsidRPr="009D40F2">
        <w:rPr>
          <w:rFonts w:eastAsia="Times New Roman"/>
          <w:sz w:val="20"/>
          <w:szCs w:val="20"/>
          <w:lang w:val="en-US" w:eastAsia="fi-FI"/>
        </w:rPr>
        <w:t>4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].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616D39">
        <w:rPr>
          <w:rFonts w:eastAsia="Times New Roman"/>
          <w:sz w:val="20"/>
          <w:szCs w:val="20"/>
          <w:lang w:val="en-US" w:eastAsia="fi-FI"/>
        </w:rPr>
        <w:t xml:space="preserve">The principle of the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616D39">
        <w:rPr>
          <w:rFonts w:eastAsia="Times New Roman"/>
          <w:sz w:val="20"/>
          <w:szCs w:val="20"/>
          <w:lang w:val="en-US" w:eastAsia="fi-FI"/>
        </w:rPr>
        <w:t>is shown in Figure 1.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8939D1">
        <w:rPr>
          <w:rFonts w:eastAsia="Times New Roman"/>
          <w:sz w:val="20"/>
          <w:szCs w:val="20"/>
          <w:lang w:val="en-US" w:eastAsia="fi-FI"/>
        </w:rPr>
        <w:t>It is mapped to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predefined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 PDSCH resources of the DL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slot, or bi-directional DL slot. I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n the current example, each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can support </w:t>
      </w:r>
      <w:r w:rsidR="008939D1">
        <w:rPr>
          <w:rFonts w:eastAsia="Times New Roman"/>
          <w:sz w:val="20"/>
          <w:szCs w:val="20"/>
          <w:lang w:val="en-US" w:eastAsia="fi-FI"/>
        </w:rPr>
        <w:t>four different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set of beams</w:t>
      </w:r>
      <w:r w:rsidR="0018239F">
        <w:rPr>
          <w:rFonts w:eastAsia="Times New Roman"/>
          <w:sz w:val="20"/>
          <w:szCs w:val="20"/>
          <w:lang w:val="en-US" w:eastAsia="fi-FI"/>
        </w:rPr>
        <w:t>.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can allocate one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ore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more PDCCH sweep blocks with given periodicity.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 The actual data transmission triggered by the PDCCH sweep block can be based on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slots or 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mini-slots.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 </w:t>
      </w:r>
    </w:p>
    <w:p w14:paraId="0DF90581" w14:textId="7608CED8" w:rsidR="00F70687" w:rsidRDefault="00F70687" w:rsidP="00692CA7">
      <w:pPr>
        <w:spacing w:before="60" w:after="60"/>
        <w:rPr>
          <w:rFonts w:eastAsia="Times New Roman"/>
          <w:lang w:val="en-US" w:eastAsia="fi-FI"/>
        </w:rPr>
      </w:pPr>
    </w:p>
    <w:p w14:paraId="1231634A" w14:textId="665AA0BB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Generally speaking, there seems to be a need for both options. Option 1 can be seen as a simple and straightforward solution with limited flexibility in terms periodicity. Option 2 can be seen as an optimized solution for different use cases, having full flexibility.</w:t>
      </w:r>
    </w:p>
    <w:p w14:paraId="0BBAD8D1" w14:textId="77777777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</w:p>
    <w:p w14:paraId="1A1C6F9E" w14:textId="0CF699B6" w:rsidR="00130476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>Support sweeping PDCCH as part of sy</w:t>
      </w:r>
      <w:r w:rsidR="00D2228C">
        <w:rPr>
          <w:bCs/>
          <w:i/>
        </w:rPr>
        <w:t>nc</w:t>
      </w:r>
      <w:r>
        <w:rPr>
          <w:bCs/>
          <w:i/>
        </w:rPr>
        <w:t>hronization signal block</w:t>
      </w:r>
    </w:p>
    <w:p w14:paraId="2CD054E5" w14:textId="77777777" w:rsidR="00130476" w:rsidRPr="00F42DDD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AF41E0B" w14:textId="77777777" w:rsidR="00130476" w:rsidRPr="00130476" w:rsidRDefault="00130476" w:rsidP="00692CA7">
      <w:pPr>
        <w:spacing w:before="60" w:after="60"/>
        <w:rPr>
          <w:rFonts w:eastAsia="Times New Roman"/>
          <w:lang w:eastAsia="fi-FI"/>
        </w:rPr>
      </w:pPr>
    </w:p>
    <w:p w14:paraId="42C0A303" w14:textId="519D1F86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As </w:t>
      </w:r>
      <w:r w:rsidRPr="00692CA7">
        <w:rPr>
          <w:rFonts w:eastAsia="Times New Roman"/>
          <w:lang w:val="en-US" w:eastAsia="fi-FI"/>
        </w:rPr>
        <w:t xml:space="preserve">discussed in </w:t>
      </w:r>
      <w:r w:rsidRPr="009D40F2">
        <w:rPr>
          <w:rFonts w:eastAsia="Times New Roman"/>
          <w:lang w:val="en-US" w:eastAsia="fi-FI"/>
        </w:rPr>
        <w:t>[</w:t>
      </w:r>
      <w:r w:rsidR="00F72DDF">
        <w:rPr>
          <w:rFonts w:eastAsia="Times New Roman"/>
          <w:lang w:val="en-US" w:eastAsia="fi-FI"/>
        </w:rPr>
        <w:t>4</w:t>
      </w:r>
      <w:r w:rsidRPr="009D40F2">
        <w:rPr>
          <w:rFonts w:eastAsia="Times New Roman"/>
          <w:lang w:val="en-US" w:eastAsia="fi-FI"/>
        </w:rPr>
        <w:t>]</w:t>
      </w:r>
      <w:r w:rsidRPr="00692CA7">
        <w:rPr>
          <w:rFonts w:eastAsia="Times New Roman"/>
          <w:lang w:val="en-US" w:eastAsia="fi-FI"/>
        </w:rPr>
        <w:t>, each scheduling block in the</w:t>
      </w:r>
      <w:r w:rsidR="00130476">
        <w:rPr>
          <w:rFonts w:eastAsia="Times New Roman"/>
          <w:lang w:val="en-US" w:eastAsia="fi-FI"/>
        </w:rPr>
        <w:t xml:space="preserve"> PDCCH</w:t>
      </w:r>
      <w:r w:rsidRPr="00692CA7">
        <w:rPr>
          <w:rFonts w:eastAsia="Times New Roman"/>
          <w:lang w:val="en-US" w:eastAsia="fi-FI"/>
        </w:rPr>
        <w:t xml:space="preserve"> sweep could have association to an SS-block in the cell and hence the UE could determine the scheduling block and its transmission timing based on the SS-block timing in the SS sweep</w:t>
      </w:r>
      <w:r w:rsidR="00260DD5">
        <w:rPr>
          <w:rFonts w:eastAsia="Times New Roman"/>
          <w:lang w:val="en-US" w:eastAsia="fi-FI"/>
        </w:rPr>
        <w:t>,</w:t>
      </w:r>
      <w:r w:rsidRPr="00692CA7">
        <w:rPr>
          <w:rFonts w:eastAsia="Times New Roman"/>
          <w:lang w:val="en-US" w:eastAsia="fi-FI"/>
        </w:rPr>
        <w:t xml:space="preserve"> and the given </w:t>
      </w:r>
      <w:r w:rsidR="00260DD5">
        <w:rPr>
          <w:rFonts w:eastAsia="Times New Roman"/>
          <w:lang w:val="en-US" w:eastAsia="fi-FI"/>
        </w:rPr>
        <w:t>PDCCH block sweep configuration. Following this principle, the UE can minimize the PDCCH blind detection burden since it doesn’t need to monitor each symbol of the PDCCH sweep</w:t>
      </w:r>
      <w:r w:rsidR="00CC3A03">
        <w:rPr>
          <w:rFonts w:eastAsia="Times New Roman"/>
          <w:lang w:val="en-US" w:eastAsia="fi-FI"/>
        </w:rPr>
        <w:t xml:space="preserve"> block</w:t>
      </w:r>
      <w:r w:rsidR="00260DD5">
        <w:rPr>
          <w:rFonts w:eastAsia="Times New Roman"/>
          <w:lang w:val="en-US" w:eastAsia="fi-FI"/>
        </w:rPr>
        <w:t>.</w:t>
      </w:r>
      <w:r w:rsidR="008939D1">
        <w:rPr>
          <w:rFonts w:eastAsia="Times New Roman"/>
          <w:lang w:val="en-US" w:eastAsia="fi-FI"/>
        </w:rPr>
        <w:t xml:space="preserve"> </w:t>
      </w:r>
    </w:p>
    <w:p w14:paraId="690F3543" w14:textId="3672BBAD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 w:rsidRPr="00692CA7">
        <w:rPr>
          <w:rFonts w:eastAsia="Times New Roman"/>
          <w:lang w:val="en-US" w:eastAsia="fi-FI"/>
        </w:rPr>
        <w:lastRenderedPageBreak/>
        <w:t xml:space="preserve">On the other hand, in principle there does not need to be dependency between SS-block and scheduling block and </w:t>
      </w:r>
      <w:r w:rsidR="00F72DDF">
        <w:rPr>
          <w:rFonts w:eastAsia="Times New Roman"/>
          <w:lang w:val="en-US" w:eastAsia="fi-FI"/>
        </w:rPr>
        <w:t xml:space="preserve">it </w:t>
      </w:r>
      <w:r w:rsidRPr="00692CA7">
        <w:rPr>
          <w:rFonts w:eastAsia="Times New Roman"/>
          <w:lang w:val="en-US" w:eastAsia="fi-FI"/>
        </w:rPr>
        <w:t>should be discussed whether any advantages can be achieved</w:t>
      </w:r>
      <w:r w:rsidR="00F72DDF">
        <w:rPr>
          <w:rFonts w:eastAsia="Times New Roman"/>
          <w:lang w:val="en-US" w:eastAsia="fi-FI"/>
        </w:rPr>
        <w:t xml:space="preserve"> using this approach</w:t>
      </w:r>
      <w:r w:rsidRPr="00692CA7">
        <w:rPr>
          <w:rFonts w:eastAsia="Times New Roman"/>
          <w:lang w:val="en-US" w:eastAsia="fi-FI"/>
        </w:rPr>
        <w:t>.</w:t>
      </w:r>
      <w:r w:rsidR="00260DD5">
        <w:rPr>
          <w:rFonts w:eastAsia="Times New Roman"/>
          <w:lang w:val="en-US" w:eastAsia="fi-FI"/>
        </w:rPr>
        <w:t xml:space="preserve"> Following this principle, the UE needs to monitor each PDCCH symbol</w:t>
      </w:r>
      <w:r w:rsidR="000335BA">
        <w:rPr>
          <w:rFonts w:eastAsia="Times New Roman"/>
          <w:lang w:val="en-US" w:eastAsia="fi-FI"/>
        </w:rPr>
        <w:t xml:space="preserve"> (CORESET)</w:t>
      </w:r>
      <w:r w:rsidR="00260DD5">
        <w:rPr>
          <w:rFonts w:eastAsia="Times New Roman"/>
          <w:lang w:val="en-US" w:eastAsia="fi-FI"/>
        </w:rPr>
        <w:t xml:space="preserve"> of the </w:t>
      </w:r>
      <w:r w:rsidR="00F72DDF">
        <w:rPr>
          <w:rFonts w:eastAsia="Times New Roman"/>
          <w:lang w:val="en-US" w:eastAsia="fi-FI"/>
        </w:rPr>
        <w:t>PDCCH sweep block</w:t>
      </w:r>
      <w:r w:rsidR="00260DD5">
        <w:rPr>
          <w:rFonts w:eastAsia="Times New Roman"/>
          <w:lang w:val="en-US" w:eastAsia="fi-FI"/>
        </w:rPr>
        <w:t xml:space="preserve">. </w:t>
      </w:r>
    </w:p>
    <w:p w14:paraId="47DAA62D" w14:textId="2A25F3E6" w:rsidR="008C4D47" w:rsidRDefault="008C4D47" w:rsidP="00692CA7">
      <w:pPr>
        <w:spacing w:before="60" w:after="60"/>
        <w:rPr>
          <w:rFonts w:eastAsia="Times New Roman"/>
          <w:lang w:val="en-US" w:eastAsia="fi-FI"/>
        </w:rPr>
      </w:pPr>
    </w:p>
    <w:p w14:paraId="50BC9BCC" w14:textId="77777777" w:rsidR="008C4D47" w:rsidRPr="00F42DDD" w:rsidRDefault="008C4D47" w:rsidP="008C4D47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1D7B6544" w14:textId="77777777" w:rsidR="008C4D47" w:rsidRPr="008C4D47" w:rsidRDefault="008C4D47" w:rsidP="00692CA7">
      <w:pPr>
        <w:spacing w:before="60" w:after="60"/>
        <w:rPr>
          <w:rFonts w:eastAsia="Times New Roman"/>
          <w:lang w:eastAsia="fi-FI"/>
        </w:rPr>
      </w:pPr>
    </w:p>
    <w:p w14:paraId="72B34D39" w14:textId="7DE2DB85" w:rsidR="00260DD5" w:rsidRPr="0046078E" w:rsidRDefault="0046078E" w:rsidP="00616D39">
      <w:pPr>
        <w:spacing w:before="60" w:after="60"/>
        <w:jc w:val="center"/>
        <w:rPr>
          <w:rFonts w:eastAsia="Times New Roman"/>
          <w:lang w:eastAsia="fi-FI"/>
        </w:rPr>
      </w:pPr>
      <w:r w:rsidRPr="0046078E">
        <w:rPr>
          <w:noProof/>
          <w:lang w:val="fi-FI" w:eastAsia="fi-FI"/>
        </w:rPr>
        <w:drawing>
          <wp:inline distT="0" distB="0" distL="0" distR="0" wp14:anchorId="29B0C94F" wp14:editId="7EE702FB">
            <wp:extent cx="4377537" cy="1142666"/>
            <wp:effectExtent l="0" t="0" r="444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457" cy="114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C90D1" w14:textId="6A2CD589" w:rsidR="00616D39" w:rsidRDefault="00616D39" w:rsidP="00616D3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DL </w:t>
      </w:r>
      <w:r w:rsidR="00AE2E35">
        <w:t>slot structure with PDCCH sweep block</w:t>
      </w:r>
    </w:p>
    <w:p w14:paraId="5C433BF4" w14:textId="3AC2AB9D" w:rsidR="008D4753" w:rsidRDefault="008D4753" w:rsidP="00C7542D">
      <w:pPr>
        <w:spacing w:after="0"/>
        <w:jc w:val="both"/>
        <w:rPr>
          <w:rFonts w:eastAsia="MS Mincho"/>
          <w:lang w:val="en-US" w:eastAsia="ja-JP"/>
        </w:rPr>
      </w:pPr>
    </w:p>
    <w:p w14:paraId="593E66C6" w14:textId="77777777" w:rsidR="00F42DDD" w:rsidRDefault="00F42DDD" w:rsidP="00C7542D">
      <w:pPr>
        <w:spacing w:after="0"/>
        <w:jc w:val="both"/>
        <w:rPr>
          <w:rFonts w:eastAsia="MS Mincho"/>
          <w:lang w:val="en-US" w:eastAsia="ja-JP"/>
        </w:rPr>
      </w:pPr>
    </w:p>
    <w:p w14:paraId="16F95665" w14:textId="161BA5D3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2.2</w:t>
      </w:r>
      <w:r w:rsidRPr="00983038">
        <w:rPr>
          <w:rFonts w:ascii="Arial" w:hAnsi="Arial"/>
          <w:sz w:val="24"/>
        </w:rPr>
        <w:t xml:space="preserve">. </w:t>
      </w:r>
      <w:r w:rsidR="009E16BE">
        <w:rPr>
          <w:rFonts w:ascii="Arial" w:hAnsi="Arial"/>
          <w:sz w:val="24"/>
        </w:rPr>
        <w:t>Mini-slot based operation</w:t>
      </w:r>
      <w:r w:rsidR="00F40578">
        <w:rPr>
          <w:rFonts w:ascii="Arial" w:hAnsi="Arial"/>
          <w:sz w:val="24"/>
        </w:rPr>
        <w:t xml:space="preserve"> in </w:t>
      </w:r>
      <w:r w:rsidR="00F70687">
        <w:rPr>
          <w:rFonts w:ascii="Arial" w:hAnsi="Arial"/>
          <w:sz w:val="24"/>
        </w:rPr>
        <w:t xml:space="preserve">the </w:t>
      </w:r>
      <w:r w:rsidR="00F40578">
        <w:rPr>
          <w:rFonts w:ascii="Arial" w:hAnsi="Arial"/>
          <w:sz w:val="24"/>
        </w:rPr>
        <w:t xml:space="preserve">multi-beam scenario </w:t>
      </w:r>
    </w:p>
    <w:p w14:paraId="3C2B6770" w14:textId="77166D38" w:rsidR="00616D39" w:rsidRDefault="00616D39" w:rsidP="00F40578">
      <w:pPr>
        <w:spacing w:after="60"/>
      </w:pPr>
      <w:r>
        <w:t>The following was agreed in TSG RAN WG1 #AH1_NR meeting:</w:t>
      </w:r>
    </w:p>
    <w:p w14:paraId="66E20E04" w14:textId="77777777" w:rsidR="00616D39" w:rsidRPr="00616D39" w:rsidRDefault="00616D39" w:rsidP="00E74119">
      <w:pPr>
        <w:pStyle w:val="ListParagraph"/>
        <w:numPr>
          <w:ilvl w:val="0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Take into account following targets/use-cases to design mini-slots:</w:t>
      </w:r>
    </w:p>
    <w:p w14:paraId="7D5E5D6F" w14:textId="5DC41279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14DFE89C" w14:textId="3268E678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Support of finer TDM granularity of scheduling for the same/different UEs within a slot</w:t>
      </w:r>
    </w:p>
    <w:p w14:paraId="6CEB76BF" w14:textId="4605A5B7" w:rsidR="00616D39" w:rsidRPr="00616D39" w:rsidRDefault="00616D39" w:rsidP="00E74119">
      <w:pPr>
        <w:pStyle w:val="ListParagraph"/>
        <w:numPr>
          <w:ilvl w:val="2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 xml:space="preserve">Especially if </w:t>
      </w:r>
      <w:proofErr w:type="spellStart"/>
      <w:r w:rsidRPr="00616D39">
        <w:rPr>
          <w:rFonts w:eastAsia="MS Mincho"/>
          <w:sz w:val="20"/>
          <w:lang w:val="en-US"/>
        </w:rPr>
        <w:t>TRxP</w:t>
      </w:r>
      <w:proofErr w:type="spellEnd"/>
      <w:r w:rsidRPr="00616D39">
        <w:rPr>
          <w:rFonts w:eastAsia="MS Mincho"/>
          <w:sz w:val="20"/>
          <w:lang w:val="en-US"/>
        </w:rPr>
        <w:t xml:space="preserve"> uses beam-sweeping (e.g., above 6GHz).</w:t>
      </w:r>
    </w:p>
    <w:p w14:paraId="61B33DB0" w14:textId="62ED4F77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432C1BDC" w14:textId="450E75B3" w:rsidR="00616D39" w:rsidRDefault="00616D39" w:rsidP="00EE466B">
      <w:pPr>
        <w:rPr>
          <w:lang w:val="en-US"/>
        </w:rPr>
      </w:pPr>
    </w:p>
    <w:p w14:paraId="67B1D340" w14:textId="082EE7E7" w:rsidR="00F40578" w:rsidRDefault="00F40578" w:rsidP="00F40578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lang w:val="en-US"/>
        </w:rPr>
        <w:t>Mini-slot based scheduling is a way to provide finer TDM granularity of scheduling within a slot. There are two main approaches for mini-slot</w:t>
      </w:r>
      <w:r w:rsidR="00F72DDF">
        <w:rPr>
          <w:lang w:val="en-US"/>
        </w:rPr>
        <w:t xml:space="preserve"> based</w:t>
      </w:r>
      <w:r>
        <w:rPr>
          <w:lang w:val="en-US"/>
        </w:rPr>
        <w:t xml:space="preserve"> scheduling shown in Figure 2 and Figure 3.</w:t>
      </w:r>
      <w:r w:rsidRPr="00F40578">
        <w:rPr>
          <w:rFonts w:eastAsia="Times New Roman"/>
          <w:lang w:val="en-US" w:eastAsia="fi-FI"/>
        </w:rPr>
        <w:t xml:space="preserve"> </w:t>
      </w:r>
    </w:p>
    <w:p w14:paraId="2C022FC5" w14:textId="0F7AE92B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DL </w:t>
      </w:r>
      <w:r>
        <w:rPr>
          <w:rFonts w:eastAsia="Times New Roman"/>
          <w:sz w:val="20"/>
          <w:szCs w:val="20"/>
          <w:lang w:val="en-US" w:eastAsia="fi-FI"/>
        </w:rPr>
        <w:t>slot (K0&gt;0)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. </w:t>
      </w:r>
    </w:p>
    <w:p w14:paraId="6AEF5328" w14:textId="3ABFA91D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>Scheduling is made from PDCCH l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ocated at the beginning of each DL </w:t>
      </w:r>
      <w:r>
        <w:rPr>
          <w:rFonts w:eastAsia="Times New Roman"/>
          <w:sz w:val="20"/>
          <w:szCs w:val="20"/>
          <w:lang w:val="en-US" w:eastAsia="fi-FI"/>
        </w:rPr>
        <w:t>mini-slot (K0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=0). </w:t>
      </w:r>
    </w:p>
    <w:p w14:paraId="33EB3A9C" w14:textId="0A83417E" w:rsidR="001D2497" w:rsidRDefault="00F70687" w:rsidP="001D249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It can be assumed that each CP-OFDM symbo</w:t>
      </w:r>
      <w:r w:rsidR="00F72DDF">
        <w:rPr>
          <w:rFonts w:eastAsia="Times New Roman"/>
          <w:lang w:val="en-US" w:eastAsia="fi-FI"/>
        </w:rPr>
        <w:t>l</w:t>
      </w:r>
      <w:r>
        <w:rPr>
          <w:rFonts w:eastAsia="Times New Roman"/>
          <w:lang w:val="en-US" w:eastAsia="fi-FI"/>
        </w:rPr>
        <w:t xml:space="preserve"> of the slot can be processed using different </w:t>
      </w:r>
      <w:proofErr w:type="spellStart"/>
      <w:r>
        <w:rPr>
          <w:rFonts w:eastAsia="Times New Roman"/>
          <w:lang w:val="en-US" w:eastAsia="fi-FI"/>
        </w:rPr>
        <w:t>Tx</w:t>
      </w:r>
      <w:proofErr w:type="spellEnd"/>
      <w:r>
        <w:rPr>
          <w:rFonts w:eastAsia="Times New Roman"/>
          <w:lang w:val="en-US" w:eastAsia="fi-FI"/>
        </w:rPr>
        <w:t xml:space="preserve">/Rx beams at </w:t>
      </w:r>
      <w:proofErr w:type="spellStart"/>
      <w:r>
        <w:rPr>
          <w:rFonts w:eastAsia="Times New Roman"/>
          <w:lang w:val="en-US" w:eastAsia="fi-FI"/>
        </w:rPr>
        <w:t>gNB</w:t>
      </w:r>
      <w:proofErr w:type="spellEnd"/>
      <w:r>
        <w:rPr>
          <w:rFonts w:eastAsia="Times New Roman"/>
          <w:lang w:val="en-US" w:eastAsia="fi-FI"/>
        </w:rPr>
        <w:t xml:space="preserve">/UE.  </w:t>
      </w:r>
    </w:p>
    <w:p w14:paraId="5F01A837" w14:textId="77777777" w:rsidR="00F40578" w:rsidRPr="00616D39" w:rsidRDefault="00F40578" w:rsidP="00EE466B">
      <w:pPr>
        <w:rPr>
          <w:lang w:val="en-US"/>
        </w:rPr>
      </w:pPr>
    </w:p>
    <w:p w14:paraId="14E33CF1" w14:textId="7844DF7B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fi-FI" w:eastAsia="fi-FI"/>
        </w:rPr>
        <w:drawing>
          <wp:inline distT="0" distB="0" distL="0" distR="0" wp14:anchorId="718077BF" wp14:editId="2B121092">
            <wp:extent cx="3960000" cy="142971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0DEAB" w14:textId="6FACE856" w:rsidR="00C606B4" w:rsidRDefault="00C606B4" w:rsidP="00C606B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2497">
        <w:rPr>
          <w:noProof/>
        </w:rPr>
        <w:t>2</w:t>
      </w:r>
      <w:r>
        <w:fldChar w:fldCharType="end"/>
      </w:r>
      <w:r>
        <w:t xml:space="preserve">. DL </w:t>
      </w:r>
      <w:r w:rsidR="00AE2E35">
        <w:t>slot structure with control symbols located at the beginning.</w:t>
      </w:r>
    </w:p>
    <w:p w14:paraId="1618FA96" w14:textId="7ED802CD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fi-FI" w:eastAsia="fi-FI"/>
        </w:rPr>
        <w:drawing>
          <wp:inline distT="0" distB="0" distL="0" distR="0" wp14:anchorId="08DF6996" wp14:editId="68CC58C4">
            <wp:extent cx="3960000" cy="1014334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01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F635" w14:textId="7EC51F23" w:rsidR="00C606B4" w:rsidRDefault="00B91CAD" w:rsidP="00C606B4">
      <w:pPr>
        <w:pStyle w:val="Caption"/>
        <w:jc w:val="center"/>
      </w:pPr>
      <w:r>
        <w:t xml:space="preserve"> </w:t>
      </w:r>
      <w:r w:rsidR="00C606B4">
        <w:t xml:space="preserve">Figure </w:t>
      </w:r>
      <w:r w:rsidR="00C606B4">
        <w:fldChar w:fldCharType="begin"/>
      </w:r>
      <w:r w:rsidR="00C606B4">
        <w:instrText xml:space="preserve"> SEQ Figure \* ARABIC </w:instrText>
      </w:r>
      <w:r w:rsidR="00C606B4">
        <w:fldChar w:fldCharType="separate"/>
      </w:r>
      <w:r w:rsidR="001D2497">
        <w:rPr>
          <w:noProof/>
        </w:rPr>
        <w:t>3</w:t>
      </w:r>
      <w:r w:rsidR="00C606B4">
        <w:fldChar w:fldCharType="end"/>
      </w:r>
      <w:r w:rsidR="00C606B4">
        <w:t xml:space="preserve">. DL </w:t>
      </w:r>
      <w:r w:rsidR="00AE2E35">
        <w:t>slot structure with control symbols located in each mini-slot</w:t>
      </w:r>
    </w:p>
    <w:p w14:paraId="560169B3" w14:textId="792FC495" w:rsidR="00B91CAD" w:rsidRDefault="00B91CAD" w:rsidP="00B91CAD">
      <w:pPr>
        <w:jc w:val="both"/>
      </w:pPr>
    </w:p>
    <w:p w14:paraId="0D117F97" w14:textId="77777777" w:rsidR="001D2497" w:rsidRDefault="001D2497" w:rsidP="001D249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MS Mincho"/>
          <w:lang w:eastAsia="ja-JP"/>
        </w:rPr>
        <w:t xml:space="preserve">It can be noted that both scheduling options are supported already by previous decisions made by RAN1: </w:t>
      </w:r>
    </w:p>
    <w:p w14:paraId="41C34296" w14:textId="2AD7DCB6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i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lastRenderedPageBreak/>
        <w:t>It was agreed in RAN1 Ad-hoc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Timing between DL assignment and corresponding DL data transmission is indicated by a field in the DCI from a set of values. The set of values is configured by higher layer”. </w:t>
      </w:r>
      <w:r w:rsidRPr="001D2497">
        <w:rPr>
          <w:rFonts w:eastAsia="Times New Roman"/>
          <w:sz w:val="20"/>
          <w:szCs w:val="20"/>
          <w:lang w:val="en-US" w:eastAsia="fi-FI"/>
        </w:rPr>
        <w:t>Furthermore 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data channel having minimum duration of 1 OFDM symbol of the data and starting at any OFDM symbol to below-6GHz, in addition to above-6GHz”.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b/>
          <w:sz w:val="20"/>
          <w:szCs w:val="20"/>
          <w:lang w:val="en-US" w:eastAsia="fi-FI"/>
        </w:rPr>
        <w:t>These agreements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indicate that operation mode according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 to principle shown in Figure 2 is supported already.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0E18BF77" w14:textId="6244EE00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t>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occasion of "DL control channel monitoring" per 1 symbol with respect to the numerology of the DL control channel</w:t>
      </w:r>
      <w:r>
        <w:rPr>
          <w:rFonts w:eastAsia="Times New Roman"/>
          <w:i/>
          <w:sz w:val="20"/>
          <w:szCs w:val="20"/>
          <w:lang w:val="en-US" w:eastAsia="fi-FI"/>
        </w:rPr>
        <w:t>”.</w:t>
      </w:r>
      <w:r w:rsidR="00F70687" w:rsidRPr="00F70687"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This agreement indicates that operation mode according to principle shown in Figure 3 is supported already. </w:t>
      </w:r>
      <w:r w:rsidR="00F70687"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2664ECD8" w14:textId="18E35006" w:rsidR="001D2497" w:rsidRPr="001D2497" w:rsidRDefault="001D2497" w:rsidP="001D2497">
      <w:pPr>
        <w:spacing w:before="60" w:after="60"/>
        <w:ind w:left="360"/>
        <w:rPr>
          <w:rFonts w:eastAsia="Times New Roman"/>
          <w:lang w:val="en-US" w:eastAsia="fi-FI"/>
        </w:rPr>
      </w:pPr>
    </w:p>
    <w:p w14:paraId="3058F652" w14:textId="2F62A302" w:rsidR="00F70687" w:rsidRPr="001D2497" w:rsidRDefault="00F70687" w:rsidP="00F70687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discussion above, it can be noted that there exist two main principles for mini-slot based scheduling in the multi-beam scenario. Both of them are supported by current agreements, and the selection can be seen as a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implementation issue.</w:t>
      </w:r>
    </w:p>
    <w:p w14:paraId="699855D5" w14:textId="77777777" w:rsidR="001D2497" w:rsidRPr="00B91CAD" w:rsidRDefault="001D2497" w:rsidP="00C7542D">
      <w:pPr>
        <w:spacing w:after="0"/>
        <w:jc w:val="both"/>
        <w:rPr>
          <w:rFonts w:eastAsia="MS Mincho"/>
          <w:lang w:eastAsia="ja-JP"/>
        </w:rPr>
      </w:pPr>
    </w:p>
    <w:p w14:paraId="73A1F88C" w14:textId="1A226183" w:rsidR="00F42DDD" w:rsidRDefault="00F42DDD" w:rsidP="00F42DD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 w:rsidR="00DA052D">
        <w:rPr>
          <w:bCs/>
          <w:i/>
        </w:rPr>
        <w:t>g</w:t>
      </w:r>
      <w:r>
        <w:rPr>
          <w:bCs/>
          <w:i/>
        </w:rPr>
        <w:t>NB</w:t>
      </w:r>
      <w:proofErr w:type="spellEnd"/>
      <w:r>
        <w:rPr>
          <w:bCs/>
          <w:i/>
        </w:rPr>
        <w:t xml:space="preserve"> can select </w:t>
      </w:r>
      <w:r w:rsidR="00DA052D">
        <w:rPr>
          <w:bCs/>
          <w:i/>
        </w:rPr>
        <w:t xml:space="preserve">the operation mode for </w:t>
      </w:r>
      <w:r>
        <w:rPr>
          <w:bCs/>
          <w:i/>
        </w:rPr>
        <w:t>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</w:t>
      </w:r>
      <w:r w:rsidR="00DA052D">
        <w:rPr>
          <w:bCs/>
          <w:i/>
        </w:rPr>
        <w:t>from the following</w:t>
      </w:r>
    </w:p>
    <w:p w14:paraId="7BE15BF5" w14:textId="582253AD" w:rsidR="00F42DDD" w:rsidRP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43BAC31E" w14:textId="400CB34A" w:rsid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0B82B4" w14:textId="3827B7BD" w:rsidR="00F42DDD" w:rsidRDefault="00F42DDD" w:rsidP="000C0626">
      <w:pPr>
        <w:jc w:val="both"/>
        <w:rPr>
          <w:b/>
          <w:color w:val="000000"/>
          <w:u w:val="single"/>
          <w:lang w:val="en-US"/>
        </w:rPr>
      </w:pPr>
    </w:p>
    <w:p w14:paraId="435C4F4E" w14:textId="02D75F20" w:rsidR="00BF08FB" w:rsidRDefault="00BF08FB" w:rsidP="00BF08FB">
      <w:pPr>
        <w:spacing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2.3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92146D">
        <w:rPr>
          <w:rFonts w:ascii="Arial" w:hAnsi="Arial"/>
          <w:sz w:val="24"/>
        </w:rPr>
        <w:t>Beam diversity</w:t>
      </w:r>
    </w:p>
    <w:p w14:paraId="138E6A48" w14:textId="74592F87" w:rsidR="00BF08FB" w:rsidRDefault="004E3B63" w:rsidP="00BF08FB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One of the open issues related to multi-beam operation is how to provide robust operation under beam blockage. </w:t>
      </w:r>
      <w:r w:rsidR="005B0C3B">
        <w:rPr>
          <w:rFonts w:eastAsia="MS Mincho"/>
          <w:lang w:val="en-US" w:eastAsia="ja-JP"/>
        </w:rPr>
        <w:t>In order to support the necessary beam diversity it</w:t>
      </w:r>
      <w:r>
        <w:rPr>
          <w:rFonts w:eastAsia="MS Mincho"/>
          <w:lang w:val="en-US" w:eastAsia="ja-JP"/>
        </w:rPr>
        <w:t xml:space="preserve"> should be possible to transmit the same DCI via multiple beams using different OFDM symbols. </w:t>
      </w:r>
      <w:r w:rsidR="00947517">
        <w:rPr>
          <w:rFonts w:eastAsia="MS Mincho"/>
          <w:lang w:val="en-US" w:eastAsia="ja-JP"/>
        </w:rPr>
        <w:t xml:space="preserve">Beam diversity can be achieved in such that </w:t>
      </w:r>
      <w:r w:rsidR="005B0C3B">
        <w:rPr>
          <w:rFonts w:eastAsia="MS Mincho"/>
          <w:lang w:val="en-US" w:eastAsia="ja-JP"/>
        </w:rPr>
        <w:t xml:space="preserve">precoder </w:t>
      </w:r>
      <w:proofErr w:type="spellStart"/>
      <w:r w:rsidR="005B0C3B">
        <w:rPr>
          <w:rFonts w:eastAsia="MS Mincho"/>
          <w:lang w:val="en-US" w:eastAsia="ja-JP"/>
        </w:rPr>
        <w:t>granularty</w:t>
      </w:r>
      <w:proofErr w:type="spellEnd"/>
      <w:r w:rsidR="00947517">
        <w:rPr>
          <w:rFonts w:eastAsia="MS Mincho"/>
          <w:lang w:val="en-US" w:eastAsia="ja-JP"/>
        </w:rPr>
        <w:t xml:space="preserve"> in the time domain is defined to be one OFDM symbol:</w:t>
      </w:r>
    </w:p>
    <w:p w14:paraId="5CE64B08" w14:textId="1DF74EDD" w:rsidR="00947517" w:rsidRPr="002A2CB4" w:rsidRDefault="00947517" w:rsidP="002A2CB4">
      <w:pPr>
        <w:pStyle w:val="ListParagraph"/>
        <w:numPr>
          <w:ilvl w:val="0"/>
          <w:numId w:val="9"/>
        </w:numPr>
        <w:spacing w:after="120"/>
        <w:jc w:val="both"/>
        <w:rPr>
          <w:b/>
          <w:color w:val="000000"/>
          <w:u w:val="single"/>
          <w:lang w:val="en-US"/>
        </w:rPr>
      </w:pPr>
      <w:r w:rsidRPr="002A2CB4">
        <w:rPr>
          <w:rFonts w:eastAsia="MS Mincho"/>
          <w:b/>
          <w:sz w:val="20"/>
          <w:lang w:val="en-US" w:eastAsia="ja-JP"/>
        </w:rPr>
        <w:t>Option 1:</w:t>
      </w:r>
      <w:r>
        <w:rPr>
          <w:rFonts w:eastAsia="MS Mincho"/>
          <w:sz w:val="20"/>
          <w:lang w:val="en-US" w:eastAsia="ja-JP"/>
        </w:rPr>
        <w:t xml:space="preserve"> time first mapping of REG-to-CCE. Beam diversity is achieved within </w:t>
      </w:r>
      <w:r w:rsidR="005B0C3B">
        <w:rPr>
          <w:rFonts w:eastAsia="MS Mincho"/>
          <w:sz w:val="20"/>
          <w:lang w:val="en-US" w:eastAsia="ja-JP"/>
        </w:rPr>
        <w:t xml:space="preserve">each </w:t>
      </w:r>
      <w:r>
        <w:rPr>
          <w:rFonts w:eastAsia="MS Mincho"/>
          <w:sz w:val="20"/>
          <w:lang w:val="en-US" w:eastAsia="ja-JP"/>
        </w:rPr>
        <w:t>REG bundle</w:t>
      </w:r>
      <w:r w:rsidR="005B0C3B">
        <w:rPr>
          <w:rFonts w:eastAsia="MS Mincho"/>
          <w:sz w:val="20"/>
          <w:lang w:val="en-US" w:eastAsia="ja-JP"/>
        </w:rPr>
        <w:t>. Following this option, beam diversity is available for each aggregation level.</w:t>
      </w:r>
    </w:p>
    <w:p w14:paraId="529F9548" w14:textId="63B47DBC" w:rsidR="00947517" w:rsidRPr="002A2CB4" w:rsidRDefault="00947517" w:rsidP="002A2CB4">
      <w:pPr>
        <w:pStyle w:val="ListParagraph"/>
        <w:numPr>
          <w:ilvl w:val="0"/>
          <w:numId w:val="9"/>
        </w:numPr>
        <w:spacing w:after="120"/>
        <w:jc w:val="both"/>
        <w:rPr>
          <w:b/>
          <w:color w:val="000000"/>
          <w:u w:val="single"/>
          <w:lang w:val="en-US"/>
        </w:rPr>
      </w:pPr>
      <w:r>
        <w:rPr>
          <w:rFonts w:eastAsia="MS Mincho"/>
          <w:b/>
          <w:sz w:val="20"/>
          <w:szCs w:val="20"/>
          <w:lang w:val="en-US" w:eastAsia="ja-JP"/>
        </w:rPr>
        <w:t xml:space="preserve">Option 2: </w:t>
      </w:r>
      <w:r>
        <w:rPr>
          <w:rFonts w:eastAsia="MS Mincho"/>
          <w:sz w:val="20"/>
          <w:szCs w:val="20"/>
          <w:lang w:val="en-US" w:eastAsia="ja-JP"/>
        </w:rPr>
        <w:t>frequency first mapping of REG-to-CCE. A PDCCH candidate is mapped to across OFDM symbols</w:t>
      </w:r>
      <w:r w:rsidR="005B0C3B">
        <w:rPr>
          <w:rFonts w:eastAsia="MS Mincho"/>
          <w:sz w:val="20"/>
          <w:szCs w:val="20"/>
          <w:lang w:val="en-US" w:eastAsia="ja-JP"/>
        </w:rPr>
        <w:t>. Following this option, beam diversity is available only with the highest aggregation level.</w:t>
      </w:r>
      <w:r w:rsidR="00D36A12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61DE63F8" w14:textId="35053FCF" w:rsidR="005B0C3B" w:rsidRPr="002A2CB4" w:rsidRDefault="00E12E51" w:rsidP="002A2CB4">
      <w:pPr>
        <w:spacing w:after="120"/>
        <w:jc w:val="both"/>
        <w:rPr>
          <w:b/>
          <w:color w:val="000000"/>
          <w:u w:val="single"/>
          <w:lang w:val="en-US"/>
        </w:rPr>
      </w:pPr>
      <w:r>
        <w:rPr>
          <w:rFonts w:eastAsia="MS Mincho"/>
          <w:lang w:val="en-US" w:eastAsia="ja-JP"/>
        </w:rPr>
        <w:t xml:space="preserve">As discussed in [5] </w:t>
      </w:r>
      <w:r w:rsidR="00225946">
        <w:rPr>
          <w:rFonts w:eastAsia="MS Mincho"/>
          <w:lang w:val="en-US" w:eastAsia="ja-JP"/>
        </w:rPr>
        <w:t xml:space="preserve">PDCCH </w:t>
      </w:r>
      <w:r>
        <w:rPr>
          <w:rFonts w:eastAsia="MS Mincho"/>
          <w:lang w:val="en-US" w:eastAsia="ja-JP"/>
        </w:rPr>
        <w:t xml:space="preserve">DMRS </w:t>
      </w:r>
      <w:r w:rsidR="00225946">
        <w:rPr>
          <w:rFonts w:eastAsia="MS Mincho"/>
          <w:lang w:val="en-US" w:eastAsia="ja-JP"/>
        </w:rPr>
        <w:t>has inbuilt support for</w:t>
      </w:r>
      <w:r>
        <w:rPr>
          <w:rFonts w:eastAsia="MS Mincho"/>
          <w:lang w:val="en-US" w:eastAsia="ja-JP"/>
        </w:rPr>
        <w:t xml:space="preserve"> Option </w:t>
      </w:r>
      <w:r w:rsidR="00C41092">
        <w:rPr>
          <w:rFonts w:eastAsia="MS Mincho"/>
          <w:lang w:val="en-US" w:eastAsia="ja-JP"/>
        </w:rPr>
        <w:t>1</w:t>
      </w:r>
      <w:r w:rsidR="00225946">
        <w:rPr>
          <w:rFonts w:eastAsia="MS Mincho"/>
          <w:lang w:val="en-US" w:eastAsia="ja-JP"/>
        </w:rPr>
        <w:t xml:space="preserve"> based on the agreement made in RAN1 Ad-hoc #2: “</w:t>
      </w:r>
      <w:r w:rsidR="00225946">
        <w:rPr>
          <w:rFonts w:eastAsia="MS Mincho"/>
          <w:i/>
          <w:lang w:val="en-US" w:eastAsia="ja-JP"/>
        </w:rPr>
        <w:t>DMRS is mapped on all REGs on all the OFDM symbols of a given PDCCH candidate</w:t>
      </w:r>
      <w:r w:rsidR="00225946">
        <w:rPr>
          <w:rFonts w:eastAsia="MS Mincho"/>
          <w:lang w:val="en-US" w:eastAsia="ja-JP"/>
        </w:rPr>
        <w:t>”</w:t>
      </w:r>
    </w:p>
    <w:p w14:paraId="1FE127B6" w14:textId="77777777" w:rsidR="00947517" w:rsidRDefault="00947517" w:rsidP="002A2CB4">
      <w:pPr>
        <w:spacing w:after="120"/>
        <w:jc w:val="both"/>
        <w:rPr>
          <w:rFonts w:eastAsia="MS Mincho"/>
          <w:b/>
          <w:lang w:val="en-US" w:eastAsia="ja-JP"/>
        </w:rPr>
      </w:pPr>
    </w:p>
    <w:p w14:paraId="66C098BC" w14:textId="5019A188" w:rsidR="00BF08FB" w:rsidRPr="002A2CB4" w:rsidRDefault="00947517" w:rsidP="002A2CB4">
      <w:pPr>
        <w:spacing w:after="120"/>
        <w:jc w:val="both"/>
        <w:rPr>
          <w:b/>
          <w:color w:val="000000"/>
          <w:u w:val="single"/>
          <w:lang w:val="en-US"/>
        </w:rPr>
      </w:pPr>
      <w:r w:rsidRPr="00947517">
        <w:rPr>
          <w:noProof/>
          <w:lang w:val="fi-FI" w:eastAsia="fi-FI"/>
        </w:rPr>
        <w:drawing>
          <wp:inline distT="0" distB="0" distL="0" distR="0" wp14:anchorId="01D6E46B" wp14:editId="6FB14372">
            <wp:extent cx="6120765" cy="12239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2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2CB4">
        <w:rPr>
          <w:rFonts w:eastAsia="MS Mincho"/>
          <w:b/>
          <w:lang w:val="en-US" w:eastAsia="ja-JP"/>
        </w:rPr>
        <w:t xml:space="preserve"> </w:t>
      </w:r>
      <w:r w:rsidRPr="002A2CB4">
        <w:rPr>
          <w:rFonts w:eastAsia="MS Mincho"/>
          <w:lang w:val="en-US" w:eastAsia="ja-JP"/>
        </w:rPr>
        <w:t xml:space="preserve"> </w:t>
      </w:r>
    </w:p>
    <w:p w14:paraId="75F7E7A1" w14:textId="5A498531" w:rsidR="00947517" w:rsidRDefault="00947517" w:rsidP="00947517">
      <w:pPr>
        <w:pStyle w:val="Caption"/>
        <w:jc w:val="center"/>
      </w:pPr>
      <w:r>
        <w:t xml:space="preserve">Figure 4. Two main principles for achieving </w:t>
      </w:r>
      <w:r w:rsidR="005B0C3B">
        <w:t>beam diversity in the case of CORESET with two OFDM symbols.</w:t>
      </w:r>
    </w:p>
    <w:p w14:paraId="5B1213E9" w14:textId="4AD1DA65" w:rsidR="00BF08FB" w:rsidRDefault="00BF08FB" w:rsidP="000C0626">
      <w:pPr>
        <w:jc w:val="both"/>
        <w:rPr>
          <w:b/>
          <w:color w:val="000000"/>
          <w:u w:val="single"/>
        </w:rPr>
      </w:pPr>
    </w:p>
    <w:p w14:paraId="5155B3D1" w14:textId="08837B42" w:rsidR="005B0C3B" w:rsidRPr="00F42DDD" w:rsidRDefault="005B0C3B" w:rsidP="005B0C3B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4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Consider </w:t>
      </w:r>
      <w:r w:rsidR="0092146D">
        <w:rPr>
          <w:rFonts w:eastAsia="Times New Roman"/>
          <w:i/>
          <w:lang w:val="en-US" w:eastAsia="fi-FI"/>
        </w:rPr>
        <w:t xml:space="preserve">to support </w:t>
      </w:r>
      <w:r>
        <w:rPr>
          <w:rFonts w:eastAsia="Times New Roman"/>
          <w:i/>
          <w:lang w:val="en-US" w:eastAsia="fi-FI"/>
        </w:rPr>
        <w:t>one OFDM symbol precoder granularity in the time domain for CORESETs with multiple OFDM symbols .</w:t>
      </w:r>
    </w:p>
    <w:p w14:paraId="291B4016" w14:textId="77777777" w:rsidR="00E12E51" w:rsidRDefault="00E12E51" w:rsidP="00E12E51">
      <w:pPr>
        <w:jc w:val="both"/>
        <w:rPr>
          <w:b/>
          <w:color w:val="000000"/>
          <w:u w:val="single"/>
          <w:lang w:val="en-US"/>
        </w:rPr>
      </w:pPr>
    </w:p>
    <w:p w14:paraId="15765BF2" w14:textId="14C93930" w:rsidR="00E12E51" w:rsidRDefault="00E12E51" w:rsidP="00E12E51">
      <w:pPr>
        <w:spacing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2.4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B3062E">
        <w:rPr>
          <w:rFonts w:ascii="Arial" w:hAnsi="Arial"/>
          <w:sz w:val="24"/>
        </w:rPr>
        <w:t>PDCCH</w:t>
      </w:r>
      <w:r>
        <w:rPr>
          <w:rFonts w:ascii="Arial" w:hAnsi="Arial"/>
          <w:sz w:val="24"/>
        </w:rPr>
        <w:t xml:space="preserve"> </w:t>
      </w:r>
      <w:r w:rsidR="00B3062E">
        <w:rPr>
          <w:rFonts w:ascii="Arial" w:hAnsi="Arial"/>
          <w:sz w:val="24"/>
        </w:rPr>
        <w:t xml:space="preserve">monitoring in the case </w:t>
      </w:r>
      <w:r>
        <w:rPr>
          <w:rFonts w:ascii="Arial" w:hAnsi="Arial"/>
          <w:sz w:val="24"/>
        </w:rPr>
        <w:t>of multiple beam pair links</w:t>
      </w:r>
      <w:r w:rsidR="00B3062E">
        <w:rPr>
          <w:rFonts w:ascii="Arial" w:hAnsi="Arial"/>
          <w:sz w:val="24"/>
        </w:rPr>
        <w:t xml:space="preserve"> (BPL)</w:t>
      </w:r>
    </w:p>
    <w:p w14:paraId="68AF0FC3" w14:textId="7D3433DC" w:rsidR="0089319C" w:rsidRDefault="00B3062E" w:rsidP="000C0626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One of the open items related PDCCH construction is how to arrange PDCCH monitoring in the case of multiple beam pair links. </w:t>
      </w:r>
      <w:r w:rsidR="0089319C">
        <w:rPr>
          <w:rFonts w:eastAsia="MS Mincho"/>
          <w:lang w:eastAsia="ja-JP"/>
        </w:rPr>
        <w:t xml:space="preserve">It has been agreed in RAN1 Ad-hoc #1 that </w:t>
      </w:r>
      <w:r>
        <w:rPr>
          <w:rFonts w:eastAsia="MS Mincho"/>
          <w:lang w:eastAsia="ja-JP"/>
        </w:rPr>
        <w:t>“</w:t>
      </w:r>
      <w:r w:rsidRPr="007620B3">
        <w:rPr>
          <w:rFonts w:eastAsia="MS Mincho"/>
          <w:i/>
          <w:lang w:val="en-US"/>
        </w:rPr>
        <w:t>UE can be configured to monitor NR-PDCCH on M beam pair links simultaneously</w:t>
      </w:r>
      <w:r>
        <w:rPr>
          <w:rFonts w:eastAsia="MS Mincho"/>
          <w:lang w:eastAsia="ja-JP"/>
        </w:rPr>
        <w:t xml:space="preserve">” </w:t>
      </w:r>
      <w:r w:rsidR="0089319C">
        <w:rPr>
          <w:rFonts w:eastAsia="MS Mincho"/>
          <w:lang w:eastAsia="ja-JP"/>
        </w:rPr>
        <w:t>and “</w:t>
      </w:r>
      <w:r w:rsidR="0089319C" w:rsidRPr="007620B3">
        <w:rPr>
          <w:rFonts w:eastAsia="MS Mincho"/>
          <w:i/>
          <w:lang w:eastAsia="ja-JP"/>
        </w:rPr>
        <w:t>UE can be configured to monitor NR-PDCCH on different beam pair link(s) in different NR-PDCCH OFDM symbols</w:t>
      </w:r>
      <w:r w:rsidR="0089319C">
        <w:rPr>
          <w:rFonts w:eastAsia="MS Mincho"/>
          <w:lang w:eastAsia="ja-JP"/>
        </w:rPr>
        <w:t>”.</w:t>
      </w:r>
      <w:r w:rsidR="0089319C" w:rsidRPr="0089319C">
        <w:rPr>
          <w:rFonts w:eastAsia="MS Mincho"/>
          <w:lang w:val="en-US" w:eastAsia="ja-JP"/>
        </w:rPr>
        <w:t xml:space="preserve"> </w:t>
      </w:r>
    </w:p>
    <w:p w14:paraId="3538D8CC" w14:textId="61A93C58" w:rsidR="00B3062E" w:rsidRPr="007620B3" w:rsidRDefault="00B3062E" w:rsidP="000C0626">
      <w:pPr>
        <w:jc w:val="both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We think that the most straightforward way to define</w:t>
      </w:r>
      <w:r w:rsidR="003E047D">
        <w:rPr>
          <w:rFonts w:eastAsia="MS Mincho"/>
          <w:lang w:val="en-US" w:eastAsia="ja-JP"/>
        </w:rPr>
        <w:t xml:space="preserve"> PDCCH monitoring in the case of multiple BPLs</w:t>
      </w:r>
      <w:r>
        <w:rPr>
          <w:rFonts w:eastAsia="MS Mincho"/>
          <w:lang w:val="en-US" w:eastAsia="ja-JP"/>
        </w:rPr>
        <w:t xml:space="preserve"> i</w:t>
      </w:r>
      <w:r w:rsidR="00216E8E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such that each CORESET can be associated with different BPL</w:t>
      </w:r>
      <w:r w:rsidR="0032033A">
        <w:rPr>
          <w:rFonts w:eastAsia="MS Mincho"/>
          <w:lang w:val="en-US" w:eastAsia="ja-JP"/>
        </w:rPr>
        <w:t xml:space="preserve"> (including BPL </w:t>
      </w:r>
      <w:r w:rsidR="003E047D">
        <w:rPr>
          <w:rFonts w:eastAsia="MS Mincho"/>
          <w:lang w:val="en-US" w:eastAsia="ja-JP"/>
        </w:rPr>
        <w:t>-</w:t>
      </w:r>
      <w:r w:rsidR="0032033A">
        <w:rPr>
          <w:rFonts w:eastAsia="MS Mincho"/>
          <w:lang w:val="en-US" w:eastAsia="ja-JP"/>
        </w:rPr>
        <w:t>specific DMRS configuration).</w:t>
      </w:r>
      <w:r w:rsidR="00B63FE2">
        <w:rPr>
          <w:rFonts w:eastAsia="MS Mincho"/>
          <w:lang w:val="en-US" w:eastAsia="ja-JP"/>
        </w:rPr>
        <w:t xml:space="preserve"> If beam diversity is configured </w:t>
      </w:r>
      <w:r w:rsidR="00B63FE2">
        <w:rPr>
          <w:rFonts w:eastAsia="MS Mincho"/>
          <w:lang w:val="en-US" w:eastAsia="ja-JP"/>
        </w:rPr>
        <w:t>(according to Proposal 4)</w:t>
      </w:r>
      <w:r w:rsidR="00B63FE2">
        <w:rPr>
          <w:rFonts w:eastAsia="MS Mincho"/>
          <w:lang w:val="en-US" w:eastAsia="ja-JP"/>
        </w:rPr>
        <w:t xml:space="preserve"> then the association may change within the REG bundle.</w:t>
      </w:r>
      <w:r w:rsidR="0032033A">
        <w:rPr>
          <w:rFonts w:eastAsia="MS Mincho"/>
          <w:lang w:val="en-US" w:eastAsia="ja-JP"/>
        </w:rPr>
        <w:t xml:space="preserve"> Different CORESETs </w:t>
      </w:r>
      <w:r w:rsidR="0032033A">
        <w:rPr>
          <w:rFonts w:eastAsia="MS Mincho"/>
          <w:lang w:val="en-US" w:eastAsia="ja-JP"/>
        </w:rPr>
        <w:lastRenderedPageBreak/>
        <w:t>corresponding to different BPLs can be mapped to the same</w:t>
      </w:r>
      <w:r w:rsidR="003E047D">
        <w:rPr>
          <w:rFonts w:eastAsia="MS Mincho"/>
          <w:lang w:val="en-US" w:eastAsia="ja-JP"/>
        </w:rPr>
        <w:t xml:space="preserve"> or </w:t>
      </w:r>
      <w:r w:rsidR="0032033A">
        <w:rPr>
          <w:rFonts w:eastAsia="MS Mincho"/>
          <w:lang w:val="en-US" w:eastAsia="ja-JP"/>
        </w:rPr>
        <w:t xml:space="preserve">different OFDM symbols according to UE capability and network configuration. </w:t>
      </w:r>
    </w:p>
    <w:p w14:paraId="6B85C6F4" w14:textId="0DF32D97" w:rsidR="0032033A" w:rsidRDefault="0032033A" w:rsidP="0032033A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5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Each</w:t>
      </w:r>
      <w:r w:rsidR="00B63FE2">
        <w:rPr>
          <w:rFonts w:eastAsia="Times New Roman"/>
          <w:i/>
          <w:lang w:val="en-US" w:eastAsia="fi-FI"/>
        </w:rPr>
        <w:t xml:space="preserve"> REG bundle in the</w:t>
      </w:r>
      <w:r>
        <w:rPr>
          <w:rFonts w:eastAsia="Times New Roman"/>
          <w:i/>
          <w:lang w:val="en-US" w:eastAsia="fi-FI"/>
        </w:rPr>
        <w:t xml:space="preserve"> CORESET </w:t>
      </w:r>
      <w:r w:rsidR="00B63FE2">
        <w:rPr>
          <w:rFonts w:eastAsia="Times New Roman"/>
          <w:i/>
          <w:lang w:val="en-US" w:eastAsia="fi-FI"/>
        </w:rPr>
        <w:t xml:space="preserve">have similar association </w:t>
      </w:r>
      <w:r>
        <w:rPr>
          <w:rFonts w:eastAsia="Times New Roman"/>
          <w:i/>
          <w:lang w:val="en-US" w:eastAsia="fi-FI"/>
        </w:rPr>
        <w:t xml:space="preserve">with </w:t>
      </w:r>
      <w:r w:rsidR="00B63FE2">
        <w:rPr>
          <w:rFonts w:eastAsia="Times New Roman"/>
          <w:i/>
          <w:lang w:val="en-US" w:eastAsia="fi-FI"/>
        </w:rPr>
        <w:t xml:space="preserve">different </w:t>
      </w:r>
      <w:r>
        <w:rPr>
          <w:rFonts w:eastAsia="Times New Roman"/>
          <w:i/>
          <w:lang w:val="en-US" w:eastAsia="fi-FI"/>
        </w:rPr>
        <w:t>beam pair link</w:t>
      </w:r>
      <w:r w:rsidR="00B63FE2">
        <w:rPr>
          <w:rFonts w:eastAsia="Times New Roman"/>
          <w:i/>
          <w:lang w:val="en-US" w:eastAsia="fi-FI"/>
        </w:rPr>
        <w:t>(s)</w:t>
      </w:r>
    </w:p>
    <w:p w14:paraId="61EE2A0B" w14:textId="08CFD851" w:rsidR="009F063F" w:rsidRPr="007620B3" w:rsidRDefault="009F063F" w:rsidP="0032033A">
      <w:pPr>
        <w:spacing w:after="120"/>
        <w:jc w:val="both"/>
        <w:rPr>
          <w:bCs/>
          <w:i/>
          <w:lang w:val="en-US"/>
        </w:rPr>
      </w:pPr>
    </w:p>
    <w:p w14:paraId="28AA599E" w14:textId="48D4FD0B" w:rsidR="009F063F" w:rsidRPr="007620B3" w:rsidRDefault="009F063F" w:rsidP="0032033A">
      <w:pPr>
        <w:spacing w:after="120"/>
        <w:jc w:val="both"/>
        <w:rPr>
          <w:bCs/>
        </w:rPr>
      </w:pPr>
      <w:r>
        <w:rPr>
          <w:bCs/>
        </w:rPr>
        <w:t xml:space="preserve">In order to help UE PDCCH monitoring in the case of multiple BPLs, </w:t>
      </w:r>
      <w:r w:rsidR="003E047D">
        <w:rPr>
          <w:bCs/>
        </w:rPr>
        <w:t>there is a need to</w:t>
      </w:r>
      <w:r>
        <w:rPr>
          <w:bCs/>
        </w:rPr>
        <w:t xml:space="preserve"> support </w:t>
      </w:r>
      <w:r w:rsidR="003E047D">
        <w:rPr>
          <w:bCs/>
        </w:rPr>
        <w:t>QCL relation</w:t>
      </w:r>
      <w:r w:rsidR="00FB43D1">
        <w:rPr>
          <w:bCs/>
        </w:rPr>
        <w:t xml:space="preserve"> between PDCCH DMRS </w:t>
      </w:r>
      <w:r>
        <w:rPr>
          <w:bCs/>
        </w:rPr>
        <w:t>and a DL RS resource (such as a CSI-RS).</w:t>
      </w:r>
      <w:r w:rsidR="00FB43D1">
        <w:rPr>
          <w:bCs/>
        </w:rPr>
        <w:t xml:space="preserve"> </w:t>
      </w:r>
      <w:r w:rsidR="00FB43D1">
        <w:rPr>
          <w:rFonts w:cs="Arial"/>
          <w:color w:val="000000"/>
        </w:rPr>
        <w:t>The QCL properties can be made a part of the CORESET configuration</w:t>
      </w:r>
      <w:r w:rsidR="003E047D">
        <w:rPr>
          <w:rFonts w:cs="Arial"/>
          <w:color w:val="000000"/>
        </w:rPr>
        <w:t xml:space="preserve"> and </w:t>
      </w:r>
      <w:r w:rsidR="005C4C97">
        <w:rPr>
          <w:rFonts w:cs="Arial"/>
          <w:color w:val="000000"/>
        </w:rPr>
        <w:t xml:space="preserve">it </w:t>
      </w:r>
      <w:r w:rsidR="003E047D">
        <w:rPr>
          <w:rFonts w:cs="Arial"/>
          <w:color w:val="000000"/>
        </w:rPr>
        <w:t>covers the entire CORESET.</w:t>
      </w:r>
    </w:p>
    <w:p w14:paraId="7912DE8C" w14:textId="77777777" w:rsidR="00FB43D1" w:rsidRDefault="00FB43D1" w:rsidP="00FB43D1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6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 xml:space="preserve">QCL relation can be configured between </w:t>
      </w:r>
      <w:r>
        <w:rPr>
          <w:rFonts w:eastAsia="Times New Roman"/>
          <w:i/>
          <w:lang w:val="en-US" w:eastAsia="fi-FI"/>
        </w:rPr>
        <w:t xml:space="preserve">DMRS of a CORESET and </w:t>
      </w:r>
      <w:r w:rsidRPr="007620B3">
        <w:rPr>
          <w:bCs/>
          <w:i/>
        </w:rPr>
        <w:t>a DL RS resource (such as a CSI-RS)</w:t>
      </w:r>
    </w:p>
    <w:p w14:paraId="0D827FAF" w14:textId="02F8F780" w:rsidR="0034111C" w:rsidRPr="00A51522" w:rsidRDefault="009B0B1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ED91BE3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</w:t>
      </w:r>
      <w:r w:rsidR="00DA052D">
        <w:rPr>
          <w:bCs/>
        </w:rPr>
        <w:t>discussed the PDCCH transmission in the case when cell is operating according to a multi-beam configuration</w:t>
      </w:r>
      <w:r w:rsidR="001B1388">
        <w:rPr>
          <w:bCs/>
        </w:rPr>
        <w:t>. Based on the results and discussion we</w:t>
      </w:r>
      <w:r w:rsidR="00DA052D">
        <w:rPr>
          <w:bCs/>
        </w:rPr>
        <w:t xml:space="preserve"> make the following proposals and an observation</w:t>
      </w:r>
      <w:r w:rsidR="00342AD2">
        <w:rPr>
          <w:bCs/>
        </w:rPr>
        <w:t>:</w:t>
      </w:r>
    </w:p>
    <w:p w14:paraId="3C566D57" w14:textId="6AB47DA6" w:rsidR="00DA052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>Support sweeping PDCCH as part of sy</w:t>
      </w:r>
      <w:r w:rsidR="000B4F85">
        <w:rPr>
          <w:bCs/>
          <w:i/>
        </w:rPr>
        <w:t>nc</w:t>
      </w:r>
      <w:r>
        <w:rPr>
          <w:bCs/>
          <w:i/>
        </w:rPr>
        <w:t>hronization signal block</w:t>
      </w:r>
    </w:p>
    <w:p w14:paraId="5AAD880F" w14:textId="77777777" w:rsidR="00DA052D" w:rsidRPr="00F42DD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E497F0A" w14:textId="02CC85EE" w:rsidR="00DA052D" w:rsidRDefault="00DA052D" w:rsidP="00DA052D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5DD92B55" w14:textId="77777777" w:rsidR="0092146D" w:rsidRPr="00F42DDD" w:rsidRDefault="0092146D" w:rsidP="0092146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4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Consider to support one OFDM symbol precoder granularity in the time domain for CORESETs with multiple OFDM symbols .</w:t>
      </w:r>
    </w:p>
    <w:p w14:paraId="7D94B97B" w14:textId="0010BB65" w:rsidR="00FB43D1" w:rsidRDefault="00FB43D1" w:rsidP="00FB43D1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5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 w:rsidR="00B63FE2">
        <w:rPr>
          <w:rFonts w:eastAsia="Times New Roman"/>
          <w:i/>
          <w:lang w:val="en-US" w:eastAsia="fi-FI"/>
        </w:rPr>
        <w:t>Each REG bundle in the CORESET have similar association with different beam pair link(s)</w:t>
      </w:r>
    </w:p>
    <w:p w14:paraId="0E08A4A0" w14:textId="1CF1BC41" w:rsidR="00FB43D1" w:rsidRDefault="00FB43D1" w:rsidP="00FB43D1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6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 xml:space="preserve">QCL relation can be configured between </w:t>
      </w:r>
      <w:r>
        <w:rPr>
          <w:rFonts w:eastAsia="Times New Roman"/>
          <w:i/>
          <w:lang w:val="en-US" w:eastAsia="fi-FI"/>
        </w:rPr>
        <w:t>DMRS of a CORESET and</w:t>
      </w:r>
      <w:r w:rsidRPr="002D4AF0">
        <w:rPr>
          <w:rFonts w:eastAsia="Times New Roman"/>
          <w:i/>
          <w:lang w:val="en-US" w:eastAsia="fi-FI"/>
        </w:rPr>
        <w:t xml:space="preserve"> </w:t>
      </w:r>
      <w:r w:rsidRPr="007620B3">
        <w:rPr>
          <w:bCs/>
          <w:i/>
        </w:rPr>
        <w:t>a DL RS resource (such as a CSI-RS)</w:t>
      </w:r>
      <w:r w:rsidR="00B63FE2">
        <w:rPr>
          <w:bCs/>
          <w:i/>
        </w:rPr>
        <w:t>.</w:t>
      </w:r>
      <w:bookmarkStart w:id="0" w:name="_GoBack"/>
      <w:bookmarkEnd w:id="0"/>
    </w:p>
    <w:p w14:paraId="7B3AB3A7" w14:textId="77777777" w:rsidR="005B0C3B" w:rsidRPr="007620B3" w:rsidRDefault="005B0C3B" w:rsidP="00DA052D">
      <w:pPr>
        <w:spacing w:after="120"/>
        <w:jc w:val="both"/>
        <w:rPr>
          <w:bCs/>
          <w:i/>
          <w:lang w:val="en-US"/>
        </w:rPr>
      </w:pPr>
    </w:p>
    <w:p w14:paraId="3C9D0BFC" w14:textId="77777777" w:rsidR="00DA052D" w:rsidRDefault="00DA052D" w:rsidP="00DA052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can select the operation mode for 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from the following</w:t>
      </w:r>
    </w:p>
    <w:p w14:paraId="6FE19D6F" w14:textId="77777777" w:rsidR="00DA052D" w:rsidRPr="00F42DD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3D6191D4" w14:textId="77777777" w:rsidR="00DA052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6A7AAB" w14:textId="77777777" w:rsidR="005B1FF6" w:rsidRPr="00DA052D" w:rsidRDefault="005B1FF6" w:rsidP="005B1FF6">
      <w:pPr>
        <w:spacing w:after="0"/>
        <w:jc w:val="both"/>
        <w:rPr>
          <w:rFonts w:eastAsia="MS Mincho"/>
          <w:lang w:val="en-US" w:eastAsia="ja-JP"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3087413" w14:textId="77777777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718F1C86" w14:textId="0660A69C" w:rsidR="00ED1759" w:rsidRDefault="004A64F6" w:rsidP="00342AD2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  <w:r w:rsidR="00342AD2"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="00342AD2" w:rsidRPr="004C3EC7">
        <w:rPr>
          <w:sz w:val="18"/>
        </w:rPr>
        <w:t>, 3</w:t>
      </w:r>
      <w:r w:rsidR="0069011A">
        <w:rPr>
          <w:sz w:val="18"/>
        </w:rPr>
        <w:t>GP</w:t>
      </w:r>
      <w:r w:rsidR="00342AD2" w:rsidRPr="004C3EC7">
        <w:rPr>
          <w:sz w:val="18"/>
        </w:rPr>
        <w:t>P</w:t>
      </w:r>
    </w:p>
    <w:p w14:paraId="044ABA83" w14:textId="77777777" w:rsidR="00E12E51" w:rsidRDefault="00260DD5" w:rsidP="00692856">
      <w:pPr>
        <w:numPr>
          <w:ilvl w:val="0"/>
          <w:numId w:val="1"/>
        </w:numPr>
        <w:rPr>
          <w:sz w:val="18"/>
        </w:rPr>
      </w:pPr>
      <w:r w:rsidRPr="00664EE2">
        <w:rPr>
          <w:sz w:val="18"/>
        </w:rPr>
        <w:t>R1-17</w:t>
      </w:r>
      <w:r w:rsidR="00664EE2" w:rsidRPr="00664EE2">
        <w:rPr>
          <w:sz w:val="18"/>
        </w:rPr>
        <w:t>05842</w:t>
      </w:r>
      <w:r>
        <w:rPr>
          <w:sz w:val="18"/>
        </w:rPr>
        <w:t>, “</w:t>
      </w:r>
      <w:r>
        <w:rPr>
          <w:i/>
          <w:sz w:val="18"/>
        </w:rPr>
        <w:t xml:space="preserve">Paging in multi-beam system”, </w:t>
      </w:r>
      <w:r>
        <w:rPr>
          <w:sz w:val="18"/>
        </w:rPr>
        <w:t>Nokia, Alcatel-Lucent Shanghai Bell</w:t>
      </w:r>
    </w:p>
    <w:p w14:paraId="02562E82" w14:textId="6D1E1BD1" w:rsidR="00E12E51" w:rsidRPr="007620B3" w:rsidRDefault="007620B3" w:rsidP="007620B3">
      <w:pPr>
        <w:numPr>
          <w:ilvl w:val="0"/>
          <w:numId w:val="1"/>
        </w:numPr>
        <w:rPr>
          <w:sz w:val="18"/>
        </w:rPr>
      </w:pPr>
      <w:r w:rsidRPr="007620B3">
        <w:rPr>
          <w:sz w:val="18"/>
          <w:lang w:val="en-US"/>
        </w:rPr>
        <w:t>R1-1714057</w:t>
      </w:r>
      <w:r w:rsidR="00E12E51" w:rsidRPr="007620B3">
        <w:rPr>
          <w:sz w:val="18"/>
          <w:lang w:val="en-US"/>
        </w:rPr>
        <w:t>, “</w:t>
      </w:r>
      <w:r w:rsidR="00E12E51" w:rsidRPr="007620B3">
        <w:rPr>
          <w:i/>
          <w:sz w:val="18"/>
        </w:rPr>
        <w:t>On PDCCH mapping</w:t>
      </w:r>
      <w:r w:rsidR="00E12E51" w:rsidRPr="007620B3">
        <w:rPr>
          <w:i/>
          <w:sz w:val="18"/>
          <w:lang w:val="en-US"/>
        </w:rPr>
        <w:t xml:space="preserve">”, </w:t>
      </w:r>
      <w:r w:rsidR="00E12E51" w:rsidRPr="007620B3">
        <w:rPr>
          <w:sz w:val="18"/>
          <w:lang w:val="en-US"/>
        </w:rPr>
        <w:t xml:space="preserve">Nokia, </w:t>
      </w:r>
      <w:r w:rsidR="00216E8E">
        <w:rPr>
          <w:sz w:val="18"/>
          <w:lang w:val="en-US"/>
        </w:rPr>
        <w:t>Nokia</w:t>
      </w:r>
      <w:r w:rsidR="00E12E51" w:rsidRPr="007620B3">
        <w:rPr>
          <w:sz w:val="18"/>
          <w:lang w:val="en-US"/>
        </w:rPr>
        <w:t xml:space="preserve"> Shanghai Bell</w:t>
      </w:r>
    </w:p>
    <w:p w14:paraId="573F776D" w14:textId="78DD00E0" w:rsidR="00E12E51" w:rsidRDefault="00E12E51" w:rsidP="007620B3">
      <w:pPr>
        <w:rPr>
          <w:sz w:val="18"/>
        </w:rPr>
      </w:pPr>
    </w:p>
    <w:sectPr w:rsidR="00E12E51" w:rsidSect="000131D1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90D1B" w14:textId="77777777" w:rsidR="00A40AC2" w:rsidRDefault="00A40AC2">
      <w:r>
        <w:separator/>
      </w:r>
    </w:p>
  </w:endnote>
  <w:endnote w:type="continuationSeparator" w:id="0">
    <w:p w14:paraId="5CC0AC35" w14:textId="77777777" w:rsidR="00A40AC2" w:rsidRDefault="00A40AC2">
      <w:r>
        <w:continuationSeparator/>
      </w:r>
    </w:p>
  </w:endnote>
  <w:endnote w:type="continuationNotice" w:id="1">
    <w:p w14:paraId="6F3F672A" w14:textId="77777777" w:rsidR="00A40AC2" w:rsidRDefault="00A40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00700D" w:rsidRDefault="000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3BD14" w14:textId="77777777" w:rsidR="00A40AC2" w:rsidRDefault="00A40AC2">
      <w:r>
        <w:separator/>
      </w:r>
    </w:p>
  </w:footnote>
  <w:footnote w:type="continuationSeparator" w:id="0">
    <w:p w14:paraId="406D02CA" w14:textId="77777777" w:rsidR="00A40AC2" w:rsidRDefault="00A40AC2">
      <w:r>
        <w:continuationSeparator/>
      </w:r>
    </w:p>
  </w:footnote>
  <w:footnote w:type="continuationNotice" w:id="1">
    <w:p w14:paraId="6D44FE91" w14:textId="77777777" w:rsidR="00A40AC2" w:rsidRDefault="00A40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00700D" w:rsidRDefault="00007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D72"/>
    <w:multiLevelType w:val="hybridMultilevel"/>
    <w:tmpl w:val="51744D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675D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262BC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896F12"/>
    <w:multiLevelType w:val="hybridMultilevel"/>
    <w:tmpl w:val="CD84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D7E23"/>
    <w:multiLevelType w:val="hybridMultilevel"/>
    <w:tmpl w:val="C53E54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E219E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3237F87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00D"/>
    <w:rsid w:val="000074C4"/>
    <w:rsid w:val="000079A6"/>
    <w:rsid w:val="0001128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662"/>
    <w:rsid w:val="00023742"/>
    <w:rsid w:val="00024AEF"/>
    <w:rsid w:val="00026C65"/>
    <w:rsid w:val="00027755"/>
    <w:rsid w:val="00027C30"/>
    <w:rsid w:val="00030048"/>
    <w:rsid w:val="0003072D"/>
    <w:rsid w:val="000314CD"/>
    <w:rsid w:val="00032D37"/>
    <w:rsid w:val="00033544"/>
    <w:rsid w:val="000335BA"/>
    <w:rsid w:val="0003479E"/>
    <w:rsid w:val="0003484F"/>
    <w:rsid w:val="00035691"/>
    <w:rsid w:val="00035AE0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23FE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364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4F85"/>
    <w:rsid w:val="000B5AC9"/>
    <w:rsid w:val="000B5F0A"/>
    <w:rsid w:val="000C02C0"/>
    <w:rsid w:val="000C0626"/>
    <w:rsid w:val="000C1D59"/>
    <w:rsid w:val="000C501D"/>
    <w:rsid w:val="000C5085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0F6B98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5AB"/>
    <w:rsid w:val="00122839"/>
    <w:rsid w:val="001237AC"/>
    <w:rsid w:val="00123FC0"/>
    <w:rsid w:val="00124665"/>
    <w:rsid w:val="00124E12"/>
    <w:rsid w:val="0012673D"/>
    <w:rsid w:val="001269B8"/>
    <w:rsid w:val="00127099"/>
    <w:rsid w:val="00130476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39F"/>
    <w:rsid w:val="00182725"/>
    <w:rsid w:val="001829C8"/>
    <w:rsid w:val="00182CA0"/>
    <w:rsid w:val="00184098"/>
    <w:rsid w:val="00186904"/>
    <w:rsid w:val="00186B0A"/>
    <w:rsid w:val="001905BD"/>
    <w:rsid w:val="00190865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388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2497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50F"/>
    <w:rsid w:val="001F67AA"/>
    <w:rsid w:val="001F7599"/>
    <w:rsid w:val="00201D48"/>
    <w:rsid w:val="00204B3A"/>
    <w:rsid w:val="0020535A"/>
    <w:rsid w:val="00206955"/>
    <w:rsid w:val="00210309"/>
    <w:rsid w:val="00212E6B"/>
    <w:rsid w:val="00212FB8"/>
    <w:rsid w:val="00213709"/>
    <w:rsid w:val="002149AF"/>
    <w:rsid w:val="00214A86"/>
    <w:rsid w:val="00215AAA"/>
    <w:rsid w:val="0021683C"/>
    <w:rsid w:val="00216E8E"/>
    <w:rsid w:val="00221985"/>
    <w:rsid w:val="00221EC5"/>
    <w:rsid w:val="00222A7A"/>
    <w:rsid w:val="00224A2C"/>
    <w:rsid w:val="002256D9"/>
    <w:rsid w:val="00225946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BBC"/>
    <w:rsid w:val="00252C17"/>
    <w:rsid w:val="0025307F"/>
    <w:rsid w:val="002551BD"/>
    <w:rsid w:val="002568D0"/>
    <w:rsid w:val="00260DD5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3710"/>
    <w:rsid w:val="00275074"/>
    <w:rsid w:val="002763E9"/>
    <w:rsid w:val="00276736"/>
    <w:rsid w:val="002804A5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CB4"/>
    <w:rsid w:val="002A2F5E"/>
    <w:rsid w:val="002A352A"/>
    <w:rsid w:val="002A607D"/>
    <w:rsid w:val="002A6154"/>
    <w:rsid w:val="002B132E"/>
    <w:rsid w:val="002B2813"/>
    <w:rsid w:val="002B2D29"/>
    <w:rsid w:val="002B5DA0"/>
    <w:rsid w:val="002B72F3"/>
    <w:rsid w:val="002C0C4B"/>
    <w:rsid w:val="002C1EEA"/>
    <w:rsid w:val="002C2748"/>
    <w:rsid w:val="002C28B2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4AF0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48A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033A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3932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3261"/>
    <w:rsid w:val="003C5C41"/>
    <w:rsid w:val="003C7461"/>
    <w:rsid w:val="003C783D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47D"/>
    <w:rsid w:val="003E0667"/>
    <w:rsid w:val="003E0BCE"/>
    <w:rsid w:val="003E0EEC"/>
    <w:rsid w:val="003E13E0"/>
    <w:rsid w:val="003E1660"/>
    <w:rsid w:val="003E1CD1"/>
    <w:rsid w:val="003E2A2D"/>
    <w:rsid w:val="003E44F4"/>
    <w:rsid w:val="003E521F"/>
    <w:rsid w:val="003E64A9"/>
    <w:rsid w:val="003E6608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6B4D"/>
    <w:rsid w:val="004105F9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078E"/>
    <w:rsid w:val="00461210"/>
    <w:rsid w:val="00462490"/>
    <w:rsid w:val="00462A0A"/>
    <w:rsid w:val="00463D5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5A4A"/>
    <w:rsid w:val="0048023C"/>
    <w:rsid w:val="0048076D"/>
    <w:rsid w:val="00481C24"/>
    <w:rsid w:val="00481D90"/>
    <w:rsid w:val="00482CD4"/>
    <w:rsid w:val="00483261"/>
    <w:rsid w:val="00483F7F"/>
    <w:rsid w:val="00484021"/>
    <w:rsid w:val="00485193"/>
    <w:rsid w:val="00485843"/>
    <w:rsid w:val="00485B23"/>
    <w:rsid w:val="0048630D"/>
    <w:rsid w:val="0048723A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88"/>
    <w:rsid w:val="004A1FE4"/>
    <w:rsid w:val="004A2CA9"/>
    <w:rsid w:val="004A33EF"/>
    <w:rsid w:val="004A34C9"/>
    <w:rsid w:val="004A3C54"/>
    <w:rsid w:val="004A3CB5"/>
    <w:rsid w:val="004A441B"/>
    <w:rsid w:val="004A537D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961"/>
    <w:rsid w:val="004B5E52"/>
    <w:rsid w:val="004B7455"/>
    <w:rsid w:val="004B74FF"/>
    <w:rsid w:val="004B7CE4"/>
    <w:rsid w:val="004C0401"/>
    <w:rsid w:val="004C0C49"/>
    <w:rsid w:val="004C183D"/>
    <w:rsid w:val="004C2669"/>
    <w:rsid w:val="004C3CBC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12A6"/>
    <w:rsid w:val="004E2892"/>
    <w:rsid w:val="004E362B"/>
    <w:rsid w:val="004E3681"/>
    <w:rsid w:val="004E3B63"/>
    <w:rsid w:val="004E3D74"/>
    <w:rsid w:val="004E6596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4893"/>
    <w:rsid w:val="004F5154"/>
    <w:rsid w:val="004F5835"/>
    <w:rsid w:val="004F5C9E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C5E"/>
    <w:rsid w:val="00510DC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0DA9"/>
    <w:rsid w:val="00521BB8"/>
    <w:rsid w:val="00522F9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2D02"/>
    <w:rsid w:val="005340C9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A77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2B8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43D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A7818"/>
    <w:rsid w:val="005B0C3B"/>
    <w:rsid w:val="005B140D"/>
    <w:rsid w:val="005B1FF6"/>
    <w:rsid w:val="005B3C6D"/>
    <w:rsid w:val="005B4045"/>
    <w:rsid w:val="005B47AC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C4C97"/>
    <w:rsid w:val="005D0079"/>
    <w:rsid w:val="005D059A"/>
    <w:rsid w:val="005D07C5"/>
    <w:rsid w:val="005D1FF8"/>
    <w:rsid w:val="005D4302"/>
    <w:rsid w:val="005D5A20"/>
    <w:rsid w:val="005D786C"/>
    <w:rsid w:val="005E0026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63A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7FF"/>
    <w:rsid w:val="00610E03"/>
    <w:rsid w:val="0061176E"/>
    <w:rsid w:val="0061417F"/>
    <w:rsid w:val="00614CD1"/>
    <w:rsid w:val="0061567B"/>
    <w:rsid w:val="00616D39"/>
    <w:rsid w:val="0062152A"/>
    <w:rsid w:val="00622321"/>
    <w:rsid w:val="00623583"/>
    <w:rsid w:val="0062462F"/>
    <w:rsid w:val="00624BA1"/>
    <w:rsid w:val="0062661B"/>
    <w:rsid w:val="00630118"/>
    <w:rsid w:val="006305D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4165D"/>
    <w:rsid w:val="00642901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1B9B"/>
    <w:rsid w:val="00661D41"/>
    <w:rsid w:val="00662012"/>
    <w:rsid w:val="00662543"/>
    <w:rsid w:val="006626D0"/>
    <w:rsid w:val="00664E8C"/>
    <w:rsid w:val="00664EE2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61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3F0"/>
    <w:rsid w:val="00692814"/>
    <w:rsid w:val="00692856"/>
    <w:rsid w:val="00692CA7"/>
    <w:rsid w:val="006932E7"/>
    <w:rsid w:val="00693347"/>
    <w:rsid w:val="0069334C"/>
    <w:rsid w:val="0069687F"/>
    <w:rsid w:val="00696D63"/>
    <w:rsid w:val="006A032F"/>
    <w:rsid w:val="006A41AE"/>
    <w:rsid w:val="006A4856"/>
    <w:rsid w:val="006A564B"/>
    <w:rsid w:val="006A56DA"/>
    <w:rsid w:val="006B08CF"/>
    <w:rsid w:val="006B0B90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6E87"/>
    <w:rsid w:val="006C7CC9"/>
    <w:rsid w:val="006D0E6B"/>
    <w:rsid w:val="006D1073"/>
    <w:rsid w:val="006D2146"/>
    <w:rsid w:val="006D5891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3CDA"/>
    <w:rsid w:val="00753F11"/>
    <w:rsid w:val="00756832"/>
    <w:rsid w:val="007620B3"/>
    <w:rsid w:val="007626D0"/>
    <w:rsid w:val="007651CA"/>
    <w:rsid w:val="00767006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0FF"/>
    <w:rsid w:val="007D3307"/>
    <w:rsid w:val="007D432A"/>
    <w:rsid w:val="007D5E27"/>
    <w:rsid w:val="007D6F64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5FF0"/>
    <w:rsid w:val="008006C6"/>
    <w:rsid w:val="00800C52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A50"/>
    <w:rsid w:val="00836B7A"/>
    <w:rsid w:val="00837DE8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20FE"/>
    <w:rsid w:val="0089319C"/>
    <w:rsid w:val="008939D1"/>
    <w:rsid w:val="00894FDC"/>
    <w:rsid w:val="008A16F9"/>
    <w:rsid w:val="008A1D3E"/>
    <w:rsid w:val="008A47AB"/>
    <w:rsid w:val="008A4B16"/>
    <w:rsid w:val="008A4D63"/>
    <w:rsid w:val="008A5EBD"/>
    <w:rsid w:val="008A6D62"/>
    <w:rsid w:val="008B09C6"/>
    <w:rsid w:val="008B13E9"/>
    <w:rsid w:val="008B3B51"/>
    <w:rsid w:val="008B4057"/>
    <w:rsid w:val="008B4145"/>
    <w:rsid w:val="008B4CAC"/>
    <w:rsid w:val="008B5290"/>
    <w:rsid w:val="008C2CFD"/>
    <w:rsid w:val="008C4D47"/>
    <w:rsid w:val="008C57D6"/>
    <w:rsid w:val="008C603A"/>
    <w:rsid w:val="008C71C8"/>
    <w:rsid w:val="008D0E90"/>
    <w:rsid w:val="008D167D"/>
    <w:rsid w:val="008D261F"/>
    <w:rsid w:val="008D44B6"/>
    <w:rsid w:val="008D4753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2A9"/>
    <w:rsid w:val="008F110E"/>
    <w:rsid w:val="008F1264"/>
    <w:rsid w:val="008F47C6"/>
    <w:rsid w:val="008F4EDF"/>
    <w:rsid w:val="008F5948"/>
    <w:rsid w:val="009006A2"/>
    <w:rsid w:val="0090102B"/>
    <w:rsid w:val="00901448"/>
    <w:rsid w:val="009036BC"/>
    <w:rsid w:val="00903AFB"/>
    <w:rsid w:val="00905C47"/>
    <w:rsid w:val="00906379"/>
    <w:rsid w:val="0090638B"/>
    <w:rsid w:val="00906393"/>
    <w:rsid w:val="009101EA"/>
    <w:rsid w:val="009106FC"/>
    <w:rsid w:val="0091090F"/>
    <w:rsid w:val="009118BB"/>
    <w:rsid w:val="0091191F"/>
    <w:rsid w:val="00915B81"/>
    <w:rsid w:val="00915D6B"/>
    <w:rsid w:val="009160DF"/>
    <w:rsid w:val="009162C7"/>
    <w:rsid w:val="00916EC2"/>
    <w:rsid w:val="009213BD"/>
    <w:rsid w:val="0092146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5D15"/>
    <w:rsid w:val="00936D59"/>
    <w:rsid w:val="009411FB"/>
    <w:rsid w:val="009414A9"/>
    <w:rsid w:val="00941B71"/>
    <w:rsid w:val="009421AD"/>
    <w:rsid w:val="0094221C"/>
    <w:rsid w:val="0094409C"/>
    <w:rsid w:val="00944159"/>
    <w:rsid w:val="009444D9"/>
    <w:rsid w:val="009449B2"/>
    <w:rsid w:val="00944A82"/>
    <w:rsid w:val="00946C4D"/>
    <w:rsid w:val="0094751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2301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8765D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290"/>
    <w:rsid w:val="009A7831"/>
    <w:rsid w:val="009B0408"/>
    <w:rsid w:val="009B0843"/>
    <w:rsid w:val="009B0B12"/>
    <w:rsid w:val="009B1E47"/>
    <w:rsid w:val="009B2CED"/>
    <w:rsid w:val="009B345D"/>
    <w:rsid w:val="009B5A4D"/>
    <w:rsid w:val="009B7321"/>
    <w:rsid w:val="009B7A72"/>
    <w:rsid w:val="009B7BB8"/>
    <w:rsid w:val="009C126A"/>
    <w:rsid w:val="009C1349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40F2"/>
    <w:rsid w:val="009D5193"/>
    <w:rsid w:val="009D5C32"/>
    <w:rsid w:val="009D6472"/>
    <w:rsid w:val="009D79F4"/>
    <w:rsid w:val="009E16BE"/>
    <w:rsid w:val="009E3CD1"/>
    <w:rsid w:val="009E5AF5"/>
    <w:rsid w:val="009E5EB5"/>
    <w:rsid w:val="009E74F0"/>
    <w:rsid w:val="009F063F"/>
    <w:rsid w:val="009F0768"/>
    <w:rsid w:val="009F340B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2798"/>
    <w:rsid w:val="00A1302A"/>
    <w:rsid w:val="00A134DA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CFA"/>
    <w:rsid w:val="00A344A5"/>
    <w:rsid w:val="00A346C3"/>
    <w:rsid w:val="00A40AC2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5B6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3AB5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2E35"/>
    <w:rsid w:val="00AE3DE1"/>
    <w:rsid w:val="00AE44AC"/>
    <w:rsid w:val="00AE4EC9"/>
    <w:rsid w:val="00AE63B3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DE6"/>
    <w:rsid w:val="00B17EA8"/>
    <w:rsid w:val="00B20725"/>
    <w:rsid w:val="00B20B94"/>
    <w:rsid w:val="00B23248"/>
    <w:rsid w:val="00B2506B"/>
    <w:rsid w:val="00B2628E"/>
    <w:rsid w:val="00B266B0"/>
    <w:rsid w:val="00B27921"/>
    <w:rsid w:val="00B3000E"/>
    <w:rsid w:val="00B3062E"/>
    <w:rsid w:val="00B3267A"/>
    <w:rsid w:val="00B326A8"/>
    <w:rsid w:val="00B329EB"/>
    <w:rsid w:val="00B33508"/>
    <w:rsid w:val="00B3377E"/>
    <w:rsid w:val="00B33E65"/>
    <w:rsid w:val="00B35786"/>
    <w:rsid w:val="00B35DA4"/>
    <w:rsid w:val="00B40A96"/>
    <w:rsid w:val="00B40D8D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2047"/>
    <w:rsid w:val="00B63337"/>
    <w:rsid w:val="00B6369F"/>
    <w:rsid w:val="00B639D7"/>
    <w:rsid w:val="00B63FE2"/>
    <w:rsid w:val="00B64AA7"/>
    <w:rsid w:val="00B66594"/>
    <w:rsid w:val="00B67805"/>
    <w:rsid w:val="00B70A76"/>
    <w:rsid w:val="00B71F09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04E"/>
    <w:rsid w:val="00B9198D"/>
    <w:rsid w:val="00B91CA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1D6A"/>
    <w:rsid w:val="00BC32E7"/>
    <w:rsid w:val="00BC348E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8FB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3E6D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092"/>
    <w:rsid w:val="00C41331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038F"/>
    <w:rsid w:val="00C606B4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80B"/>
    <w:rsid w:val="00C74421"/>
    <w:rsid w:val="00C7542D"/>
    <w:rsid w:val="00C75F2F"/>
    <w:rsid w:val="00C75FEE"/>
    <w:rsid w:val="00C76F1D"/>
    <w:rsid w:val="00C77D26"/>
    <w:rsid w:val="00C80BDF"/>
    <w:rsid w:val="00C83A77"/>
    <w:rsid w:val="00C84D39"/>
    <w:rsid w:val="00C85277"/>
    <w:rsid w:val="00C85D76"/>
    <w:rsid w:val="00C873AC"/>
    <w:rsid w:val="00C93462"/>
    <w:rsid w:val="00C94384"/>
    <w:rsid w:val="00C9469F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A03"/>
    <w:rsid w:val="00CC3DAA"/>
    <w:rsid w:val="00CC43B0"/>
    <w:rsid w:val="00CC49C7"/>
    <w:rsid w:val="00CC4C2C"/>
    <w:rsid w:val="00CC5057"/>
    <w:rsid w:val="00CC587F"/>
    <w:rsid w:val="00CD078F"/>
    <w:rsid w:val="00CD121E"/>
    <w:rsid w:val="00CD1484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A4C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28C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30C2"/>
    <w:rsid w:val="00D3462C"/>
    <w:rsid w:val="00D35198"/>
    <w:rsid w:val="00D3584B"/>
    <w:rsid w:val="00D36A12"/>
    <w:rsid w:val="00D41004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334B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92"/>
    <w:rsid w:val="00D76ADC"/>
    <w:rsid w:val="00D77413"/>
    <w:rsid w:val="00D81F10"/>
    <w:rsid w:val="00D8201E"/>
    <w:rsid w:val="00D84A57"/>
    <w:rsid w:val="00D84C3B"/>
    <w:rsid w:val="00D874DF"/>
    <w:rsid w:val="00D87A12"/>
    <w:rsid w:val="00D901B7"/>
    <w:rsid w:val="00D92A28"/>
    <w:rsid w:val="00D930E1"/>
    <w:rsid w:val="00D9415C"/>
    <w:rsid w:val="00D942CC"/>
    <w:rsid w:val="00D94ADE"/>
    <w:rsid w:val="00D94D87"/>
    <w:rsid w:val="00D962DC"/>
    <w:rsid w:val="00D97BB5"/>
    <w:rsid w:val="00DA052D"/>
    <w:rsid w:val="00DA180C"/>
    <w:rsid w:val="00DA1DF9"/>
    <w:rsid w:val="00DA1EF7"/>
    <w:rsid w:val="00DA3E7B"/>
    <w:rsid w:val="00DA451D"/>
    <w:rsid w:val="00DA56DB"/>
    <w:rsid w:val="00DA6452"/>
    <w:rsid w:val="00DA6C81"/>
    <w:rsid w:val="00DA6FE9"/>
    <w:rsid w:val="00DA7925"/>
    <w:rsid w:val="00DB05EB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362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0791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2E51"/>
    <w:rsid w:val="00E13883"/>
    <w:rsid w:val="00E13EE4"/>
    <w:rsid w:val="00E16463"/>
    <w:rsid w:val="00E22995"/>
    <w:rsid w:val="00E239D1"/>
    <w:rsid w:val="00E26727"/>
    <w:rsid w:val="00E26970"/>
    <w:rsid w:val="00E27791"/>
    <w:rsid w:val="00E30F2D"/>
    <w:rsid w:val="00E319DB"/>
    <w:rsid w:val="00E31AFC"/>
    <w:rsid w:val="00E33F2E"/>
    <w:rsid w:val="00E3409E"/>
    <w:rsid w:val="00E34F76"/>
    <w:rsid w:val="00E37BE5"/>
    <w:rsid w:val="00E41A27"/>
    <w:rsid w:val="00E430C7"/>
    <w:rsid w:val="00E4608B"/>
    <w:rsid w:val="00E5004A"/>
    <w:rsid w:val="00E501D3"/>
    <w:rsid w:val="00E53A01"/>
    <w:rsid w:val="00E564C4"/>
    <w:rsid w:val="00E567C9"/>
    <w:rsid w:val="00E604C4"/>
    <w:rsid w:val="00E60809"/>
    <w:rsid w:val="00E60FCE"/>
    <w:rsid w:val="00E611AE"/>
    <w:rsid w:val="00E61300"/>
    <w:rsid w:val="00E614F2"/>
    <w:rsid w:val="00E6201A"/>
    <w:rsid w:val="00E635B9"/>
    <w:rsid w:val="00E65D15"/>
    <w:rsid w:val="00E66C49"/>
    <w:rsid w:val="00E67EE5"/>
    <w:rsid w:val="00E7013A"/>
    <w:rsid w:val="00E74119"/>
    <w:rsid w:val="00E74F5D"/>
    <w:rsid w:val="00E76034"/>
    <w:rsid w:val="00E7730D"/>
    <w:rsid w:val="00E80440"/>
    <w:rsid w:val="00E80515"/>
    <w:rsid w:val="00E817E0"/>
    <w:rsid w:val="00E819FB"/>
    <w:rsid w:val="00E82EE4"/>
    <w:rsid w:val="00E831E7"/>
    <w:rsid w:val="00E83B49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DCF"/>
    <w:rsid w:val="00EA4EC9"/>
    <w:rsid w:val="00EA5E0F"/>
    <w:rsid w:val="00EA6FE4"/>
    <w:rsid w:val="00EA7723"/>
    <w:rsid w:val="00EA7F4C"/>
    <w:rsid w:val="00EB16BF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1B3B"/>
    <w:rsid w:val="00EE3663"/>
    <w:rsid w:val="00EE41C4"/>
    <w:rsid w:val="00EE466B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0FD3"/>
    <w:rsid w:val="00F01E6B"/>
    <w:rsid w:val="00F0241C"/>
    <w:rsid w:val="00F05759"/>
    <w:rsid w:val="00F10CB9"/>
    <w:rsid w:val="00F110D5"/>
    <w:rsid w:val="00F12351"/>
    <w:rsid w:val="00F16739"/>
    <w:rsid w:val="00F16DE2"/>
    <w:rsid w:val="00F17B9C"/>
    <w:rsid w:val="00F17C5F"/>
    <w:rsid w:val="00F17E37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57A6"/>
    <w:rsid w:val="00F360A6"/>
    <w:rsid w:val="00F40578"/>
    <w:rsid w:val="00F4065A"/>
    <w:rsid w:val="00F40F19"/>
    <w:rsid w:val="00F4275C"/>
    <w:rsid w:val="00F42DDD"/>
    <w:rsid w:val="00F45693"/>
    <w:rsid w:val="00F47983"/>
    <w:rsid w:val="00F52339"/>
    <w:rsid w:val="00F5277A"/>
    <w:rsid w:val="00F52876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677CA"/>
    <w:rsid w:val="00F70687"/>
    <w:rsid w:val="00F713A3"/>
    <w:rsid w:val="00F71A8F"/>
    <w:rsid w:val="00F71DC3"/>
    <w:rsid w:val="00F72DD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3D1"/>
    <w:rsid w:val="00FB4B8A"/>
    <w:rsid w:val="00FB5152"/>
    <w:rsid w:val="00FB680E"/>
    <w:rsid w:val="00FC0065"/>
    <w:rsid w:val="00FC2CD5"/>
    <w:rsid w:val="00FC3AEE"/>
    <w:rsid w:val="00FC6238"/>
    <w:rsid w:val="00FC78AD"/>
    <w:rsid w:val="00FD0D70"/>
    <w:rsid w:val="00FD11E1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40"/>
    <w:rsid w:val="00FD6B74"/>
    <w:rsid w:val="00FD70AE"/>
    <w:rsid w:val="00FE002E"/>
    <w:rsid w:val="00FE04B0"/>
    <w:rsid w:val="00FE2398"/>
    <w:rsid w:val="00FE3D32"/>
    <w:rsid w:val="00FE4606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SP-5AIRPNAIUNRU-1830940522-1539</_dlc_DocId>
    <_dlc_DocIdUrl xmlns="71c5aaf6-e6ce-465b-b873-5148d2a4c105">
      <Url>https://nokia.sharepoint.com/sites/c5g/5gradio/_layouts/15/DocIdRedir.aspx?ID=SP-5AIRPNAIUNRU-1830940522-1539</Url>
      <Description>SP-5AIRPNAIUNRU-1830940522-1539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50123E-EB97-48AB-9E2A-017FC612EF2E}"/>
</file>

<file path=customXml/itemProps5.xml><?xml version="1.0" encoding="utf-8"?>
<ds:datastoreItem xmlns:ds="http://schemas.openxmlformats.org/officeDocument/2006/customXml" ds:itemID="{2B076B6E-CFF5-4E35-B70E-E3ACA800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</TotalTime>
  <Pages>4</Pages>
  <Words>1132</Words>
  <Characters>9177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19</cp:revision>
  <cp:lastPrinted>2017-03-20T08:16:00Z</cp:lastPrinted>
  <dcterms:created xsi:type="dcterms:W3CDTF">2017-06-15T11:47:00Z</dcterms:created>
  <dcterms:modified xsi:type="dcterms:W3CDTF">2017-08-11T06:47:00Z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c92d8597-5461-42fe-9f25-eadc787930b8</vt:lpwstr>
  </property>
</Properties>
</file>