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24F2E5F3"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4B6B76">
        <w:rPr>
          <w:rFonts w:hint="eastAsia"/>
          <w:b/>
          <w:sz w:val="24"/>
          <w:szCs w:val="24"/>
          <w:lang w:eastAsia="ko-KR"/>
        </w:rPr>
        <w:t>RAN WG1#</w:t>
      </w:r>
      <w:r w:rsidR="005A7133">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BA6AD4" w:rsidRPr="006E473F">
        <w:rPr>
          <w:rFonts w:hint="eastAsia"/>
          <w:b/>
          <w:i/>
          <w:noProof/>
          <w:sz w:val="24"/>
          <w:szCs w:val="24"/>
          <w:lang w:eastAsia="ko-KR"/>
        </w:rPr>
        <w:t>1</w:t>
      </w:r>
      <w:r w:rsidR="00BA6AD4">
        <w:rPr>
          <w:b/>
          <w:i/>
          <w:noProof/>
          <w:sz w:val="24"/>
          <w:szCs w:val="24"/>
          <w:lang w:eastAsia="ko-KR"/>
        </w:rPr>
        <w:t>7</w:t>
      </w:r>
      <w:r w:rsidR="00667333">
        <w:rPr>
          <w:b/>
          <w:i/>
          <w:noProof/>
          <w:sz w:val="24"/>
          <w:szCs w:val="24"/>
          <w:lang w:eastAsia="ko-KR"/>
        </w:rPr>
        <w:t>13531</w:t>
      </w:r>
      <w:bookmarkStart w:id="2" w:name="_GoBack"/>
      <w:bookmarkEnd w:id="2"/>
    </w:p>
    <w:bookmarkEnd w:id="0"/>
    <w:bookmarkEnd w:id="1"/>
    <w:p w14:paraId="7E9A5EFF" w14:textId="4C618A91" w:rsidR="003D6F63" w:rsidRPr="003D6F63" w:rsidRDefault="005A7133"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r>
        <w:rPr>
          <w:rFonts w:ascii="Arial" w:hAnsi="Arial" w:cs="Arial"/>
          <w:b/>
          <w:bCs/>
          <w:sz w:val="24"/>
          <w:szCs w:val="24"/>
        </w:rPr>
        <w:t>Czech</w:t>
      </w:r>
      <w:r w:rsidR="004B6B76">
        <w:rPr>
          <w:rFonts w:ascii="Arial" w:hAnsi="Arial" w:cs="Arial"/>
          <w:b/>
          <w:bCs/>
          <w:sz w:val="24"/>
          <w:szCs w:val="24"/>
        </w:rPr>
        <w:t>,</w:t>
      </w:r>
      <w:r w:rsidR="00614ED4" w:rsidRPr="00614ED4">
        <w:rPr>
          <w:rFonts w:ascii="Arial" w:hAnsi="Arial" w:cs="Arial"/>
          <w:b/>
          <w:bCs/>
          <w:sz w:val="32"/>
          <w:szCs w:val="24"/>
        </w:rPr>
        <w:t xml:space="preserve"> </w:t>
      </w:r>
      <w:r>
        <w:rPr>
          <w:rFonts w:ascii="Arial" w:hAnsi="Arial" w:cs="Arial"/>
          <w:b/>
          <w:bCs/>
          <w:sz w:val="24"/>
          <w:szCs w:val="24"/>
        </w:rPr>
        <w:t>21th</w:t>
      </w:r>
      <w:r w:rsidR="00832B30">
        <w:rPr>
          <w:rFonts w:ascii="Arial" w:hAnsi="Arial" w:cs="Arial"/>
          <w:b/>
          <w:bCs/>
          <w:sz w:val="24"/>
          <w:szCs w:val="24"/>
        </w:rPr>
        <w:t xml:space="preserve"> </w:t>
      </w:r>
      <w:r>
        <w:rPr>
          <w:rFonts w:ascii="Arial" w:hAnsi="Arial" w:cs="Arial"/>
          <w:b/>
          <w:bCs/>
          <w:sz w:val="24"/>
          <w:szCs w:val="24"/>
        </w:rPr>
        <w:t>–</w:t>
      </w:r>
      <w:r w:rsidR="003D6F63" w:rsidRPr="003D6F63">
        <w:rPr>
          <w:rFonts w:ascii="Arial" w:hAnsi="Arial" w:cs="Arial"/>
          <w:b/>
          <w:bCs/>
          <w:sz w:val="24"/>
          <w:szCs w:val="24"/>
        </w:rPr>
        <w:t xml:space="preserve"> </w:t>
      </w:r>
      <w:r>
        <w:rPr>
          <w:rFonts w:ascii="Arial" w:hAnsi="Arial" w:cs="Arial"/>
          <w:b/>
          <w:bCs/>
          <w:sz w:val="24"/>
          <w:szCs w:val="24"/>
        </w:rPr>
        <w:t>25th</w:t>
      </w:r>
      <w:r w:rsidR="007040FE" w:rsidRPr="003D6F63">
        <w:rPr>
          <w:rFonts w:ascii="Arial" w:hAnsi="Arial" w:cs="Arial"/>
          <w:b/>
          <w:bCs/>
          <w:sz w:val="24"/>
          <w:szCs w:val="24"/>
        </w:rPr>
        <w:t xml:space="preserve"> </w:t>
      </w:r>
      <w:r>
        <w:rPr>
          <w:rFonts w:ascii="Arial" w:hAnsi="Arial" w:cs="Arial"/>
          <w:b/>
          <w:bCs/>
          <w:sz w:val="24"/>
          <w:szCs w:val="24"/>
        </w:rPr>
        <w:t>August</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3054D17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F4319C">
        <w:rPr>
          <w:rFonts w:ascii="Arial" w:hAnsi="Arial"/>
          <w:sz w:val="24"/>
          <w:lang w:eastAsia="ko-KR"/>
        </w:rPr>
        <w:t>5</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AD1C0B">
        <w:rPr>
          <w:rFonts w:ascii="Arial" w:hAnsi="Arial"/>
          <w:sz w:val="24"/>
          <w:lang w:eastAsia="ko-KR"/>
        </w:rPr>
        <w:t>3.3</w:t>
      </w:r>
      <w:r w:rsidR="003A0EFA">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3EAFC3E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0EFA" w:rsidRPr="003A0EFA">
        <w:rPr>
          <w:rFonts w:ascii="Arial" w:hAnsi="Arial"/>
          <w:sz w:val="24"/>
        </w:rPr>
        <w:t>Discussion on transmit diversity scheme for PSSCH in V2X</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74A12F40" w14:textId="77777777" w:rsidR="00970230" w:rsidRDefault="00970230" w:rsidP="00970230">
      <w:pPr>
        <w:pStyle w:val="Style1"/>
      </w:pPr>
      <w:r>
        <w:rPr>
          <w:rFonts w:hint="eastAsia"/>
        </w:rPr>
        <w:t xml:space="preserve">In </w:t>
      </w:r>
      <w:r w:rsidRPr="00127B23">
        <w:t>3GPP TSG RAN Meeting #75,</w:t>
      </w:r>
      <w:r>
        <w:rPr>
          <w:rFonts w:hint="eastAsia"/>
        </w:rPr>
        <w:t xml:space="preserve"> the WI on 3GPP V2X phase 2 was endorsed with one of </w:t>
      </w:r>
      <w:r>
        <w:t>objective</w:t>
      </w:r>
      <w:r>
        <w:rPr>
          <w:rFonts w:hint="eastAsia"/>
        </w:rPr>
        <w:t xml:space="preserve">s related to RAN1as </w:t>
      </w:r>
      <w:r>
        <w:t>below [</w:t>
      </w:r>
      <w:r>
        <w:rPr>
          <w:rFonts w:hint="eastAsia"/>
        </w:rPr>
        <w:t>1]:</w:t>
      </w:r>
    </w:p>
    <w:tbl>
      <w:tblPr>
        <w:tblStyle w:val="TableGrid"/>
        <w:tblW w:w="0" w:type="auto"/>
        <w:tblLook w:val="04A0" w:firstRow="1" w:lastRow="0" w:firstColumn="1" w:lastColumn="0" w:noHBand="0" w:noVBand="1"/>
      </w:tblPr>
      <w:tblGrid>
        <w:gridCol w:w="9629"/>
      </w:tblGrid>
      <w:tr w:rsidR="00970230" w14:paraId="0704CDB5" w14:textId="77777777" w:rsidTr="00970230">
        <w:tc>
          <w:tcPr>
            <w:tcW w:w="9629" w:type="dxa"/>
          </w:tcPr>
          <w:p w14:paraId="21AD0E28" w14:textId="29A48231" w:rsidR="00970230" w:rsidRDefault="00970230" w:rsidP="00970230">
            <w:pPr>
              <w:pStyle w:val="Style1"/>
              <w:ind w:firstLine="0"/>
            </w:pPr>
            <w:r w:rsidRPr="00970230">
              <w:rPr>
                <w:rFonts w:hint="eastAsia"/>
                <w:i/>
              </w:rPr>
              <w:t>Study the</w:t>
            </w:r>
            <w:r w:rsidRPr="00970230">
              <w:rPr>
                <w:i/>
              </w:rPr>
              <w:t xml:space="preserve"> feasibility and gain of </w:t>
            </w:r>
            <w:r w:rsidRPr="00970230">
              <w:rPr>
                <w:rFonts w:hint="eastAsia"/>
                <w:i/>
              </w:rPr>
              <w:t>PC5 operation with Transmit</w:t>
            </w:r>
            <w:r w:rsidRPr="00970230">
              <w:rPr>
                <w:i/>
              </w:rPr>
              <w:t xml:space="preserve"> </w:t>
            </w:r>
            <w:r w:rsidRPr="00970230">
              <w:rPr>
                <w:rFonts w:hint="eastAsia"/>
                <w:i/>
              </w:rPr>
              <w:t>D</w:t>
            </w:r>
            <w:r w:rsidRPr="00970230">
              <w:rPr>
                <w:i/>
              </w:rPr>
              <w:t>iversity</w:t>
            </w:r>
            <w:r w:rsidRPr="00970230">
              <w:rPr>
                <w:rFonts w:hint="eastAsia"/>
                <w:i/>
              </w:rPr>
              <w:t>,</w:t>
            </w:r>
            <w:r w:rsidRPr="00970230">
              <w:rPr>
                <w:i/>
              </w:rPr>
              <w:t xml:space="preserve"> assuming </w:t>
            </w:r>
            <w:r w:rsidRPr="00970230">
              <w:rPr>
                <w:rFonts w:hint="eastAsia"/>
                <w:i/>
              </w:rPr>
              <w:t xml:space="preserve">this </w:t>
            </w:r>
            <w:r w:rsidRPr="00970230">
              <w:rPr>
                <w:i/>
              </w:rPr>
              <w:t>PC5 functionalit</w:t>
            </w:r>
            <w:r w:rsidRPr="00970230">
              <w:rPr>
                <w:rFonts w:hint="eastAsia"/>
                <w:i/>
              </w:rPr>
              <w:t>y</w:t>
            </w:r>
            <w:r w:rsidRPr="00970230">
              <w:rPr>
                <w:i/>
              </w:rPr>
              <w:t xml:space="preserve"> would co-exist in the same resource pools as Rel-14 functionality</w:t>
            </w:r>
            <w:r w:rsidRPr="00970230">
              <w:rPr>
                <w:rFonts w:hint="eastAsia"/>
                <w:i/>
              </w:rPr>
              <w:t xml:space="preserve"> and </w:t>
            </w:r>
            <w:r w:rsidRPr="00970230">
              <w:rPr>
                <w:i/>
              </w:rPr>
              <w:t>us</w:t>
            </w:r>
            <w:r w:rsidRPr="00970230">
              <w:rPr>
                <w:rFonts w:hint="eastAsia"/>
                <w:i/>
              </w:rPr>
              <w:t>e</w:t>
            </w:r>
            <w:r w:rsidRPr="00970230">
              <w:rPr>
                <w:i/>
              </w:rPr>
              <w:t xml:space="preserve"> the same scheduling assignment format</w:t>
            </w:r>
            <w:r w:rsidRPr="00970230">
              <w:rPr>
                <w:rFonts w:hint="eastAsia"/>
                <w:i/>
              </w:rPr>
              <w:t xml:space="preserve"> (</w:t>
            </w:r>
            <w:r w:rsidRPr="00970230">
              <w:rPr>
                <w:i/>
              </w:rPr>
              <w:t>which can be decoded by Rel-14 UEs</w:t>
            </w:r>
            <w:r w:rsidRPr="00970230">
              <w:rPr>
                <w:rFonts w:hint="eastAsia"/>
                <w:i/>
              </w:rPr>
              <w:t xml:space="preserve">), </w:t>
            </w:r>
            <w:r w:rsidRPr="00970230">
              <w:rPr>
                <w:i/>
              </w:rPr>
              <w:t>without causing significant degradation to Rel-14 PC5 operation</w:t>
            </w:r>
            <w:r w:rsidRPr="00970230">
              <w:rPr>
                <w:rFonts w:hint="eastAsia"/>
                <w:i/>
              </w:rPr>
              <w:t xml:space="preserve"> compared to that of Rel-14 UEs, and specify this </w:t>
            </w:r>
            <w:r w:rsidRPr="00970230">
              <w:rPr>
                <w:i/>
              </w:rPr>
              <w:t>PC5 functionalit</w:t>
            </w:r>
            <w:r w:rsidRPr="00970230">
              <w:rPr>
                <w:rFonts w:hint="eastAsia"/>
                <w:i/>
              </w:rPr>
              <w:t>y if justified. [</w:t>
            </w:r>
            <w:r w:rsidRPr="00970230">
              <w:rPr>
                <w:i/>
              </w:rPr>
              <w:t>RAN</w:t>
            </w:r>
            <w:r w:rsidRPr="00970230">
              <w:rPr>
                <w:rFonts w:hint="eastAsia"/>
                <w:i/>
              </w:rPr>
              <w:t>1</w:t>
            </w:r>
            <w:r w:rsidRPr="00970230">
              <w:rPr>
                <w:i/>
              </w:rPr>
              <w:t>, RAN</w:t>
            </w:r>
            <w:r w:rsidRPr="00970230">
              <w:rPr>
                <w:rFonts w:hint="eastAsia"/>
                <w:i/>
              </w:rPr>
              <w:t>2</w:t>
            </w:r>
            <w:r w:rsidRPr="00970230">
              <w:rPr>
                <w:i/>
              </w:rPr>
              <w:t xml:space="preserve">, </w:t>
            </w:r>
            <w:r w:rsidRPr="00970230">
              <w:rPr>
                <w:rFonts w:hint="eastAsia"/>
                <w:i/>
              </w:rPr>
              <w:t>RAN4]</w:t>
            </w:r>
          </w:p>
        </w:tc>
      </w:tr>
    </w:tbl>
    <w:p w14:paraId="27236BDE" w14:textId="77777777" w:rsidR="00970230" w:rsidRDefault="00970230" w:rsidP="00E50AEC">
      <w:pPr>
        <w:overflowPunct w:val="0"/>
        <w:autoSpaceDE w:val="0"/>
        <w:autoSpaceDN w:val="0"/>
        <w:adjustRightInd w:val="0"/>
        <w:textAlignment w:val="baseline"/>
        <w:rPr>
          <w:bCs/>
        </w:rPr>
      </w:pPr>
    </w:p>
    <w:p w14:paraId="46234168" w14:textId="1A976725" w:rsidR="00E50AEC" w:rsidRDefault="00E50AEC" w:rsidP="0036685E">
      <w:pPr>
        <w:pStyle w:val="Style1"/>
      </w:pPr>
      <w:r>
        <w:t xml:space="preserve">In this contribution, we present our views on the </w:t>
      </w:r>
      <w:r w:rsidR="00963361">
        <w:t xml:space="preserve">transmit diversity </w:t>
      </w:r>
      <w:r w:rsidR="0036685E">
        <w:t>transmission scheme and DMRS design for the PSSCH channel</w:t>
      </w:r>
      <w:r>
        <w:t>.</w:t>
      </w:r>
    </w:p>
    <w:p w14:paraId="607DA7AE" w14:textId="485A920B" w:rsidR="00832B30" w:rsidRPr="00526A65" w:rsidRDefault="0036685E" w:rsidP="00526A65">
      <w:pPr>
        <w:pStyle w:val="Heading1"/>
        <w:tabs>
          <w:tab w:val="num" w:pos="0"/>
        </w:tabs>
        <w:ind w:left="799" w:hanging="799"/>
      </w:pPr>
      <w:r>
        <w:t xml:space="preserve">Discussion on transmission scheme </w:t>
      </w:r>
    </w:p>
    <w:p w14:paraId="0C9021E1" w14:textId="76434348" w:rsidR="00D972ED" w:rsidRDefault="009D0E74" w:rsidP="00AA1071">
      <w:pPr>
        <w:pStyle w:val="Style1"/>
      </w:pPr>
      <w:r w:rsidRPr="00AA1071">
        <w:t>There exist two categories of candidate transmit diversity scheme</w:t>
      </w:r>
      <w:r w:rsidR="00982D3D">
        <w:t>s</w:t>
      </w:r>
      <w:r w:rsidRPr="00AA1071">
        <w:t xml:space="preserve"> </w:t>
      </w:r>
      <w:r w:rsidR="00982D3D">
        <w:t>applicable to</w:t>
      </w:r>
      <w:r w:rsidRPr="00AA1071">
        <w:t xml:space="preserve"> PSSCH channel. The first category is schemes transparent to </w:t>
      </w:r>
      <w:r w:rsidR="00AA1071">
        <w:t>the specification</w:t>
      </w:r>
      <w:r w:rsidRPr="00AA1071">
        <w:t xml:space="preserve">. The characteristic of transparent schemes is that the DMRS definition in PSSCH has no change and the RE mapping in PSSCH has no change. </w:t>
      </w:r>
      <w:r w:rsidR="002C26EE">
        <w:t>E</w:t>
      </w:r>
      <w:r w:rsidR="005239F4">
        <w:t>xample</w:t>
      </w:r>
      <w:r w:rsidR="002C26EE">
        <w:t>s</w:t>
      </w:r>
      <w:r w:rsidR="005239F4">
        <w:t xml:space="preserve"> of transparent schemes</w:t>
      </w:r>
      <w:r w:rsidRPr="00AA1071">
        <w:t xml:space="preserve"> can be small delay CDD (cyclic delay diversity)</w:t>
      </w:r>
      <w:r w:rsidR="002C26EE">
        <w:t xml:space="preserve"> and pre-coder vector switching across </w:t>
      </w:r>
      <w:proofErr w:type="spellStart"/>
      <w:r w:rsidR="002C26EE">
        <w:t>subframes</w:t>
      </w:r>
      <w:proofErr w:type="spellEnd"/>
      <w:r w:rsidRPr="00AA1071">
        <w:t xml:space="preserve">. </w:t>
      </w:r>
      <w:r w:rsidR="00AA1071">
        <w:t xml:space="preserve">Those schemes can be considered as UE’s implementation issue and do not need specification support. However, the diversity gain provided by those schemes are limited. The second category is schemes non-transparent to the specification. The data payload in PSSCH transmitted from Rel-15 UE does not need to be decodable by Rel-14 UEs. So advanced transmission scheme with potential larger diversity gain can be considered here to boost the reliability of V2X transmission. As we know, the reliability is one of the most important performance requirement for V2X </w:t>
      </w:r>
      <w:r w:rsidR="00C26A7B">
        <w:t>connection</w:t>
      </w:r>
      <w:r w:rsidR="00AA1071">
        <w:t>.</w:t>
      </w:r>
      <w:r w:rsidR="00E73808">
        <w:t xml:space="preserve"> One concern for non-transparent scheme is that the DMRS should be still usable for Rel-14 UE to measure the PSSCH-RSRP and it should not cause significant degradation to Rel-14 UE operation. </w:t>
      </w:r>
      <w:r w:rsidR="00D972ED">
        <w:t>To resolve this concern, we should limit the maximum number of DMRS antenna ports of Rel-15 UEs. Two antenna ports for DMRS is a good choice here.</w:t>
      </w:r>
    </w:p>
    <w:p w14:paraId="43A2B46B" w14:textId="02DCF1C2" w:rsidR="00D972ED" w:rsidRPr="00963361" w:rsidRDefault="00D972ED" w:rsidP="00C432C3">
      <w:pPr>
        <w:pStyle w:val="maintext"/>
        <w:ind w:firstLineChars="0" w:firstLine="0"/>
        <w:rPr>
          <w:b/>
          <w:i/>
          <w:u w:val="single"/>
        </w:rPr>
      </w:pPr>
      <w:r w:rsidRPr="00963361">
        <w:rPr>
          <w:b/>
          <w:i/>
          <w:u w:val="single"/>
        </w:rPr>
        <w:t>Proposal</w:t>
      </w:r>
      <w:r w:rsidRPr="00963361">
        <w:rPr>
          <w:rFonts w:hint="eastAsia"/>
          <w:b/>
          <w:i/>
          <w:u w:val="single"/>
        </w:rPr>
        <w:t xml:space="preserve"> 1</w:t>
      </w:r>
      <w:r w:rsidRPr="00963361">
        <w:rPr>
          <w:i/>
        </w:rPr>
        <w:t>: V2X phase 2 should consider non-transparent transmit diversity scheme</w:t>
      </w:r>
      <w:r w:rsidR="00D1332D" w:rsidRPr="00963361">
        <w:rPr>
          <w:i/>
        </w:rPr>
        <w:t xml:space="preserve"> for PSSCH</w:t>
      </w:r>
      <w:r w:rsidRPr="00963361">
        <w:rPr>
          <w:i/>
        </w:rPr>
        <w:t>. Maximum number of DMRS antenna ports in PSSCH is 2.</w:t>
      </w:r>
    </w:p>
    <w:p w14:paraId="070F2085" w14:textId="27BB84DD" w:rsidR="004600CE" w:rsidRDefault="004600CE" w:rsidP="00AA1071">
      <w:pPr>
        <w:pStyle w:val="Style1"/>
      </w:pPr>
      <w:r>
        <w:t xml:space="preserve">In the following sections, some non-transparent transmission schemes are going to be discussed and </w:t>
      </w:r>
      <w:r w:rsidR="00963361">
        <w:t>analysed</w:t>
      </w:r>
      <w:r>
        <w:t>.</w:t>
      </w:r>
    </w:p>
    <w:p w14:paraId="5B2D72E7" w14:textId="602EB5C6" w:rsidR="001E5384" w:rsidRPr="001E5384" w:rsidRDefault="001E5384" w:rsidP="001E5384">
      <w:pPr>
        <w:pStyle w:val="Style1"/>
      </w:pPr>
      <w:r w:rsidRPr="001E5384">
        <w:t xml:space="preserve">One </w:t>
      </w:r>
      <w:r>
        <w:t xml:space="preserve">candidate </w:t>
      </w:r>
      <w:r w:rsidRPr="001E5384">
        <w:t xml:space="preserve">scheme is time-domain pre-coder </w:t>
      </w:r>
      <w:r w:rsidR="001571D8">
        <w:t>vector switching (PVS)</w:t>
      </w:r>
      <w:r w:rsidRPr="001E5384">
        <w:t xml:space="preserve">. Different pre-coder can be applied to two different slots in one </w:t>
      </w:r>
      <w:proofErr w:type="spellStart"/>
      <w:r w:rsidRPr="001E5384">
        <w:t>subframe</w:t>
      </w:r>
      <w:proofErr w:type="spellEnd"/>
      <w:r w:rsidRPr="001E5384">
        <w:t>, as shown in Figure 1. Pre-coder #0 is applied to data symbols and DMRS symbols in the first slot and pre-coder #1 is applied to data symbols and DMRS symbols in the second slot. The DMRS definition needs no change. We only need to configure the Rel-15 UE to only use those two DMRS symbols within each slot to estimate the channel and then equalize the data within each slot.</w:t>
      </w:r>
      <w:r>
        <w:t xml:space="preserve"> Since there is </w:t>
      </w:r>
      <w:r w:rsidR="003127F2">
        <w:t xml:space="preserve">no </w:t>
      </w:r>
      <w:r>
        <w:t>CSI feedback, one choice for the pre-coders can be oversampled DFT vectors.</w:t>
      </w:r>
    </w:p>
    <w:p w14:paraId="28368897" w14:textId="42C5A856" w:rsidR="000E3A52" w:rsidRDefault="005301A2" w:rsidP="001E5384">
      <w:pPr>
        <w:pStyle w:val="Style1"/>
        <w:jc w:val="center"/>
      </w:pPr>
      <w:r w:rsidRPr="005301A2">
        <w:rPr>
          <w:noProof/>
          <w:lang w:val="en-US" w:eastAsia="zh-CN"/>
        </w:rPr>
        <w:lastRenderedPageBreak/>
        <w:drawing>
          <wp:inline distT="0" distB="0" distL="0" distR="0" wp14:anchorId="33D7BD5D" wp14:editId="5224F43C">
            <wp:extent cx="3657600" cy="176822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3657600" cy="1768220"/>
                    </a:xfrm>
                    <a:prstGeom prst="rect">
                      <a:avLst/>
                    </a:prstGeom>
                  </pic:spPr>
                </pic:pic>
              </a:graphicData>
            </a:graphic>
          </wp:inline>
        </w:drawing>
      </w:r>
    </w:p>
    <w:p w14:paraId="3E0D3CA5" w14:textId="1CDC6866" w:rsidR="001E5384" w:rsidRPr="001E5384" w:rsidRDefault="001E5384" w:rsidP="001E5384">
      <w:pPr>
        <w:pStyle w:val="Style1"/>
        <w:jc w:val="center"/>
        <w:rPr>
          <w:b/>
        </w:rPr>
      </w:pPr>
      <w:r w:rsidRPr="001E5384">
        <w:rPr>
          <w:b/>
        </w:rPr>
        <w:t>Figure 1</w:t>
      </w:r>
    </w:p>
    <w:p w14:paraId="539931C5" w14:textId="7B006663" w:rsidR="00964872" w:rsidRDefault="0086481F" w:rsidP="00964872">
      <w:pPr>
        <w:pStyle w:val="Style1"/>
      </w:pPr>
      <w:r>
        <w:t xml:space="preserve">Another candidate scheme is </w:t>
      </w:r>
      <w:r w:rsidR="005301A2">
        <w:t xml:space="preserve">two-antenna port </w:t>
      </w:r>
      <w:proofErr w:type="spellStart"/>
      <w:r w:rsidR="005301A2">
        <w:t>Alamouti</w:t>
      </w:r>
      <w:proofErr w:type="spellEnd"/>
      <w:r w:rsidR="005301A2">
        <w:t xml:space="preserve"> scheme. One </w:t>
      </w:r>
      <w:proofErr w:type="spellStart"/>
      <w:r w:rsidR="005301A2">
        <w:t>Alamouti</w:t>
      </w:r>
      <w:proofErr w:type="spellEnd"/>
      <w:r w:rsidR="005301A2">
        <w:t xml:space="preserve"> scheme is STBC. A design example is shown in Figure 2. </w:t>
      </w:r>
      <w:r w:rsidR="00EC5CE7">
        <w:t>The symbol #0 is used for AGC. The distortion on symbol #0 would impair the STBC orthogonality between symbol #0 and #1 if they are used as STBC pair. In the design example of Figure 2, o</w:t>
      </w:r>
      <w:r w:rsidR="005301A2">
        <w:t>n symbol #0, only the</w:t>
      </w:r>
      <w:r w:rsidR="00EC5CE7">
        <w:t xml:space="preserve"> first antenna port is mapped to symbol #0. Two antenna ports are mapped for STBC on the symbol pairs {1</w:t>
      </w:r>
      <w:proofErr w:type="gramStart"/>
      <w:r w:rsidR="00EC5CE7">
        <w:t>,3</w:t>
      </w:r>
      <w:proofErr w:type="gramEnd"/>
      <w:r w:rsidR="00EC5CE7">
        <w:t>},{4,6},{7,9} and {10,12}.</w:t>
      </w:r>
      <w:r w:rsidR="00964872">
        <w:t xml:space="preserve"> STBC does not increase the PAPR but it could suffer from the channel variation between two symbols. Another </w:t>
      </w:r>
      <w:proofErr w:type="spellStart"/>
      <w:r w:rsidR="00964872">
        <w:t>Alamouti</w:t>
      </w:r>
      <w:proofErr w:type="spellEnd"/>
      <w:r w:rsidR="00964872">
        <w:t xml:space="preserve"> scheme is SFBC. The SFBC mapping of two antenna ports are applied to every two adjacent subcarriers on each data symbol. SFBC mapping to adjacent subcarriers can increase the PAPR. One solution to preserve the PAPR is to </w:t>
      </w:r>
      <w:r w:rsidR="00F85EDA">
        <w:t xml:space="preserve">map </w:t>
      </w:r>
      <w:r w:rsidR="00964872">
        <w:t>SFBC to non-adjacent subcarriers. However, mapping to non-adjacent subcarriers would introduce more channel variation.</w:t>
      </w:r>
    </w:p>
    <w:p w14:paraId="0EBA7688" w14:textId="07DA47FA" w:rsidR="0086481F" w:rsidRDefault="005301A2" w:rsidP="005301A2">
      <w:pPr>
        <w:pStyle w:val="Style1"/>
        <w:jc w:val="center"/>
      </w:pPr>
      <w:r w:rsidRPr="005301A2">
        <w:rPr>
          <w:noProof/>
          <w:lang w:val="en-US" w:eastAsia="zh-CN"/>
        </w:rPr>
        <w:drawing>
          <wp:inline distT="0" distB="0" distL="0" distR="0" wp14:anchorId="5C07F213" wp14:editId="05D4EEFB">
            <wp:extent cx="3657600" cy="161724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657600" cy="1617240"/>
                    </a:xfrm>
                    <a:prstGeom prst="rect">
                      <a:avLst/>
                    </a:prstGeom>
                  </pic:spPr>
                </pic:pic>
              </a:graphicData>
            </a:graphic>
          </wp:inline>
        </w:drawing>
      </w:r>
    </w:p>
    <w:p w14:paraId="543581EF" w14:textId="1BBC0B3B" w:rsidR="005301A2" w:rsidRPr="005301A2" w:rsidRDefault="005301A2" w:rsidP="005301A2">
      <w:pPr>
        <w:pStyle w:val="Style1"/>
        <w:jc w:val="center"/>
        <w:rPr>
          <w:b/>
        </w:rPr>
      </w:pPr>
      <w:r>
        <w:rPr>
          <w:b/>
        </w:rPr>
        <w:t>Figure 2</w:t>
      </w:r>
    </w:p>
    <w:p w14:paraId="2AEAAD61" w14:textId="74A3BB03" w:rsidR="00F84184" w:rsidRPr="00B632F1" w:rsidRDefault="00F84184" w:rsidP="00526A65">
      <w:pPr>
        <w:pStyle w:val="Style1"/>
        <w:rPr>
          <w:lang w:val="en-US"/>
        </w:rPr>
      </w:pPr>
      <w:r w:rsidRPr="00F84184">
        <w:t xml:space="preserve">Another </w:t>
      </w:r>
      <w:r>
        <w:t xml:space="preserve">candidate scheme can be the combination of time-domain pre-coder </w:t>
      </w:r>
      <w:r w:rsidR="001571D8">
        <w:t xml:space="preserve">vector switching </w:t>
      </w:r>
      <w:r>
        <w:t>and two antenna port STBC (or SFBC). A design example is shown in Figure 3.</w:t>
      </w:r>
      <w:r w:rsidR="00B632F1">
        <w:t xml:space="preserve"> </w:t>
      </w:r>
      <w:r w:rsidR="00C432C3">
        <w:t xml:space="preserve">In example of (a), </w:t>
      </w:r>
      <w:r w:rsidR="00B632F1">
        <w:rPr>
          <w:lang w:val="en-US"/>
        </w:rPr>
        <w:t xml:space="preserve">Two-antenna port STBC and pre-coder </w:t>
      </w:r>
      <w:r w:rsidR="001571D8">
        <w:rPr>
          <w:lang w:val="en-US"/>
        </w:rPr>
        <w:t xml:space="preserve">vector switching </w:t>
      </w:r>
      <w:r w:rsidR="00B632F1">
        <w:rPr>
          <w:lang w:val="en-US"/>
        </w:rPr>
        <w:t>across slots is applied.</w:t>
      </w:r>
      <w:r w:rsidR="007E7E79">
        <w:rPr>
          <w:lang w:val="en-US"/>
        </w:rPr>
        <w:t xml:space="preserve"> Pre-coder #0 is applied to the data and DMRS symbols of the first antenna port in the first slot. Pre-coder #1 is applied to the data and DMRS symbols of the first antenna port in the second slot. Pre-coder #2 is applied to the data and DMRS symbols of the second antenna port in the first slot. Pre-coder #3 is applied to the data and DMRS symbols of the second antenna port in the second slot.</w:t>
      </w:r>
      <w:r w:rsidR="00C432C3">
        <w:rPr>
          <w:lang w:val="en-US"/>
        </w:rPr>
        <w:t xml:space="preserve"> In example of (b), two-antenna port SFBC is applied on each data symbol and the pre-coder </w:t>
      </w:r>
      <w:r w:rsidR="001571D8">
        <w:rPr>
          <w:lang w:val="en-US"/>
        </w:rPr>
        <w:t xml:space="preserve">vector switching </w:t>
      </w:r>
      <w:r w:rsidR="00C432C3">
        <w:rPr>
          <w:lang w:val="en-US"/>
        </w:rPr>
        <w:t>across slots is applied to both antenna ports.</w:t>
      </w:r>
      <w:r w:rsidR="007E7E79">
        <w:rPr>
          <w:lang w:val="en-US"/>
        </w:rPr>
        <w:t xml:space="preserve">  </w:t>
      </w:r>
      <w:r w:rsidR="00B632F1">
        <w:rPr>
          <w:lang w:val="en-US"/>
        </w:rPr>
        <w:t xml:space="preserve"> </w:t>
      </w:r>
    </w:p>
    <w:p w14:paraId="595AE5BF" w14:textId="77777777" w:rsidR="00743A42" w:rsidRDefault="00F84184" w:rsidP="00C432C3">
      <w:pPr>
        <w:pStyle w:val="Style1"/>
        <w:jc w:val="center"/>
        <w:rPr>
          <w:rFonts w:eastAsia="SimSun"/>
          <w:lang w:eastAsia="zh-CN"/>
        </w:rPr>
      </w:pPr>
      <w:r w:rsidRPr="00F84184">
        <w:rPr>
          <w:noProof/>
          <w:lang w:val="en-US" w:eastAsia="zh-CN"/>
        </w:rPr>
        <w:lastRenderedPageBreak/>
        <w:drawing>
          <wp:inline distT="0" distB="0" distL="0" distR="0" wp14:anchorId="2EF9529A" wp14:editId="3AA14EDA">
            <wp:extent cx="3657600" cy="2059646"/>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stretch>
                      <a:fillRect/>
                    </a:stretch>
                  </pic:blipFill>
                  <pic:spPr>
                    <a:xfrm>
                      <a:off x="0" y="0"/>
                      <a:ext cx="3657600" cy="2059646"/>
                    </a:xfrm>
                    <a:prstGeom prst="rect">
                      <a:avLst/>
                    </a:prstGeom>
                  </pic:spPr>
                </pic:pic>
              </a:graphicData>
            </a:graphic>
          </wp:inline>
        </w:drawing>
      </w:r>
      <w:r w:rsidR="00C432C3">
        <w:rPr>
          <w:rFonts w:eastAsia="SimSun"/>
          <w:lang w:eastAsia="zh-CN"/>
        </w:rPr>
        <w:t xml:space="preserve">   </w:t>
      </w:r>
    </w:p>
    <w:p w14:paraId="43EC524E" w14:textId="77777777" w:rsidR="00743A42" w:rsidRDefault="00743A42" w:rsidP="00C432C3">
      <w:pPr>
        <w:pStyle w:val="Style1"/>
        <w:jc w:val="center"/>
        <w:rPr>
          <w:rFonts w:eastAsia="SimSun"/>
          <w:lang w:eastAsia="zh-CN"/>
        </w:rPr>
      </w:pPr>
      <w:r>
        <w:rPr>
          <w:rFonts w:eastAsia="SimSun"/>
          <w:lang w:eastAsia="zh-CN"/>
        </w:rPr>
        <w:t>(a)</w:t>
      </w:r>
    </w:p>
    <w:p w14:paraId="6F8CB1E9" w14:textId="5C1E57C5" w:rsidR="00F84184" w:rsidRDefault="004B36BF" w:rsidP="00C432C3">
      <w:pPr>
        <w:pStyle w:val="Style1"/>
        <w:jc w:val="center"/>
        <w:rPr>
          <w:rFonts w:eastAsia="SimSun"/>
          <w:lang w:eastAsia="zh-CN"/>
        </w:rPr>
      </w:pPr>
      <w:r w:rsidRPr="004B36BF">
        <w:rPr>
          <w:rFonts w:eastAsia="SimSun"/>
          <w:noProof/>
          <w:lang w:val="en-US" w:eastAsia="zh-CN"/>
        </w:rPr>
        <w:drawing>
          <wp:inline distT="0" distB="0" distL="0" distR="0" wp14:anchorId="4D6A52E6" wp14:editId="6FEE1236">
            <wp:extent cx="3657600" cy="1615981"/>
            <wp:effectExtent l="0" t="0" r="0" b="381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3657600" cy="1615981"/>
                    </a:xfrm>
                    <a:prstGeom prst="rect">
                      <a:avLst/>
                    </a:prstGeom>
                  </pic:spPr>
                </pic:pic>
              </a:graphicData>
            </a:graphic>
          </wp:inline>
        </w:drawing>
      </w:r>
    </w:p>
    <w:p w14:paraId="53D5E854" w14:textId="22037A40" w:rsidR="00C432C3" w:rsidRDefault="00C432C3" w:rsidP="00743A42">
      <w:pPr>
        <w:pStyle w:val="Style1"/>
        <w:jc w:val="center"/>
        <w:rPr>
          <w:rFonts w:eastAsia="SimSun"/>
          <w:lang w:eastAsia="zh-CN"/>
        </w:rPr>
      </w:pPr>
      <w:r>
        <w:rPr>
          <w:rFonts w:eastAsia="SimSun"/>
          <w:lang w:eastAsia="zh-CN"/>
        </w:rPr>
        <w:t>(b)</w:t>
      </w:r>
    </w:p>
    <w:p w14:paraId="71959421" w14:textId="6B0AA730" w:rsidR="00044652" w:rsidRDefault="00044652" w:rsidP="00F84184">
      <w:pPr>
        <w:pStyle w:val="Style1"/>
        <w:jc w:val="center"/>
        <w:rPr>
          <w:rFonts w:eastAsia="SimSun"/>
          <w:b/>
          <w:lang w:eastAsia="zh-CN"/>
        </w:rPr>
      </w:pPr>
      <w:r w:rsidRPr="00044652">
        <w:rPr>
          <w:rFonts w:eastAsia="SimSun"/>
          <w:b/>
          <w:lang w:eastAsia="zh-CN"/>
        </w:rPr>
        <w:t>Figure 3</w:t>
      </w:r>
    </w:p>
    <w:p w14:paraId="37E70D71" w14:textId="295824A7" w:rsidR="00C432C3" w:rsidRDefault="00C432C3" w:rsidP="00C432C3">
      <w:pPr>
        <w:pStyle w:val="Style1"/>
      </w:pPr>
      <w:r w:rsidRPr="00C432C3">
        <w:t xml:space="preserve">STBC and SFBC scheme can achieve full diversity of two </w:t>
      </w:r>
      <w:r w:rsidR="00BC4369">
        <w:t>transmit</w:t>
      </w:r>
      <w:r w:rsidRPr="00C432C3">
        <w:t xml:space="preserve"> antennas. </w:t>
      </w:r>
      <w:r>
        <w:t xml:space="preserve">When the UE has more than two antennas, 2-antenna port STBC and SFBC cannot fully utilize the transmit diversity. Combining with </w:t>
      </w:r>
      <w:r w:rsidR="00BC4369">
        <w:t>slot level</w:t>
      </w:r>
      <w:r>
        <w:t xml:space="preserve"> pre-coder </w:t>
      </w:r>
      <w:r w:rsidR="001571D8">
        <w:t>vector switching</w:t>
      </w:r>
      <w:r w:rsidR="00217BA3">
        <w:t xml:space="preserve"> (PVS)</w:t>
      </w:r>
      <w:r w:rsidR="001571D8">
        <w:t xml:space="preserve"> </w:t>
      </w:r>
      <w:r>
        <w:t>is a good method to explore more diversity gain for vehicles equipped with more than 2 antennas.</w:t>
      </w:r>
      <w:r w:rsidR="00217BA3">
        <w:t xml:space="preserve"> In our view, the following benefit and advantages of combining slot-level PVS and STBC/SFBC can be observed:</w:t>
      </w:r>
    </w:p>
    <w:p w14:paraId="6AEB115B" w14:textId="60E580B4" w:rsidR="00217BA3" w:rsidRDefault="00217BA3" w:rsidP="00217BA3">
      <w:pPr>
        <w:pStyle w:val="Style1"/>
        <w:numPr>
          <w:ilvl w:val="0"/>
          <w:numId w:val="35"/>
        </w:numPr>
      </w:pPr>
      <w:r>
        <w:t>Extra transmit diversity gain over STBC and SFBC, especially when the UE is equipped with more than two transmit antennas, which is expected to be normal case for vehicle UEs.</w:t>
      </w:r>
    </w:p>
    <w:p w14:paraId="56A528F7" w14:textId="77777777" w:rsidR="00217BA3" w:rsidRDefault="00217BA3" w:rsidP="00217BA3">
      <w:pPr>
        <w:pStyle w:val="Style1"/>
        <w:numPr>
          <w:ilvl w:val="0"/>
          <w:numId w:val="35"/>
        </w:numPr>
      </w:pPr>
      <w:r>
        <w:t xml:space="preserve">It does not need to introduce any extra antenna ports. That two antenna ports defined for STBC or SFBC are sufficient. </w:t>
      </w:r>
    </w:p>
    <w:p w14:paraId="0CD38313" w14:textId="5BDECC64" w:rsidR="00217BA3" w:rsidRDefault="00217BA3" w:rsidP="00217BA3">
      <w:pPr>
        <w:pStyle w:val="Style1"/>
        <w:numPr>
          <w:ilvl w:val="0"/>
          <w:numId w:val="35"/>
        </w:numPr>
      </w:pPr>
      <w:r>
        <w:t xml:space="preserve">The spec impact is minimal. The only spec impact is to ask the receiver UE to only use two DMRS symbols within one slot to estimate the channel for the slot. </w:t>
      </w:r>
    </w:p>
    <w:p w14:paraId="5BD8D2F9" w14:textId="482E1482" w:rsidR="00217BA3" w:rsidRPr="00217BA3" w:rsidRDefault="00217BA3" w:rsidP="00217BA3">
      <w:pPr>
        <w:pStyle w:val="maintext"/>
        <w:ind w:firstLine="400"/>
      </w:pPr>
      <w:r>
        <w:t>Therefore, we make the following proposals:</w:t>
      </w:r>
    </w:p>
    <w:p w14:paraId="651F4167" w14:textId="069480C8" w:rsidR="00C432C3" w:rsidRPr="00E53604" w:rsidRDefault="00C432C3" w:rsidP="00C432C3">
      <w:pPr>
        <w:pStyle w:val="maintext"/>
        <w:ind w:firstLineChars="0" w:firstLine="0"/>
        <w:rPr>
          <w:i/>
        </w:rPr>
      </w:pPr>
      <w:r w:rsidRPr="00E53604">
        <w:rPr>
          <w:b/>
          <w:i/>
          <w:u w:val="single"/>
        </w:rPr>
        <w:t>Proposal</w:t>
      </w:r>
      <w:r w:rsidRPr="00E53604">
        <w:rPr>
          <w:rFonts w:hint="eastAsia"/>
          <w:b/>
          <w:i/>
          <w:u w:val="single"/>
        </w:rPr>
        <w:t xml:space="preserve"> </w:t>
      </w:r>
      <w:r w:rsidRPr="00E53604">
        <w:rPr>
          <w:b/>
          <w:i/>
          <w:u w:val="single"/>
        </w:rPr>
        <w:t>2</w:t>
      </w:r>
      <w:r w:rsidRPr="00E53604">
        <w:rPr>
          <w:i/>
        </w:rPr>
        <w:t xml:space="preserve">: V2X phase 2 should consider </w:t>
      </w:r>
      <w:r w:rsidR="006E44F9" w:rsidRPr="00E53604">
        <w:rPr>
          <w:i/>
        </w:rPr>
        <w:t>the following</w:t>
      </w:r>
      <w:r w:rsidRPr="00E53604">
        <w:rPr>
          <w:i/>
        </w:rPr>
        <w:t xml:space="preserve"> transmit diversity scheme</w:t>
      </w:r>
      <w:r w:rsidR="006E44F9" w:rsidRPr="00E53604">
        <w:rPr>
          <w:i/>
        </w:rPr>
        <w:t>s</w:t>
      </w:r>
      <w:r w:rsidRPr="00E53604">
        <w:rPr>
          <w:i/>
        </w:rPr>
        <w:t xml:space="preserve"> for PSSCH</w:t>
      </w:r>
      <w:r w:rsidR="006E44F9" w:rsidRPr="00E53604">
        <w:rPr>
          <w:i/>
        </w:rPr>
        <w:t>:</w:t>
      </w:r>
    </w:p>
    <w:p w14:paraId="5629A25C" w14:textId="77777777" w:rsidR="006E44F9" w:rsidRPr="006E44F9" w:rsidRDefault="006E44F9" w:rsidP="006E44F9">
      <w:pPr>
        <w:pStyle w:val="maintext"/>
        <w:numPr>
          <w:ilvl w:val="0"/>
          <w:numId w:val="34"/>
        </w:numPr>
        <w:ind w:firstLineChars="0"/>
        <w:rPr>
          <w:i/>
        </w:rPr>
      </w:pPr>
      <w:r w:rsidRPr="006E44F9">
        <w:rPr>
          <w:i/>
        </w:rPr>
        <w:t>STBC/SFBC</w:t>
      </w:r>
    </w:p>
    <w:p w14:paraId="32EE99F1" w14:textId="5D446B08" w:rsidR="006E44F9" w:rsidRPr="006E44F9" w:rsidRDefault="006E44F9" w:rsidP="006E44F9">
      <w:pPr>
        <w:pStyle w:val="maintext"/>
        <w:numPr>
          <w:ilvl w:val="0"/>
          <w:numId w:val="34"/>
        </w:numPr>
        <w:ind w:firstLineChars="0"/>
        <w:rPr>
          <w:i/>
        </w:rPr>
      </w:pPr>
      <w:r w:rsidRPr="006E44F9">
        <w:rPr>
          <w:i/>
        </w:rPr>
        <w:t xml:space="preserve">The combination of </w:t>
      </w:r>
      <w:r w:rsidR="00CC3F07">
        <w:rPr>
          <w:rFonts w:eastAsia="SimSun"/>
          <w:i/>
          <w:lang w:eastAsia="zh-CN"/>
        </w:rPr>
        <w:t>slot-level</w:t>
      </w:r>
      <w:r w:rsidR="005E7289">
        <w:rPr>
          <w:rFonts w:eastAsia="SimSun" w:hint="eastAsia"/>
          <w:i/>
          <w:lang w:eastAsia="zh-CN"/>
        </w:rPr>
        <w:t xml:space="preserve"> </w:t>
      </w:r>
      <w:r w:rsidR="00217BA3">
        <w:rPr>
          <w:i/>
        </w:rPr>
        <w:t>PVS</w:t>
      </w:r>
      <w:r w:rsidR="001571D8" w:rsidRPr="006E44F9">
        <w:rPr>
          <w:i/>
        </w:rPr>
        <w:t xml:space="preserve"> </w:t>
      </w:r>
      <w:r w:rsidRPr="006E44F9">
        <w:rPr>
          <w:i/>
        </w:rPr>
        <w:t xml:space="preserve">and STBC/SFBC </w:t>
      </w:r>
    </w:p>
    <w:p w14:paraId="5BEB6709" w14:textId="161E5758" w:rsidR="00CD24CD" w:rsidRDefault="00A54FCB" w:rsidP="00CD24CD">
      <w:pPr>
        <w:pStyle w:val="Heading1"/>
        <w:tabs>
          <w:tab w:val="num" w:pos="0"/>
        </w:tabs>
        <w:ind w:left="799" w:hanging="799"/>
      </w:pPr>
      <w:r>
        <w:t xml:space="preserve">DMRS </w:t>
      </w:r>
      <w:r w:rsidR="004B36BF">
        <w:t>design</w:t>
      </w:r>
    </w:p>
    <w:p w14:paraId="25097BC0" w14:textId="114736FB" w:rsidR="00E23589" w:rsidRDefault="004254EE" w:rsidP="00AA7B10">
      <w:pPr>
        <w:pStyle w:val="Style1"/>
      </w:pPr>
      <w:r w:rsidRPr="00AA7B10">
        <w:t xml:space="preserve">To support </w:t>
      </w:r>
      <w:r w:rsidR="00572EBD" w:rsidRPr="00AA7B10">
        <w:t>2</w:t>
      </w:r>
      <w:r w:rsidRPr="00AA7B10">
        <w:t xml:space="preserve">-antenna port transmit diversity scheme, we need two-antenna port DMRS transmission. </w:t>
      </w:r>
      <w:r w:rsidR="00D1687B">
        <w:t xml:space="preserve">A few design alternatives </w:t>
      </w:r>
      <w:r w:rsidR="00572EBD" w:rsidRPr="00AA7B10">
        <w:t>for 2-antenna port DMRS are discussed in this section.</w:t>
      </w:r>
    </w:p>
    <w:p w14:paraId="63957B30" w14:textId="401F023F" w:rsidR="00AA7B10" w:rsidRPr="00A3786A" w:rsidRDefault="00D1687B" w:rsidP="00A3786A">
      <w:pPr>
        <w:pStyle w:val="Style1"/>
        <w:rPr>
          <w:lang w:val="en-US" w:eastAsia="ko-KR"/>
        </w:rPr>
      </w:pPr>
      <w:r>
        <w:lastRenderedPageBreak/>
        <w:t>D</w:t>
      </w:r>
      <w:r w:rsidR="00A3786A">
        <w:t xml:space="preserve">esign </w:t>
      </w:r>
      <w:r>
        <w:t xml:space="preserve">Alt#1 </w:t>
      </w:r>
      <w:r w:rsidR="00A3786A">
        <w:t xml:space="preserve">is to use DMRS sequences with different cyclic shift for antenna port 0 and 1. As shown in Figure 4, the DMRS sequence for both antenna ports are mapped to all the DMRS symbols {2, 5, 8, 11} defined in Rel-14. The DMRS sequence defined in Rel-14 is used as the DMRS sequence for antenna port 0. On each symbol, different cyclic shift is used for antenna port 1. </w:t>
      </w:r>
    </w:p>
    <w:p w14:paraId="35131E5C" w14:textId="759D766D" w:rsidR="00572EBD" w:rsidRDefault="00572EBD" w:rsidP="00572EBD">
      <w:pPr>
        <w:pStyle w:val="Style1"/>
        <w:jc w:val="center"/>
        <w:rPr>
          <w:lang w:eastAsia="ko-KR"/>
        </w:rPr>
      </w:pPr>
      <w:r w:rsidRPr="00572EBD">
        <w:rPr>
          <w:noProof/>
          <w:lang w:val="en-US" w:eastAsia="zh-CN"/>
        </w:rPr>
        <w:drawing>
          <wp:inline distT="0" distB="0" distL="0" distR="0" wp14:anchorId="34D51814" wp14:editId="111DCE4D">
            <wp:extent cx="3657600" cy="13764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3657600" cy="1376400"/>
                    </a:xfrm>
                    <a:prstGeom prst="rect">
                      <a:avLst/>
                    </a:prstGeom>
                  </pic:spPr>
                </pic:pic>
              </a:graphicData>
            </a:graphic>
          </wp:inline>
        </w:drawing>
      </w:r>
    </w:p>
    <w:p w14:paraId="151B6CC3" w14:textId="424EECFC" w:rsidR="00572EBD" w:rsidRDefault="00572EBD" w:rsidP="00572EBD">
      <w:pPr>
        <w:pStyle w:val="Style1"/>
        <w:jc w:val="center"/>
        <w:rPr>
          <w:b/>
          <w:lang w:eastAsia="ko-KR"/>
        </w:rPr>
      </w:pPr>
      <w:r w:rsidRPr="00572EBD">
        <w:rPr>
          <w:b/>
          <w:lang w:eastAsia="ko-KR"/>
        </w:rPr>
        <w:t>Figure 4</w:t>
      </w:r>
    </w:p>
    <w:p w14:paraId="0BDEF1BB" w14:textId="6498AD32" w:rsidR="00CC56F7" w:rsidRPr="00A3786A" w:rsidRDefault="00D1687B" w:rsidP="00A3786A">
      <w:pPr>
        <w:pStyle w:val="Style1"/>
      </w:pPr>
      <w:r>
        <w:t>D</w:t>
      </w:r>
      <w:r w:rsidR="00A3786A" w:rsidRPr="00A3786A">
        <w:t xml:space="preserve">esign </w:t>
      </w:r>
      <w:r>
        <w:t>Alt#2 is to use c</w:t>
      </w:r>
      <w:r w:rsidR="00A3786A">
        <w:t>omb structure for two antenna ports, as shown in Figure 5.</w:t>
      </w:r>
      <w:r w:rsidR="009538F2">
        <w:t xml:space="preserve"> On each DMRS symbols {2, 5, 8, 11}, the DMRS sequence defined in Rel-14 is mapped. To support two antenna ports, all the even-numbered REs are mapped to antenna port 0 and all the odd-numbered REs are mapped to antenna port 1.</w:t>
      </w:r>
    </w:p>
    <w:p w14:paraId="68E654F7" w14:textId="77DF53B0" w:rsidR="00572EBD" w:rsidRDefault="00572EBD" w:rsidP="00572EBD">
      <w:pPr>
        <w:pStyle w:val="Style1"/>
        <w:jc w:val="center"/>
        <w:rPr>
          <w:b/>
          <w:lang w:eastAsia="ko-KR"/>
        </w:rPr>
      </w:pPr>
      <w:r w:rsidRPr="00572EBD">
        <w:rPr>
          <w:b/>
          <w:noProof/>
          <w:lang w:val="en-US" w:eastAsia="zh-CN"/>
        </w:rPr>
        <w:drawing>
          <wp:inline distT="0" distB="0" distL="0" distR="0" wp14:anchorId="4D9A8544" wp14:editId="2F7134B6">
            <wp:extent cx="3657600" cy="1406541"/>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3657600" cy="1406541"/>
                    </a:xfrm>
                    <a:prstGeom prst="rect">
                      <a:avLst/>
                    </a:prstGeom>
                  </pic:spPr>
                </pic:pic>
              </a:graphicData>
            </a:graphic>
          </wp:inline>
        </w:drawing>
      </w:r>
    </w:p>
    <w:p w14:paraId="37543D97" w14:textId="6BDB21DB" w:rsidR="00572EBD" w:rsidRDefault="00572EBD" w:rsidP="00572EBD">
      <w:pPr>
        <w:pStyle w:val="Style1"/>
        <w:jc w:val="center"/>
        <w:rPr>
          <w:b/>
          <w:lang w:eastAsia="ko-KR"/>
        </w:rPr>
      </w:pPr>
      <w:r>
        <w:rPr>
          <w:b/>
          <w:lang w:eastAsia="ko-KR"/>
        </w:rPr>
        <w:t>Figure 5</w:t>
      </w:r>
    </w:p>
    <w:p w14:paraId="02EC55EC" w14:textId="515F05C6" w:rsidR="00CC56F7" w:rsidRPr="001C21DE" w:rsidRDefault="00D1687B" w:rsidP="001C21DE">
      <w:pPr>
        <w:pStyle w:val="Style1"/>
      </w:pPr>
      <w:r>
        <w:t>D</w:t>
      </w:r>
      <w:r w:rsidR="001C21DE">
        <w:t xml:space="preserve">esign </w:t>
      </w:r>
      <w:r>
        <w:t xml:space="preserve">Alt#3 </w:t>
      </w:r>
      <w:r w:rsidR="001C21DE">
        <w:t>is to use different DMRS symbols for different antenna ports, as shown in Figure 6. On each DMRS symbols {2, 5, 8, 11}, the DMRS sequence defined in Rel14 is mapped. The DMRS symbols {2, 8} are transmitted from antenna port 0 and the DMRS symbols {5, 11} are transmitted from antenna port 1.</w:t>
      </w:r>
    </w:p>
    <w:p w14:paraId="48C7584E" w14:textId="7FB7C63E" w:rsidR="00572EBD" w:rsidRDefault="00572EBD" w:rsidP="00572EBD">
      <w:pPr>
        <w:pStyle w:val="Style1"/>
        <w:jc w:val="center"/>
        <w:rPr>
          <w:b/>
          <w:lang w:eastAsia="ko-KR"/>
        </w:rPr>
      </w:pPr>
      <w:r w:rsidRPr="00572EBD">
        <w:rPr>
          <w:b/>
          <w:noProof/>
          <w:lang w:val="en-US" w:eastAsia="zh-CN"/>
        </w:rPr>
        <w:drawing>
          <wp:inline distT="0" distB="0" distL="0" distR="0" wp14:anchorId="483D29AA" wp14:editId="080FD472">
            <wp:extent cx="3657600" cy="1376400"/>
            <wp:effectExtent l="0" t="0" r="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3657600" cy="1376400"/>
                    </a:xfrm>
                    <a:prstGeom prst="rect">
                      <a:avLst/>
                    </a:prstGeom>
                  </pic:spPr>
                </pic:pic>
              </a:graphicData>
            </a:graphic>
          </wp:inline>
        </w:drawing>
      </w:r>
    </w:p>
    <w:p w14:paraId="50AEC877" w14:textId="2CA1361B" w:rsidR="00572EBD" w:rsidRDefault="00572EBD" w:rsidP="00572EBD">
      <w:pPr>
        <w:pStyle w:val="Style1"/>
        <w:jc w:val="center"/>
        <w:rPr>
          <w:b/>
          <w:lang w:eastAsia="ko-KR"/>
        </w:rPr>
      </w:pPr>
      <w:r>
        <w:rPr>
          <w:b/>
          <w:lang w:eastAsia="ko-KR"/>
        </w:rPr>
        <w:t>Figure 6</w:t>
      </w:r>
    </w:p>
    <w:p w14:paraId="2BA74D83" w14:textId="2AD14DE6" w:rsidR="00900035" w:rsidRPr="00E53604" w:rsidRDefault="00900035" w:rsidP="00900035">
      <w:pPr>
        <w:pStyle w:val="maintext"/>
        <w:ind w:firstLineChars="0" w:firstLine="0"/>
        <w:rPr>
          <w:i/>
        </w:rPr>
      </w:pPr>
      <w:r w:rsidRPr="00E53604">
        <w:rPr>
          <w:b/>
          <w:i/>
          <w:u w:val="single"/>
        </w:rPr>
        <w:t>Proposal</w:t>
      </w:r>
      <w:r w:rsidRPr="00E53604">
        <w:rPr>
          <w:rFonts w:hint="eastAsia"/>
          <w:b/>
          <w:i/>
          <w:u w:val="single"/>
        </w:rPr>
        <w:t xml:space="preserve"> </w:t>
      </w:r>
      <w:r w:rsidRPr="00E53604">
        <w:rPr>
          <w:b/>
          <w:i/>
          <w:u w:val="single"/>
        </w:rPr>
        <w:t>3</w:t>
      </w:r>
      <w:r w:rsidRPr="00E53604">
        <w:rPr>
          <w:i/>
        </w:rPr>
        <w:t xml:space="preserve">: </w:t>
      </w:r>
      <w:r w:rsidR="00E51BCE" w:rsidRPr="00E53604">
        <w:rPr>
          <w:i/>
        </w:rPr>
        <w:t xml:space="preserve">V2X phase 2 should consider </w:t>
      </w:r>
      <w:r w:rsidR="00E51BCE">
        <w:rPr>
          <w:i/>
        </w:rPr>
        <w:t>to support</w:t>
      </w:r>
      <w:r w:rsidR="00E51BCE" w:rsidRPr="00E53604">
        <w:rPr>
          <w:i/>
        </w:rPr>
        <w:t xml:space="preserve"> 2-antenna port DMRS</w:t>
      </w:r>
      <w:r w:rsidR="00E51BCE">
        <w:rPr>
          <w:i/>
        </w:rPr>
        <w:t xml:space="preserve"> design for PSSCH to support transmit diversity</w:t>
      </w:r>
      <w:r w:rsidRPr="00E53604">
        <w:rPr>
          <w:i/>
        </w:rPr>
        <w:t>.</w:t>
      </w:r>
    </w:p>
    <w:p w14:paraId="25B88AF4" w14:textId="77777777" w:rsidR="00A54FCB" w:rsidRDefault="00A54FCB" w:rsidP="00A54FCB">
      <w:pPr>
        <w:pStyle w:val="Heading1"/>
        <w:tabs>
          <w:tab w:val="num" w:pos="0"/>
        </w:tabs>
        <w:ind w:left="799" w:hanging="799"/>
      </w:pPr>
      <w:r>
        <w:rPr>
          <w:rFonts w:hint="eastAsia"/>
        </w:rPr>
        <w:lastRenderedPageBreak/>
        <w:t>Conclusions</w:t>
      </w:r>
    </w:p>
    <w:p w14:paraId="56EF469E" w14:textId="04A9623F" w:rsidR="00C91FBC" w:rsidRDefault="00C91FBC" w:rsidP="00C91FBC">
      <w:pPr>
        <w:pStyle w:val="Style1"/>
      </w:pPr>
      <w:r w:rsidRPr="00C91FBC">
        <w:t xml:space="preserve">In this contribution, we presented our views on the </w:t>
      </w:r>
      <w:r w:rsidR="005D0C3F">
        <w:t>transmission schemes</w:t>
      </w:r>
      <w:r w:rsidR="0081344F">
        <w:t xml:space="preserve"> and DMRS design</w:t>
      </w:r>
      <w:r w:rsidR="005D0C3F">
        <w:t xml:space="preserve"> for PSSCH channel and the following proposals are made</w:t>
      </w:r>
      <w:r w:rsidRPr="00C91FBC">
        <w:t>:</w:t>
      </w:r>
    </w:p>
    <w:p w14:paraId="0252AF2D" w14:textId="77777777" w:rsidR="00900035" w:rsidRPr="00E53604" w:rsidRDefault="00900035" w:rsidP="00900035">
      <w:pPr>
        <w:pStyle w:val="maintext"/>
        <w:ind w:firstLineChars="0" w:firstLine="0"/>
        <w:rPr>
          <w:b/>
          <w:i/>
          <w:u w:val="single"/>
        </w:rPr>
      </w:pPr>
      <w:r w:rsidRPr="00E53604">
        <w:rPr>
          <w:b/>
          <w:i/>
          <w:u w:val="single"/>
        </w:rPr>
        <w:t>Proposal</w:t>
      </w:r>
      <w:r w:rsidRPr="00E53604">
        <w:rPr>
          <w:rFonts w:hint="eastAsia"/>
          <w:b/>
          <w:i/>
          <w:u w:val="single"/>
        </w:rPr>
        <w:t xml:space="preserve"> 1</w:t>
      </w:r>
      <w:r w:rsidRPr="00E53604">
        <w:rPr>
          <w:i/>
        </w:rPr>
        <w:t>: V2X phase 2 should consider non-transparent transmit diversity scheme for PSSCH. Maximum number of DMRS antenna ports in PSSCH is 2.</w:t>
      </w:r>
    </w:p>
    <w:p w14:paraId="1A520BB6" w14:textId="77777777" w:rsidR="00900035" w:rsidRPr="00E53604" w:rsidRDefault="00900035" w:rsidP="00900035">
      <w:pPr>
        <w:pStyle w:val="maintext"/>
        <w:ind w:firstLineChars="0" w:firstLine="0"/>
        <w:rPr>
          <w:i/>
        </w:rPr>
      </w:pPr>
      <w:r w:rsidRPr="00E53604">
        <w:rPr>
          <w:b/>
          <w:i/>
          <w:u w:val="single"/>
        </w:rPr>
        <w:t>Proposal</w:t>
      </w:r>
      <w:r w:rsidRPr="00E53604">
        <w:rPr>
          <w:rFonts w:hint="eastAsia"/>
          <w:b/>
          <w:i/>
          <w:u w:val="single"/>
        </w:rPr>
        <w:t xml:space="preserve"> </w:t>
      </w:r>
      <w:r w:rsidRPr="00E53604">
        <w:rPr>
          <w:b/>
          <w:i/>
          <w:u w:val="single"/>
        </w:rPr>
        <w:t>2</w:t>
      </w:r>
      <w:r w:rsidRPr="00E53604">
        <w:rPr>
          <w:i/>
        </w:rPr>
        <w:t>: V2X phase 2 should consider the following transmit diversity schemes for PSSCH:</w:t>
      </w:r>
    </w:p>
    <w:p w14:paraId="59E0A89D" w14:textId="77777777" w:rsidR="00900035" w:rsidRPr="006E44F9" w:rsidRDefault="00900035" w:rsidP="00900035">
      <w:pPr>
        <w:pStyle w:val="maintext"/>
        <w:numPr>
          <w:ilvl w:val="0"/>
          <w:numId w:val="34"/>
        </w:numPr>
        <w:ind w:firstLineChars="0"/>
        <w:rPr>
          <w:i/>
        </w:rPr>
      </w:pPr>
      <w:r w:rsidRPr="006E44F9">
        <w:rPr>
          <w:i/>
        </w:rPr>
        <w:t>STBC/SFBC</w:t>
      </w:r>
    </w:p>
    <w:p w14:paraId="1AB16D39" w14:textId="67D88D54" w:rsidR="00900035" w:rsidRPr="00D223D2" w:rsidRDefault="00D223D2" w:rsidP="0007237C">
      <w:pPr>
        <w:pStyle w:val="maintext"/>
        <w:numPr>
          <w:ilvl w:val="0"/>
          <w:numId w:val="34"/>
        </w:numPr>
        <w:ind w:firstLineChars="0"/>
        <w:rPr>
          <w:i/>
        </w:rPr>
      </w:pPr>
      <w:r w:rsidRPr="00D223D2">
        <w:rPr>
          <w:i/>
        </w:rPr>
        <w:t xml:space="preserve">The combination of </w:t>
      </w:r>
      <w:r w:rsidRPr="00D223D2">
        <w:rPr>
          <w:rFonts w:eastAsia="SimSun"/>
          <w:i/>
          <w:lang w:eastAsia="zh-CN"/>
        </w:rPr>
        <w:t>slot-level</w:t>
      </w:r>
      <w:r w:rsidRPr="00D223D2">
        <w:rPr>
          <w:rFonts w:eastAsia="SimSun" w:hint="eastAsia"/>
          <w:i/>
          <w:lang w:eastAsia="zh-CN"/>
        </w:rPr>
        <w:t xml:space="preserve"> </w:t>
      </w:r>
      <w:r w:rsidRPr="00D223D2">
        <w:rPr>
          <w:i/>
        </w:rPr>
        <w:t xml:space="preserve">PVS and STBC/SFBC </w:t>
      </w:r>
      <w:r w:rsidR="00900035" w:rsidRPr="00D223D2">
        <w:rPr>
          <w:i/>
        </w:rPr>
        <w:t xml:space="preserve"> </w:t>
      </w:r>
    </w:p>
    <w:p w14:paraId="0D5CF637" w14:textId="2EE58043" w:rsidR="00900035" w:rsidRPr="00E53604" w:rsidRDefault="00900035" w:rsidP="00900035">
      <w:pPr>
        <w:pStyle w:val="maintext"/>
        <w:ind w:firstLineChars="0" w:firstLine="0"/>
        <w:rPr>
          <w:i/>
        </w:rPr>
      </w:pPr>
      <w:r w:rsidRPr="00E53604">
        <w:rPr>
          <w:b/>
          <w:i/>
          <w:u w:val="single"/>
        </w:rPr>
        <w:t>Proposal</w:t>
      </w:r>
      <w:r w:rsidRPr="00E53604">
        <w:rPr>
          <w:rFonts w:hint="eastAsia"/>
          <w:b/>
          <w:i/>
          <w:u w:val="single"/>
        </w:rPr>
        <w:t xml:space="preserve"> </w:t>
      </w:r>
      <w:r w:rsidRPr="00E53604">
        <w:rPr>
          <w:b/>
          <w:i/>
          <w:u w:val="single"/>
        </w:rPr>
        <w:t>3</w:t>
      </w:r>
      <w:r w:rsidRPr="00E53604">
        <w:rPr>
          <w:i/>
        </w:rPr>
        <w:t xml:space="preserve">: V2X phase 2 should consider </w:t>
      </w:r>
      <w:r w:rsidR="00E51BCE">
        <w:rPr>
          <w:i/>
        </w:rPr>
        <w:t>to support</w:t>
      </w:r>
      <w:r w:rsidRPr="00E53604">
        <w:rPr>
          <w:i/>
        </w:rPr>
        <w:t xml:space="preserve"> 2-antenna port DMRS</w:t>
      </w:r>
      <w:r w:rsidR="00E51BCE">
        <w:rPr>
          <w:i/>
        </w:rPr>
        <w:t xml:space="preserve"> design for PSSCH to support transmit diversity</w:t>
      </w:r>
      <w:r w:rsidRPr="00E53604">
        <w:rPr>
          <w:i/>
        </w:rPr>
        <w:t>.</w:t>
      </w:r>
    </w:p>
    <w:p w14:paraId="2EACFB19" w14:textId="77777777" w:rsidR="00900035" w:rsidRPr="00900035" w:rsidRDefault="00900035" w:rsidP="00900035">
      <w:pPr>
        <w:pStyle w:val="Style1"/>
        <w:ind w:firstLine="0"/>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AE4772F" w14:textId="64A6E666" w:rsidR="00A54FCB" w:rsidRDefault="00A54FCB" w:rsidP="00A54FCB">
      <w:pPr>
        <w:pStyle w:val="LGTdoc"/>
        <w:numPr>
          <w:ilvl w:val="0"/>
          <w:numId w:val="32"/>
        </w:numPr>
        <w:spacing w:before="120" w:afterLines="0" w:after="0" w:line="360" w:lineRule="auto"/>
        <w:rPr>
          <w:rFonts w:eastAsia="SimSun"/>
          <w:color w:val="000000"/>
          <w:kern w:val="24"/>
          <w:sz w:val="20"/>
          <w:szCs w:val="20"/>
          <w:lang w:val="en-US" w:eastAsia="zh-CN"/>
        </w:rPr>
      </w:pPr>
      <w:r>
        <w:rPr>
          <w:rFonts w:eastAsia="SimSun" w:hint="eastAsia"/>
          <w:color w:val="000000"/>
          <w:kern w:val="24"/>
          <w:sz w:val="20"/>
          <w:szCs w:val="20"/>
          <w:lang w:val="en-US" w:eastAsia="zh-CN"/>
        </w:rPr>
        <w:t xml:space="preserve">RP-170798, </w:t>
      </w:r>
      <w:r>
        <w:rPr>
          <w:rFonts w:eastAsia="SimSun"/>
          <w:color w:val="000000"/>
          <w:kern w:val="24"/>
          <w:sz w:val="20"/>
          <w:szCs w:val="20"/>
          <w:lang w:val="en-US" w:eastAsia="zh-CN"/>
        </w:rPr>
        <w:t>“</w:t>
      </w:r>
      <w:r>
        <w:rPr>
          <w:rFonts w:eastAsia="SimSun" w:hint="eastAsia"/>
          <w:color w:val="000000"/>
          <w:kern w:val="24"/>
          <w:sz w:val="20"/>
          <w:szCs w:val="20"/>
          <w:lang w:val="en-US" w:eastAsia="zh-CN"/>
        </w:rPr>
        <w:t>New WID on 3GPP V2X Phase 2</w:t>
      </w:r>
      <w:r>
        <w:rPr>
          <w:rFonts w:eastAsia="SimSun"/>
          <w:color w:val="000000"/>
          <w:kern w:val="24"/>
          <w:sz w:val="20"/>
          <w:szCs w:val="20"/>
          <w:lang w:val="en-US" w:eastAsia="zh-CN"/>
        </w:rPr>
        <w:t>”</w:t>
      </w:r>
      <w:r>
        <w:rPr>
          <w:rFonts w:eastAsia="SimSun" w:hint="eastAsia"/>
          <w:color w:val="000000"/>
          <w:kern w:val="24"/>
          <w:sz w:val="20"/>
          <w:szCs w:val="20"/>
          <w:lang w:val="en-US" w:eastAsia="zh-CN"/>
        </w:rPr>
        <w:t xml:space="preserve">, </w:t>
      </w:r>
      <w:r w:rsidRPr="004C694B">
        <w:rPr>
          <w:rFonts w:eastAsia="SimSun" w:hint="eastAsia"/>
          <w:color w:val="000000"/>
          <w:kern w:val="24"/>
          <w:sz w:val="20"/>
          <w:szCs w:val="20"/>
          <w:lang w:val="fi-FI" w:eastAsia="zh-CN"/>
        </w:rPr>
        <w:t>Huawei</w:t>
      </w:r>
      <w:r w:rsidRPr="004C694B">
        <w:rPr>
          <w:rFonts w:eastAsia="SimSun"/>
          <w:color w:val="000000"/>
          <w:kern w:val="24"/>
          <w:sz w:val="20"/>
          <w:szCs w:val="20"/>
          <w:lang w:val="fi-FI" w:eastAsia="zh-CN"/>
        </w:rPr>
        <w:t>,</w:t>
      </w:r>
      <w:r w:rsidRPr="004C694B">
        <w:rPr>
          <w:rFonts w:eastAsia="SimSun" w:hint="eastAsia"/>
          <w:color w:val="000000"/>
          <w:kern w:val="24"/>
          <w:sz w:val="20"/>
          <w:szCs w:val="20"/>
          <w:lang w:val="fi-FI" w:eastAsia="zh-CN"/>
        </w:rPr>
        <w:t xml:space="preserve"> CATT, </w:t>
      </w:r>
      <w:r w:rsidRPr="004C694B">
        <w:rPr>
          <w:rFonts w:eastAsia="SimSun"/>
          <w:color w:val="000000"/>
          <w:kern w:val="24"/>
          <w:sz w:val="20"/>
          <w:szCs w:val="20"/>
          <w:lang w:val="fi-FI" w:eastAsia="zh-CN"/>
        </w:rPr>
        <w:t>LG Electronics</w:t>
      </w:r>
      <w:r w:rsidRPr="004C694B">
        <w:rPr>
          <w:rFonts w:eastAsia="SimSun" w:hint="eastAsia"/>
          <w:color w:val="000000"/>
          <w:kern w:val="24"/>
          <w:sz w:val="20"/>
          <w:szCs w:val="20"/>
          <w:lang w:val="fi-FI" w:eastAsia="zh-CN"/>
        </w:rPr>
        <w:t xml:space="preserve">, HiSilicon, </w:t>
      </w:r>
      <w:r w:rsidRPr="004C694B">
        <w:rPr>
          <w:rFonts w:eastAsia="SimSun"/>
          <w:color w:val="000000"/>
          <w:kern w:val="24"/>
          <w:sz w:val="20"/>
          <w:szCs w:val="20"/>
          <w:lang w:val="fi-FI" w:eastAsia="zh-CN"/>
        </w:rPr>
        <w:t>China Unicom</w:t>
      </w:r>
      <w:r>
        <w:rPr>
          <w:rFonts w:eastAsia="SimSun" w:hint="eastAsia"/>
          <w:color w:val="000000"/>
          <w:kern w:val="24"/>
          <w:sz w:val="20"/>
          <w:szCs w:val="20"/>
          <w:lang w:val="en-US" w:eastAsia="zh-CN"/>
        </w:rPr>
        <w:t>;</w:t>
      </w:r>
    </w:p>
    <w:p w14:paraId="1A90E001" w14:textId="3482F9E1" w:rsidR="00AC414E" w:rsidRPr="00A54FCB" w:rsidRDefault="00AC414E" w:rsidP="005D5BE7">
      <w:pPr>
        <w:pStyle w:val="ListParagraph"/>
        <w:spacing w:after="0" w:line="360" w:lineRule="auto"/>
        <w:ind w:leftChars="0" w:left="720"/>
        <w:jc w:val="both"/>
        <w:rPr>
          <w:lang w:val="en-US" w:eastAsia="ko-KR"/>
        </w:rPr>
      </w:pPr>
    </w:p>
    <w:sectPr w:rsidR="00AC414E" w:rsidRPr="00A54FCB"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839D3" w14:textId="77777777" w:rsidR="00F854EA" w:rsidRDefault="00F854EA">
      <w:r>
        <w:separator/>
      </w:r>
    </w:p>
  </w:endnote>
  <w:endnote w:type="continuationSeparator" w:id="0">
    <w:p w14:paraId="267FFCFC" w14:textId="77777777" w:rsidR="00F854EA" w:rsidRDefault="00F85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CB4A8" w14:textId="77777777" w:rsidR="00F854EA" w:rsidRDefault="00F854EA">
      <w:r>
        <w:separator/>
      </w:r>
    </w:p>
  </w:footnote>
  <w:footnote w:type="continuationSeparator" w:id="0">
    <w:p w14:paraId="394935F2" w14:textId="77777777" w:rsidR="00F854EA" w:rsidRDefault="00F854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1A16"/>
    <w:multiLevelType w:val="hybridMultilevel"/>
    <w:tmpl w:val="D7F0B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6"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2D757EB"/>
    <w:multiLevelType w:val="hybridMultilevel"/>
    <w:tmpl w:val="037E5EB8"/>
    <w:lvl w:ilvl="0" w:tplc="53FA0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1905F0"/>
    <w:multiLevelType w:val="hybridMultilevel"/>
    <w:tmpl w:val="E7AEC316"/>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D40B0"/>
    <w:multiLevelType w:val="hybridMultilevel"/>
    <w:tmpl w:val="C0D64BE2"/>
    <w:lvl w:ilvl="0" w:tplc="33E2D9CA">
      <w:start w:val="2"/>
      <w:numFmt w:val="decimal"/>
      <w:lvlText w:val="%1."/>
      <w:lvlJc w:val="left"/>
      <w:pPr>
        <w:ind w:left="420" w:hanging="420"/>
      </w:pPr>
      <w:rPr>
        <w:rFonts w:hint="eastAsia"/>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EBD687E"/>
    <w:multiLevelType w:val="hybridMultilevel"/>
    <w:tmpl w:val="CB3A2B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22"/>
  </w:num>
  <w:num w:numId="4">
    <w:abstractNumId w:val="32"/>
  </w:num>
  <w:num w:numId="5">
    <w:abstractNumId w:val="4"/>
  </w:num>
  <w:num w:numId="6">
    <w:abstractNumId w:val="24"/>
  </w:num>
  <w:num w:numId="7">
    <w:abstractNumId w:val="19"/>
  </w:num>
  <w:num w:numId="8">
    <w:abstractNumId w:val="29"/>
  </w:num>
  <w:num w:numId="9">
    <w:abstractNumId w:val="28"/>
  </w:num>
  <w:num w:numId="10">
    <w:abstractNumId w:val="11"/>
  </w:num>
  <w:num w:numId="11">
    <w:abstractNumId w:val="16"/>
  </w:num>
  <w:num w:numId="12">
    <w:abstractNumId w:val="25"/>
  </w:num>
  <w:num w:numId="13">
    <w:abstractNumId w:val="10"/>
  </w:num>
  <w:num w:numId="14">
    <w:abstractNumId w:val="1"/>
  </w:num>
  <w:num w:numId="15">
    <w:abstractNumId w:val="23"/>
  </w:num>
  <w:num w:numId="16">
    <w:abstractNumId w:val="20"/>
  </w:num>
  <w:num w:numId="17">
    <w:abstractNumId w:val="9"/>
  </w:num>
  <w:num w:numId="18">
    <w:abstractNumId w:val="31"/>
  </w:num>
  <w:num w:numId="19">
    <w:abstractNumId w:val="5"/>
  </w:num>
  <w:num w:numId="20">
    <w:abstractNumId w:val="18"/>
  </w:num>
  <w:num w:numId="21">
    <w:abstractNumId w:val="8"/>
  </w:num>
  <w:num w:numId="22">
    <w:abstractNumId w:val="6"/>
  </w:num>
  <w:num w:numId="23">
    <w:abstractNumId w:val="0"/>
  </w:num>
  <w:num w:numId="24">
    <w:abstractNumId w:val="13"/>
  </w:num>
  <w:num w:numId="25">
    <w:abstractNumId w:val="34"/>
  </w:num>
  <w:num w:numId="26">
    <w:abstractNumId w:val="12"/>
  </w:num>
  <w:num w:numId="27">
    <w:abstractNumId w:val="2"/>
  </w:num>
  <w:num w:numId="28">
    <w:abstractNumId w:val="14"/>
  </w:num>
  <w:num w:numId="29">
    <w:abstractNumId w:val="17"/>
  </w:num>
  <w:num w:numId="30">
    <w:abstractNumId w:val="27"/>
  </w:num>
  <w:num w:numId="31">
    <w:abstractNumId w:val="30"/>
  </w:num>
  <w:num w:numId="32">
    <w:abstractNumId w:val="26"/>
  </w:num>
  <w:num w:numId="33">
    <w:abstractNumId w:val="21"/>
  </w:num>
  <w:num w:numId="34">
    <w:abstractNumId w:val="3"/>
  </w:num>
  <w:num w:numId="35">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4AC"/>
    <w:rsid w:val="00030408"/>
    <w:rsid w:val="00030EA8"/>
    <w:rsid w:val="00031F02"/>
    <w:rsid w:val="00032854"/>
    <w:rsid w:val="0003291E"/>
    <w:rsid w:val="00033DCD"/>
    <w:rsid w:val="0003419B"/>
    <w:rsid w:val="000375ED"/>
    <w:rsid w:val="0004052B"/>
    <w:rsid w:val="0004152C"/>
    <w:rsid w:val="00042074"/>
    <w:rsid w:val="00044652"/>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3A52"/>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1D8"/>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21DE"/>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21DE"/>
    <w:rsid w:val="001C3694"/>
    <w:rsid w:val="001C46E4"/>
    <w:rsid w:val="001C4BF0"/>
    <w:rsid w:val="001C64AB"/>
    <w:rsid w:val="001C6890"/>
    <w:rsid w:val="001C76C5"/>
    <w:rsid w:val="001C7CCA"/>
    <w:rsid w:val="001D04EE"/>
    <w:rsid w:val="001D07C2"/>
    <w:rsid w:val="001D0D60"/>
    <w:rsid w:val="001D0FD7"/>
    <w:rsid w:val="001D1371"/>
    <w:rsid w:val="001D1B10"/>
    <w:rsid w:val="001D2861"/>
    <w:rsid w:val="001D4091"/>
    <w:rsid w:val="001D49D1"/>
    <w:rsid w:val="001D4F6C"/>
    <w:rsid w:val="001D524E"/>
    <w:rsid w:val="001D61B8"/>
    <w:rsid w:val="001D6955"/>
    <w:rsid w:val="001E01A3"/>
    <w:rsid w:val="001E04F0"/>
    <w:rsid w:val="001E083E"/>
    <w:rsid w:val="001E2551"/>
    <w:rsid w:val="001E52BF"/>
    <w:rsid w:val="001E5384"/>
    <w:rsid w:val="001E5959"/>
    <w:rsid w:val="001E6796"/>
    <w:rsid w:val="001F1669"/>
    <w:rsid w:val="001F2638"/>
    <w:rsid w:val="001F3815"/>
    <w:rsid w:val="001F3BD8"/>
    <w:rsid w:val="001F4519"/>
    <w:rsid w:val="001F5199"/>
    <w:rsid w:val="001F5314"/>
    <w:rsid w:val="001F6F91"/>
    <w:rsid w:val="001F74D5"/>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17BA3"/>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48D3"/>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A73"/>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26EE"/>
    <w:rsid w:val="002C46A5"/>
    <w:rsid w:val="002D1A4F"/>
    <w:rsid w:val="002D225B"/>
    <w:rsid w:val="002D233C"/>
    <w:rsid w:val="002D2EF7"/>
    <w:rsid w:val="002D488B"/>
    <w:rsid w:val="002D4BA4"/>
    <w:rsid w:val="002D53AF"/>
    <w:rsid w:val="002D5B2B"/>
    <w:rsid w:val="002D6FEE"/>
    <w:rsid w:val="002E11B9"/>
    <w:rsid w:val="002E2CB4"/>
    <w:rsid w:val="002E315D"/>
    <w:rsid w:val="002E333E"/>
    <w:rsid w:val="002E3CF3"/>
    <w:rsid w:val="002E51B4"/>
    <w:rsid w:val="002E5EC2"/>
    <w:rsid w:val="002E60AB"/>
    <w:rsid w:val="002F00C5"/>
    <w:rsid w:val="002F28D8"/>
    <w:rsid w:val="002F2D1F"/>
    <w:rsid w:val="002F47AD"/>
    <w:rsid w:val="002F5790"/>
    <w:rsid w:val="002F6FEC"/>
    <w:rsid w:val="002F7D60"/>
    <w:rsid w:val="003006CA"/>
    <w:rsid w:val="0030269C"/>
    <w:rsid w:val="0030336D"/>
    <w:rsid w:val="003035CF"/>
    <w:rsid w:val="00303FBB"/>
    <w:rsid w:val="003052A7"/>
    <w:rsid w:val="00305485"/>
    <w:rsid w:val="00305D56"/>
    <w:rsid w:val="003065FD"/>
    <w:rsid w:val="0031062D"/>
    <w:rsid w:val="00310B3E"/>
    <w:rsid w:val="003114E5"/>
    <w:rsid w:val="003127F2"/>
    <w:rsid w:val="00313316"/>
    <w:rsid w:val="00313945"/>
    <w:rsid w:val="00313DC6"/>
    <w:rsid w:val="00314E2F"/>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1904"/>
    <w:rsid w:val="003324E2"/>
    <w:rsid w:val="0033294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685E"/>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25D"/>
    <w:rsid w:val="00392B69"/>
    <w:rsid w:val="00392E06"/>
    <w:rsid w:val="00393923"/>
    <w:rsid w:val="00393D72"/>
    <w:rsid w:val="0039435D"/>
    <w:rsid w:val="0039448A"/>
    <w:rsid w:val="003947B1"/>
    <w:rsid w:val="00394CB0"/>
    <w:rsid w:val="0039593B"/>
    <w:rsid w:val="00395E02"/>
    <w:rsid w:val="00396217"/>
    <w:rsid w:val="00396E19"/>
    <w:rsid w:val="003A048E"/>
    <w:rsid w:val="003A0EFA"/>
    <w:rsid w:val="003A26A9"/>
    <w:rsid w:val="003A4806"/>
    <w:rsid w:val="003A5945"/>
    <w:rsid w:val="003A633C"/>
    <w:rsid w:val="003A69C3"/>
    <w:rsid w:val="003A730C"/>
    <w:rsid w:val="003B0AC6"/>
    <w:rsid w:val="003B33FB"/>
    <w:rsid w:val="003B3878"/>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07AAC"/>
    <w:rsid w:val="004107E6"/>
    <w:rsid w:val="00420853"/>
    <w:rsid w:val="00421E04"/>
    <w:rsid w:val="004239D8"/>
    <w:rsid w:val="004240D5"/>
    <w:rsid w:val="00424A72"/>
    <w:rsid w:val="00424A97"/>
    <w:rsid w:val="00424D6E"/>
    <w:rsid w:val="004254DF"/>
    <w:rsid w:val="004254EE"/>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00CE"/>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666B"/>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6BF"/>
    <w:rsid w:val="004B37FF"/>
    <w:rsid w:val="004B38E1"/>
    <w:rsid w:val="004B3FBF"/>
    <w:rsid w:val="004B461B"/>
    <w:rsid w:val="004B4C96"/>
    <w:rsid w:val="004B6B76"/>
    <w:rsid w:val="004C1AC1"/>
    <w:rsid w:val="004C2115"/>
    <w:rsid w:val="004C3B1D"/>
    <w:rsid w:val="004C4315"/>
    <w:rsid w:val="004C48A5"/>
    <w:rsid w:val="004C5D06"/>
    <w:rsid w:val="004C657C"/>
    <w:rsid w:val="004C6B44"/>
    <w:rsid w:val="004C74B8"/>
    <w:rsid w:val="004D026D"/>
    <w:rsid w:val="004D0A0D"/>
    <w:rsid w:val="004D108A"/>
    <w:rsid w:val="004D159C"/>
    <w:rsid w:val="004D1C2E"/>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2F23"/>
    <w:rsid w:val="00503979"/>
    <w:rsid w:val="00503993"/>
    <w:rsid w:val="00503F9D"/>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348B"/>
    <w:rsid w:val="005239F4"/>
    <w:rsid w:val="00526A64"/>
    <w:rsid w:val="00526A65"/>
    <w:rsid w:val="00526BC4"/>
    <w:rsid w:val="00526FD1"/>
    <w:rsid w:val="00527339"/>
    <w:rsid w:val="00527FA8"/>
    <w:rsid w:val="005301A2"/>
    <w:rsid w:val="0053211B"/>
    <w:rsid w:val="00533D37"/>
    <w:rsid w:val="00534DF6"/>
    <w:rsid w:val="00535E8C"/>
    <w:rsid w:val="00535EE7"/>
    <w:rsid w:val="00536EC3"/>
    <w:rsid w:val="00537F42"/>
    <w:rsid w:val="00540BAC"/>
    <w:rsid w:val="00541207"/>
    <w:rsid w:val="005434F9"/>
    <w:rsid w:val="0054367D"/>
    <w:rsid w:val="005436CD"/>
    <w:rsid w:val="00544D62"/>
    <w:rsid w:val="0055167A"/>
    <w:rsid w:val="00553AF5"/>
    <w:rsid w:val="00555F2F"/>
    <w:rsid w:val="00561E3D"/>
    <w:rsid w:val="00567B39"/>
    <w:rsid w:val="00572EBD"/>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133"/>
    <w:rsid w:val="005A73AC"/>
    <w:rsid w:val="005B0F8C"/>
    <w:rsid w:val="005B2ADD"/>
    <w:rsid w:val="005B2AE8"/>
    <w:rsid w:val="005B334E"/>
    <w:rsid w:val="005B33D7"/>
    <w:rsid w:val="005B3F28"/>
    <w:rsid w:val="005B4E77"/>
    <w:rsid w:val="005B5832"/>
    <w:rsid w:val="005B5915"/>
    <w:rsid w:val="005B5C71"/>
    <w:rsid w:val="005B7E9A"/>
    <w:rsid w:val="005C105E"/>
    <w:rsid w:val="005C1174"/>
    <w:rsid w:val="005C1FE0"/>
    <w:rsid w:val="005C2E5B"/>
    <w:rsid w:val="005C3014"/>
    <w:rsid w:val="005C38FB"/>
    <w:rsid w:val="005C6F29"/>
    <w:rsid w:val="005C70AD"/>
    <w:rsid w:val="005C7D83"/>
    <w:rsid w:val="005D0C3F"/>
    <w:rsid w:val="005D0C6E"/>
    <w:rsid w:val="005D0EB6"/>
    <w:rsid w:val="005D1475"/>
    <w:rsid w:val="005D2178"/>
    <w:rsid w:val="005D2F66"/>
    <w:rsid w:val="005D307E"/>
    <w:rsid w:val="005D3C4F"/>
    <w:rsid w:val="005D46FD"/>
    <w:rsid w:val="005D545E"/>
    <w:rsid w:val="005D547F"/>
    <w:rsid w:val="005D5BE7"/>
    <w:rsid w:val="005D7473"/>
    <w:rsid w:val="005D7BC7"/>
    <w:rsid w:val="005E2034"/>
    <w:rsid w:val="005E4E53"/>
    <w:rsid w:val="005E52D7"/>
    <w:rsid w:val="005E53DC"/>
    <w:rsid w:val="005E58B6"/>
    <w:rsid w:val="005E6F22"/>
    <w:rsid w:val="005E7289"/>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333"/>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4BC6"/>
    <w:rsid w:val="00695000"/>
    <w:rsid w:val="00696206"/>
    <w:rsid w:val="00696E55"/>
    <w:rsid w:val="00697A04"/>
    <w:rsid w:val="006A0925"/>
    <w:rsid w:val="006A25EB"/>
    <w:rsid w:val="006A2D38"/>
    <w:rsid w:val="006A4C3A"/>
    <w:rsid w:val="006A6FAD"/>
    <w:rsid w:val="006B1826"/>
    <w:rsid w:val="006B2332"/>
    <w:rsid w:val="006B2B5D"/>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C2F"/>
    <w:rsid w:val="006D6D03"/>
    <w:rsid w:val="006D6D52"/>
    <w:rsid w:val="006D6E7F"/>
    <w:rsid w:val="006D6F16"/>
    <w:rsid w:val="006D716D"/>
    <w:rsid w:val="006D75D9"/>
    <w:rsid w:val="006D7619"/>
    <w:rsid w:val="006E0232"/>
    <w:rsid w:val="006E02D0"/>
    <w:rsid w:val="006E1EC6"/>
    <w:rsid w:val="006E270A"/>
    <w:rsid w:val="006E44F9"/>
    <w:rsid w:val="006E5428"/>
    <w:rsid w:val="006E6697"/>
    <w:rsid w:val="006E6A76"/>
    <w:rsid w:val="006F199F"/>
    <w:rsid w:val="006F1D35"/>
    <w:rsid w:val="006F204A"/>
    <w:rsid w:val="006F44E5"/>
    <w:rsid w:val="006F4BD2"/>
    <w:rsid w:val="006F4D44"/>
    <w:rsid w:val="006F4D8E"/>
    <w:rsid w:val="006F6EF9"/>
    <w:rsid w:val="006F79E1"/>
    <w:rsid w:val="006F7BCF"/>
    <w:rsid w:val="007019AB"/>
    <w:rsid w:val="0070274F"/>
    <w:rsid w:val="007040FE"/>
    <w:rsid w:val="00705B9C"/>
    <w:rsid w:val="00706011"/>
    <w:rsid w:val="00707224"/>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2EEB"/>
    <w:rsid w:val="00735463"/>
    <w:rsid w:val="00736A60"/>
    <w:rsid w:val="00737F4D"/>
    <w:rsid w:val="00741392"/>
    <w:rsid w:val="00741A81"/>
    <w:rsid w:val="00741B82"/>
    <w:rsid w:val="00743A42"/>
    <w:rsid w:val="00744138"/>
    <w:rsid w:val="00746D48"/>
    <w:rsid w:val="00750E72"/>
    <w:rsid w:val="00753A41"/>
    <w:rsid w:val="00755AD7"/>
    <w:rsid w:val="00756864"/>
    <w:rsid w:val="00760CE8"/>
    <w:rsid w:val="00761697"/>
    <w:rsid w:val="007625EC"/>
    <w:rsid w:val="007647EE"/>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457C"/>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071"/>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E79"/>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44F"/>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4964"/>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81F"/>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494"/>
    <w:rsid w:val="008835D0"/>
    <w:rsid w:val="00884784"/>
    <w:rsid w:val="00884FE0"/>
    <w:rsid w:val="008876A1"/>
    <w:rsid w:val="00887F00"/>
    <w:rsid w:val="008903AE"/>
    <w:rsid w:val="008910C4"/>
    <w:rsid w:val="00891393"/>
    <w:rsid w:val="00891EC2"/>
    <w:rsid w:val="00892EF8"/>
    <w:rsid w:val="00893197"/>
    <w:rsid w:val="00895684"/>
    <w:rsid w:val="00895A0D"/>
    <w:rsid w:val="00895E5D"/>
    <w:rsid w:val="008A026C"/>
    <w:rsid w:val="008A0FFB"/>
    <w:rsid w:val="008A214E"/>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035"/>
    <w:rsid w:val="0090039D"/>
    <w:rsid w:val="00900726"/>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46EA"/>
    <w:rsid w:val="009447CF"/>
    <w:rsid w:val="00945204"/>
    <w:rsid w:val="00945740"/>
    <w:rsid w:val="00946733"/>
    <w:rsid w:val="00947445"/>
    <w:rsid w:val="009502CE"/>
    <w:rsid w:val="00950716"/>
    <w:rsid w:val="0095220B"/>
    <w:rsid w:val="00952316"/>
    <w:rsid w:val="00952B7C"/>
    <w:rsid w:val="009538F2"/>
    <w:rsid w:val="00954215"/>
    <w:rsid w:val="00954A84"/>
    <w:rsid w:val="009564A8"/>
    <w:rsid w:val="0096225A"/>
    <w:rsid w:val="00963361"/>
    <w:rsid w:val="00964872"/>
    <w:rsid w:val="00967D6D"/>
    <w:rsid w:val="00967E0A"/>
    <w:rsid w:val="00970230"/>
    <w:rsid w:val="00970B2B"/>
    <w:rsid w:val="00971484"/>
    <w:rsid w:val="0097261C"/>
    <w:rsid w:val="00972D70"/>
    <w:rsid w:val="00975CC7"/>
    <w:rsid w:val="00976F41"/>
    <w:rsid w:val="00977476"/>
    <w:rsid w:val="00977E64"/>
    <w:rsid w:val="00980278"/>
    <w:rsid w:val="00980425"/>
    <w:rsid w:val="0098068D"/>
    <w:rsid w:val="009812FF"/>
    <w:rsid w:val="009824CA"/>
    <w:rsid w:val="00982D3D"/>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E1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6EE2"/>
    <w:rsid w:val="009C7129"/>
    <w:rsid w:val="009C7F5A"/>
    <w:rsid w:val="009D0202"/>
    <w:rsid w:val="009D0769"/>
    <w:rsid w:val="009D0E74"/>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136C"/>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68E9"/>
    <w:rsid w:val="00A371FA"/>
    <w:rsid w:val="00A3786A"/>
    <w:rsid w:val="00A37A66"/>
    <w:rsid w:val="00A4034A"/>
    <w:rsid w:val="00A40AD6"/>
    <w:rsid w:val="00A41899"/>
    <w:rsid w:val="00A42DD2"/>
    <w:rsid w:val="00A4626E"/>
    <w:rsid w:val="00A4697B"/>
    <w:rsid w:val="00A471C4"/>
    <w:rsid w:val="00A47A1D"/>
    <w:rsid w:val="00A47A54"/>
    <w:rsid w:val="00A51FC5"/>
    <w:rsid w:val="00A54FCB"/>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71"/>
    <w:rsid w:val="00AA10C3"/>
    <w:rsid w:val="00AA26F6"/>
    <w:rsid w:val="00AA431D"/>
    <w:rsid w:val="00AA5935"/>
    <w:rsid w:val="00AA6847"/>
    <w:rsid w:val="00AA729C"/>
    <w:rsid w:val="00AA7B10"/>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1C0B"/>
    <w:rsid w:val="00AD22E6"/>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2710"/>
    <w:rsid w:val="00B4397A"/>
    <w:rsid w:val="00B44633"/>
    <w:rsid w:val="00B450F1"/>
    <w:rsid w:val="00B45A94"/>
    <w:rsid w:val="00B47F16"/>
    <w:rsid w:val="00B51895"/>
    <w:rsid w:val="00B52B53"/>
    <w:rsid w:val="00B53B8E"/>
    <w:rsid w:val="00B53D62"/>
    <w:rsid w:val="00B606EE"/>
    <w:rsid w:val="00B608DB"/>
    <w:rsid w:val="00B60F97"/>
    <w:rsid w:val="00B60FD5"/>
    <w:rsid w:val="00B61D56"/>
    <w:rsid w:val="00B6315E"/>
    <w:rsid w:val="00B632F1"/>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BB"/>
    <w:rsid w:val="00B836ED"/>
    <w:rsid w:val="00B848C9"/>
    <w:rsid w:val="00B85D36"/>
    <w:rsid w:val="00B93E09"/>
    <w:rsid w:val="00B93EE0"/>
    <w:rsid w:val="00B96BFE"/>
    <w:rsid w:val="00BA0940"/>
    <w:rsid w:val="00BA267A"/>
    <w:rsid w:val="00BA3A0E"/>
    <w:rsid w:val="00BA3D0B"/>
    <w:rsid w:val="00BA46FD"/>
    <w:rsid w:val="00BA5A0C"/>
    <w:rsid w:val="00BA6AD4"/>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4369"/>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20C78"/>
    <w:rsid w:val="00C215D0"/>
    <w:rsid w:val="00C232F1"/>
    <w:rsid w:val="00C23C48"/>
    <w:rsid w:val="00C2617F"/>
    <w:rsid w:val="00C26A7B"/>
    <w:rsid w:val="00C27490"/>
    <w:rsid w:val="00C311DA"/>
    <w:rsid w:val="00C32284"/>
    <w:rsid w:val="00C328DB"/>
    <w:rsid w:val="00C32AC2"/>
    <w:rsid w:val="00C33BE7"/>
    <w:rsid w:val="00C34682"/>
    <w:rsid w:val="00C34AE5"/>
    <w:rsid w:val="00C359D2"/>
    <w:rsid w:val="00C37ED2"/>
    <w:rsid w:val="00C42ED0"/>
    <w:rsid w:val="00C432C3"/>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1FBC"/>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3F07"/>
    <w:rsid w:val="00CC423C"/>
    <w:rsid w:val="00CC4359"/>
    <w:rsid w:val="00CC4D1A"/>
    <w:rsid w:val="00CC56F7"/>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2D"/>
    <w:rsid w:val="00D133AD"/>
    <w:rsid w:val="00D147F5"/>
    <w:rsid w:val="00D14C5D"/>
    <w:rsid w:val="00D154BD"/>
    <w:rsid w:val="00D15929"/>
    <w:rsid w:val="00D15A2A"/>
    <w:rsid w:val="00D16868"/>
    <w:rsid w:val="00D1687B"/>
    <w:rsid w:val="00D21563"/>
    <w:rsid w:val="00D223D2"/>
    <w:rsid w:val="00D2719E"/>
    <w:rsid w:val="00D27B3D"/>
    <w:rsid w:val="00D3051E"/>
    <w:rsid w:val="00D32097"/>
    <w:rsid w:val="00D33009"/>
    <w:rsid w:val="00D33ACD"/>
    <w:rsid w:val="00D348E4"/>
    <w:rsid w:val="00D34C4C"/>
    <w:rsid w:val="00D40DAB"/>
    <w:rsid w:val="00D4171F"/>
    <w:rsid w:val="00D41C47"/>
    <w:rsid w:val="00D43205"/>
    <w:rsid w:val="00D442EB"/>
    <w:rsid w:val="00D45FF2"/>
    <w:rsid w:val="00D51146"/>
    <w:rsid w:val="00D5147E"/>
    <w:rsid w:val="00D51890"/>
    <w:rsid w:val="00D51B09"/>
    <w:rsid w:val="00D52477"/>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972ED"/>
    <w:rsid w:val="00DA19A1"/>
    <w:rsid w:val="00DA40E9"/>
    <w:rsid w:val="00DA711A"/>
    <w:rsid w:val="00DB11AA"/>
    <w:rsid w:val="00DB14D9"/>
    <w:rsid w:val="00DB20BE"/>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589"/>
    <w:rsid w:val="00E237D1"/>
    <w:rsid w:val="00E2410B"/>
    <w:rsid w:val="00E244B4"/>
    <w:rsid w:val="00E2520C"/>
    <w:rsid w:val="00E254F3"/>
    <w:rsid w:val="00E2793E"/>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0AEC"/>
    <w:rsid w:val="00E51BCE"/>
    <w:rsid w:val="00E5332E"/>
    <w:rsid w:val="00E53541"/>
    <w:rsid w:val="00E53604"/>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3808"/>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1F0E"/>
    <w:rsid w:val="00EB25B1"/>
    <w:rsid w:val="00EB2E0D"/>
    <w:rsid w:val="00EB3120"/>
    <w:rsid w:val="00EB43B7"/>
    <w:rsid w:val="00EB45BB"/>
    <w:rsid w:val="00EB512D"/>
    <w:rsid w:val="00EB7E2D"/>
    <w:rsid w:val="00EC03BE"/>
    <w:rsid w:val="00EC1B2D"/>
    <w:rsid w:val="00EC1D3E"/>
    <w:rsid w:val="00EC2EDE"/>
    <w:rsid w:val="00EC4AF7"/>
    <w:rsid w:val="00EC5CE7"/>
    <w:rsid w:val="00EC6877"/>
    <w:rsid w:val="00ED00DE"/>
    <w:rsid w:val="00ED0268"/>
    <w:rsid w:val="00ED048F"/>
    <w:rsid w:val="00ED0A8D"/>
    <w:rsid w:val="00ED2850"/>
    <w:rsid w:val="00ED66F9"/>
    <w:rsid w:val="00ED74A3"/>
    <w:rsid w:val="00EE082D"/>
    <w:rsid w:val="00EE08C5"/>
    <w:rsid w:val="00EE0FE5"/>
    <w:rsid w:val="00EE12C1"/>
    <w:rsid w:val="00EE2AC1"/>
    <w:rsid w:val="00EE442B"/>
    <w:rsid w:val="00EE4827"/>
    <w:rsid w:val="00EE725A"/>
    <w:rsid w:val="00EE7A20"/>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19C"/>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184"/>
    <w:rsid w:val="00F84490"/>
    <w:rsid w:val="00F854EA"/>
    <w:rsid w:val="00F85DC0"/>
    <w:rsid w:val="00F85EDA"/>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C345649D-D3DC-4923-95AE-A5299BBCC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9D0E74"/>
    <w:pPr>
      <w:spacing w:before="0" w:after="100" w:afterAutospacing="1"/>
      <w:ind w:firstLineChars="0" w:firstLine="360"/>
    </w:pPr>
    <w:rPr>
      <w:lang w:eastAsia="en-US"/>
    </w:rPr>
  </w:style>
  <w:style w:type="character" w:customStyle="1" w:styleId="Style1Char">
    <w:name w:val="Style1 Char"/>
    <w:basedOn w:val="maintextChar"/>
    <w:link w:val="Style1"/>
    <w:rsid w:val="009D0E74"/>
    <w:rPr>
      <w:rFonts w:eastAsia="Malgun Gothic" w:cs="Batang"/>
      <w:lang w:val="en-GB" w:eastAsia="en-US"/>
    </w:rPr>
  </w:style>
  <w:style w:type="paragraph" w:customStyle="1" w:styleId="LGTdoc">
    <w:name w:val="LGTdoc_본문"/>
    <w:basedOn w:val="Normal"/>
    <w:rsid w:val="00A54FCB"/>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styleId="Strong">
    <w:name w:val="Strong"/>
    <w:basedOn w:val="DefaultParagraphFont"/>
    <w:qFormat/>
    <w:rsid w:val="009000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00A1A-6EC4-4510-A529-1E0F2F99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1201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22</cp:revision>
  <cp:lastPrinted>2012-03-15T10:36:00Z</cp:lastPrinted>
  <dcterms:created xsi:type="dcterms:W3CDTF">2017-05-01T15:30:00Z</dcterms:created>
  <dcterms:modified xsi:type="dcterms:W3CDTF">2017-08-10T19:18:00Z</dcterms:modified>
</cp:coreProperties>
</file>