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76825" w14:textId="7B6FE6B4" w:rsidR="00AA147A" w:rsidRPr="000F158A" w:rsidRDefault="00AA147A" w:rsidP="00AA147A">
      <w:pPr>
        <w:pStyle w:val="Header"/>
        <w:tabs>
          <w:tab w:val="clear" w:pos="4320"/>
          <w:tab w:val="clear" w:pos="8640"/>
          <w:tab w:val="right" w:pos="9072"/>
        </w:tabs>
        <w:rPr>
          <w:rFonts w:cs="Arial"/>
          <w:b/>
          <w:bCs/>
          <w:sz w:val="22"/>
          <w:szCs w:val="22"/>
          <w:lang w:val="en-AU"/>
        </w:rPr>
      </w:pPr>
      <w:bookmarkStart w:id="0" w:name="_GoBack"/>
      <w:bookmarkEnd w:id="0"/>
      <w:r w:rsidRPr="000F158A">
        <w:rPr>
          <w:rFonts w:ascii="Arial" w:hAnsi="Arial" w:cs="Arial"/>
          <w:b/>
          <w:bCs/>
          <w:sz w:val="22"/>
          <w:szCs w:val="22"/>
          <w:lang w:val="en-AU"/>
        </w:rPr>
        <w:t>3GPP TSG RAN WG1 Meeting #</w:t>
      </w:r>
      <w:r w:rsidR="008A0DC8">
        <w:rPr>
          <w:rFonts w:ascii="Arial" w:hAnsi="Arial" w:cs="Arial"/>
          <w:b/>
          <w:bCs/>
          <w:sz w:val="22"/>
          <w:szCs w:val="22"/>
          <w:lang w:val="en-AU"/>
        </w:rPr>
        <w:t>9</w:t>
      </w:r>
      <w:r w:rsidR="0002134D">
        <w:rPr>
          <w:rFonts w:ascii="Arial" w:hAnsi="Arial" w:cs="Arial"/>
          <w:b/>
          <w:bCs/>
          <w:sz w:val="22"/>
          <w:szCs w:val="22"/>
          <w:lang w:val="en-AU"/>
        </w:rPr>
        <w:t>0</w:t>
      </w:r>
      <w:r w:rsidRPr="000F158A">
        <w:rPr>
          <w:rFonts w:ascii="Arial" w:hAnsi="Arial" w:cs="Arial"/>
          <w:b/>
          <w:bCs/>
          <w:sz w:val="22"/>
          <w:szCs w:val="22"/>
          <w:lang w:val="en-AU"/>
        </w:rPr>
        <w:tab/>
      </w:r>
      <w:r w:rsidR="00EB20A0" w:rsidRPr="000C7258">
        <w:rPr>
          <w:rFonts w:ascii="Arial" w:hAnsi="Arial" w:cs="Arial"/>
          <w:b/>
          <w:bCs/>
          <w:sz w:val="22"/>
          <w:szCs w:val="22"/>
          <w:lang w:val="en-AU"/>
        </w:rPr>
        <w:t>R1-</w:t>
      </w:r>
      <w:r w:rsidR="00901B3B" w:rsidRPr="00901B3B">
        <w:rPr>
          <w:rFonts w:ascii="Arial" w:hAnsi="Arial" w:cs="Arial"/>
          <w:b/>
          <w:bCs/>
          <w:sz w:val="22"/>
          <w:szCs w:val="22"/>
          <w:lang w:val="en-AU"/>
        </w:rPr>
        <w:t>1712994</w:t>
      </w:r>
    </w:p>
    <w:p w14:paraId="47832D48" w14:textId="1CE21470" w:rsidR="00AA147A" w:rsidRPr="000F158A" w:rsidRDefault="0002134D" w:rsidP="00AA147A">
      <w:pPr>
        <w:pStyle w:val="Header"/>
        <w:tabs>
          <w:tab w:val="clear" w:pos="4320"/>
        </w:tabs>
        <w:rPr>
          <w:rFonts w:ascii="Arial" w:hAnsi="Arial" w:cs="Arial"/>
          <w:b/>
          <w:bCs/>
          <w:sz w:val="22"/>
          <w:szCs w:val="22"/>
          <w:lang w:val="en-AU"/>
        </w:rPr>
      </w:pPr>
      <w:r w:rsidRPr="0002134D">
        <w:rPr>
          <w:rFonts w:ascii="Arial" w:hAnsi="Arial" w:cs="Arial"/>
          <w:b/>
          <w:bCs/>
          <w:sz w:val="22"/>
          <w:szCs w:val="22"/>
          <w:lang w:val="en-AU"/>
        </w:rPr>
        <w:t xml:space="preserve">Prague, </w:t>
      </w:r>
      <w:r w:rsidR="00FB3FC8" w:rsidRPr="00FB3FC8">
        <w:rPr>
          <w:rFonts w:ascii="Arial" w:hAnsi="Arial" w:cs="Arial"/>
          <w:b/>
          <w:bCs/>
          <w:sz w:val="22"/>
          <w:szCs w:val="22"/>
          <w:lang w:val="en-AU"/>
        </w:rPr>
        <w:t>Czech Republic</w:t>
      </w:r>
      <w:r w:rsidR="00FB3FC8">
        <w:rPr>
          <w:rFonts w:ascii="Arial" w:hAnsi="Arial" w:cs="Arial"/>
          <w:b/>
          <w:bCs/>
          <w:sz w:val="22"/>
          <w:szCs w:val="22"/>
          <w:lang w:val="en-AU"/>
        </w:rPr>
        <w:t xml:space="preserve">, </w:t>
      </w:r>
      <w:r w:rsidRPr="0002134D">
        <w:rPr>
          <w:rFonts w:ascii="Arial" w:hAnsi="Arial" w:cs="Arial"/>
          <w:b/>
          <w:bCs/>
          <w:sz w:val="22"/>
          <w:szCs w:val="22"/>
          <w:lang w:val="en-AU"/>
        </w:rPr>
        <w:t>21</w:t>
      </w:r>
      <w:r w:rsidR="00996EE5" w:rsidRPr="00996EE5">
        <w:rPr>
          <w:rFonts w:ascii="Arial" w:hAnsi="Arial" w:cs="Arial"/>
          <w:b/>
          <w:bCs/>
          <w:sz w:val="22"/>
          <w:szCs w:val="22"/>
          <w:vertAlign w:val="superscript"/>
          <w:lang w:val="en-AU"/>
        </w:rPr>
        <w:t>st</w:t>
      </w:r>
      <w:r w:rsidRPr="0002134D">
        <w:rPr>
          <w:rFonts w:ascii="Arial" w:hAnsi="Arial" w:cs="Arial"/>
          <w:b/>
          <w:bCs/>
          <w:sz w:val="22"/>
          <w:szCs w:val="22"/>
          <w:lang w:val="en-AU"/>
        </w:rPr>
        <w:t xml:space="preserve"> – 25</w:t>
      </w:r>
      <w:r w:rsidRPr="00996EE5">
        <w:rPr>
          <w:rFonts w:ascii="Arial" w:hAnsi="Arial" w:cs="Arial"/>
          <w:b/>
          <w:bCs/>
          <w:sz w:val="22"/>
          <w:szCs w:val="22"/>
          <w:vertAlign w:val="superscript"/>
          <w:lang w:val="en-AU"/>
        </w:rPr>
        <w:t>th</w:t>
      </w:r>
      <w:r w:rsidRPr="0002134D">
        <w:rPr>
          <w:rFonts w:ascii="Arial" w:hAnsi="Arial" w:cs="Arial"/>
          <w:b/>
          <w:bCs/>
          <w:sz w:val="22"/>
          <w:szCs w:val="22"/>
          <w:lang w:val="en-AU"/>
        </w:rPr>
        <w:t xml:space="preserve"> August</w:t>
      </w:r>
      <w:r w:rsidR="00D4285D" w:rsidRPr="00D4285D">
        <w:rPr>
          <w:rFonts w:ascii="Arial" w:hAnsi="Arial" w:cs="Arial"/>
          <w:b/>
          <w:bCs/>
          <w:sz w:val="22"/>
          <w:szCs w:val="22"/>
          <w:lang w:val="en-AU"/>
        </w:rPr>
        <w:t xml:space="preserve"> 2017</w:t>
      </w:r>
    </w:p>
    <w:p w14:paraId="0E6CF4D5" w14:textId="77777777" w:rsidR="00AA147A" w:rsidRPr="000F158A" w:rsidRDefault="00AA147A" w:rsidP="00AA147A">
      <w:pPr>
        <w:pStyle w:val="Header"/>
        <w:rPr>
          <w:b/>
          <w:bCs/>
          <w:lang w:val="en-AU"/>
        </w:rPr>
      </w:pPr>
    </w:p>
    <w:p w14:paraId="04F94269" w14:textId="77457279"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2E4388">
        <w:rPr>
          <w:rFonts w:ascii="Arial" w:hAnsi="Arial" w:cs="Arial"/>
          <w:b/>
          <w:bCs/>
          <w:lang w:val="en-AU"/>
        </w:rPr>
        <w:t>6.1.3.3.3</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2AD33C42" w:rsidR="00AA4A5D" w:rsidRDefault="00AA4A5D" w:rsidP="00AA4A5D">
      <w:pPr>
        <w:tabs>
          <w:tab w:val="left" w:pos="1820"/>
        </w:tabs>
        <w:spacing w:after="60"/>
        <w:ind w:left="1820" w:hanging="1820"/>
        <w:rPr>
          <w:rFonts w:ascii="Arial" w:hAnsi="Arial" w:cs="Arial"/>
          <w:b/>
          <w:bCs/>
          <w:lang w:val="en-AU"/>
        </w:rPr>
      </w:pPr>
      <w:r w:rsidRPr="000F158A">
        <w:rPr>
          <w:rFonts w:ascii="Arial" w:hAnsi="Arial" w:cs="Arial"/>
          <w:b/>
          <w:lang w:val="en-AU"/>
        </w:rPr>
        <w:t>Title:</w:t>
      </w:r>
      <w:r w:rsidRPr="000F158A">
        <w:rPr>
          <w:rFonts w:ascii="Arial" w:hAnsi="Arial" w:cs="Arial"/>
          <w:b/>
          <w:bCs/>
          <w:lang w:val="en-AU"/>
        </w:rPr>
        <w:tab/>
      </w:r>
      <w:r w:rsidR="0080596B">
        <w:rPr>
          <w:rFonts w:ascii="Arial" w:hAnsi="Arial" w:cs="Arial"/>
          <w:b/>
          <w:bCs/>
          <w:lang w:val="en-AU"/>
        </w:rPr>
        <w:t xml:space="preserve">On </w:t>
      </w:r>
      <w:r w:rsidR="002E4388" w:rsidRPr="002E4388">
        <w:rPr>
          <w:rFonts w:ascii="Arial" w:hAnsi="Arial" w:cs="Arial"/>
          <w:b/>
          <w:bCs/>
          <w:lang w:val="en-AU"/>
        </w:rPr>
        <w:t>UL grant-free</w:t>
      </w:r>
    </w:p>
    <w:p w14:paraId="75FDC0A8" w14:textId="77777777"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p>
    <w:p w14:paraId="3E09BF39" w14:textId="77777777" w:rsidR="00012620" w:rsidRPr="000F158A" w:rsidRDefault="00012620" w:rsidP="00012620">
      <w:pPr>
        <w:pStyle w:val="Heading1"/>
        <w:spacing w:after="120"/>
        <w:jc w:val="both"/>
        <w:rPr>
          <w:bCs w:val="0"/>
          <w:sz w:val="22"/>
          <w:szCs w:val="22"/>
          <w:lang w:val="en-AU"/>
        </w:rPr>
      </w:pPr>
      <w:r w:rsidRPr="000F158A">
        <w:rPr>
          <w:bCs w:val="0"/>
          <w:sz w:val="22"/>
          <w:szCs w:val="22"/>
          <w:lang w:val="en-AU"/>
        </w:rPr>
        <w:t>Introduction</w:t>
      </w:r>
    </w:p>
    <w:p w14:paraId="4998B369" w14:textId="1E553108" w:rsidR="00064886" w:rsidRPr="007D288A" w:rsidRDefault="00064886" w:rsidP="00064886">
      <w:pPr>
        <w:jc w:val="both"/>
        <w:rPr>
          <w:rFonts w:eastAsiaTheme="minorEastAsia"/>
          <w:sz w:val="22"/>
          <w:szCs w:val="22"/>
          <w:lang w:eastAsia="ko-KR"/>
        </w:rPr>
      </w:pPr>
      <w:r>
        <w:rPr>
          <w:rFonts w:eastAsiaTheme="minorEastAsia"/>
          <w:sz w:val="22"/>
          <w:szCs w:val="22"/>
          <w:lang w:eastAsia="ko-KR"/>
        </w:rPr>
        <w:t xml:space="preserve">Different types of UL transmission without grant was agreed in </w:t>
      </w:r>
      <w:r w:rsidRPr="009C0F8C">
        <w:rPr>
          <w:rFonts w:eastAsiaTheme="minorEastAsia"/>
          <w:sz w:val="22"/>
          <w:szCs w:val="22"/>
          <w:lang w:eastAsia="ko-KR"/>
        </w:rPr>
        <w:t xml:space="preserve">RAN1 NR Ad-Hoc#2 </w:t>
      </w:r>
      <w:r>
        <w:rPr>
          <w:rFonts w:eastAsiaTheme="minorEastAsia"/>
          <w:sz w:val="22"/>
          <w:szCs w:val="22"/>
          <w:lang w:eastAsia="ko-KR"/>
        </w:rPr>
        <w:fldChar w:fldCharType="begin"/>
      </w:r>
      <w:r>
        <w:rPr>
          <w:rFonts w:eastAsiaTheme="minorEastAsia"/>
          <w:sz w:val="22"/>
          <w:szCs w:val="22"/>
          <w:lang w:eastAsia="ko-KR"/>
        </w:rPr>
        <w:instrText xml:space="preserve"> REF _Ref488754018 \r \h </w:instrText>
      </w:r>
      <w:r>
        <w:rPr>
          <w:rFonts w:eastAsiaTheme="minorEastAsia"/>
          <w:sz w:val="22"/>
          <w:szCs w:val="22"/>
          <w:lang w:eastAsia="ko-KR"/>
        </w:rPr>
      </w:r>
      <w:r>
        <w:rPr>
          <w:rFonts w:eastAsiaTheme="minorEastAsia"/>
          <w:sz w:val="22"/>
          <w:szCs w:val="22"/>
          <w:lang w:eastAsia="ko-KR"/>
        </w:rPr>
        <w:fldChar w:fldCharType="separate"/>
      </w:r>
      <w:r>
        <w:rPr>
          <w:rFonts w:eastAsiaTheme="minorEastAsia"/>
          <w:sz w:val="22"/>
          <w:szCs w:val="22"/>
          <w:lang w:eastAsia="ko-KR"/>
        </w:rPr>
        <w:t>[1]</w:t>
      </w:r>
      <w:r>
        <w:rPr>
          <w:rFonts w:eastAsiaTheme="minorEastAsia"/>
          <w:sz w:val="22"/>
          <w:szCs w:val="22"/>
          <w:lang w:eastAsia="ko-KR"/>
        </w:rPr>
        <w:fldChar w:fldCharType="end"/>
      </w:r>
      <w:r>
        <w:rPr>
          <w:rFonts w:eastAsiaTheme="minorEastAsia"/>
          <w:sz w:val="22"/>
          <w:szCs w:val="22"/>
          <w:lang w:eastAsia="ko-KR"/>
        </w:rPr>
        <w:t xml:space="preserve">.  In this contribution we </w:t>
      </w:r>
      <w:r w:rsidR="00DA361B">
        <w:rPr>
          <w:rFonts w:eastAsiaTheme="minorEastAsia"/>
          <w:sz w:val="22"/>
          <w:szCs w:val="22"/>
          <w:lang w:eastAsia="ko-KR"/>
        </w:rPr>
        <w:t xml:space="preserve">first </w:t>
      </w:r>
      <w:r>
        <w:rPr>
          <w:rFonts w:eastAsiaTheme="minorEastAsia"/>
          <w:sz w:val="22"/>
          <w:szCs w:val="22"/>
          <w:lang w:eastAsia="ko-KR"/>
        </w:rPr>
        <w:t xml:space="preserve">provide out views on </w:t>
      </w:r>
      <w:r w:rsidR="00607512">
        <w:rPr>
          <w:rFonts w:eastAsiaTheme="minorEastAsia"/>
          <w:sz w:val="22"/>
          <w:szCs w:val="22"/>
          <w:lang w:eastAsia="ko-KR"/>
        </w:rPr>
        <w:t xml:space="preserve">the following </w:t>
      </w:r>
      <w:r w:rsidR="00703C85">
        <w:rPr>
          <w:rFonts w:eastAsiaTheme="minorEastAsia"/>
          <w:sz w:val="22"/>
          <w:szCs w:val="22"/>
          <w:lang w:eastAsia="ko-KR"/>
        </w:rPr>
        <w:t>FFS point</w:t>
      </w:r>
      <w:r w:rsidR="00607512">
        <w:rPr>
          <w:rFonts w:eastAsiaTheme="minorEastAsia"/>
          <w:sz w:val="22"/>
          <w:szCs w:val="22"/>
          <w:lang w:eastAsia="ko-KR"/>
        </w:rPr>
        <w:t xml:space="preserve"> applicable to both Type1 and </w:t>
      </w:r>
      <w:r>
        <w:rPr>
          <w:rFonts w:eastAsiaTheme="minorEastAsia"/>
          <w:sz w:val="22"/>
          <w:szCs w:val="22"/>
          <w:lang w:eastAsia="ko-KR"/>
        </w:rPr>
        <w:t>Type 2 namely,</w:t>
      </w:r>
    </w:p>
    <w:p w14:paraId="1117F5F1" w14:textId="77777777" w:rsidR="00064886" w:rsidRPr="007D288A" w:rsidRDefault="00064886" w:rsidP="00064886">
      <w:pPr>
        <w:jc w:val="both"/>
        <w:rPr>
          <w:rFonts w:eastAsiaTheme="minorEastAsia"/>
          <w:sz w:val="22"/>
          <w:szCs w:val="22"/>
          <w:lang w:eastAsia="ko-KR"/>
        </w:rPr>
      </w:pPr>
    </w:p>
    <w:p w14:paraId="068B5776" w14:textId="2B3562EE" w:rsidR="00607512" w:rsidRPr="00095462" w:rsidRDefault="00064886" w:rsidP="00095462">
      <w:pPr>
        <w:pStyle w:val="ListParagraph"/>
        <w:numPr>
          <w:ilvl w:val="0"/>
          <w:numId w:val="52"/>
        </w:numPr>
        <w:jc w:val="both"/>
        <w:rPr>
          <w:rFonts w:eastAsiaTheme="minorEastAsia"/>
          <w:lang w:eastAsia="ko-KR"/>
        </w:rPr>
      </w:pPr>
      <w:r w:rsidRPr="00095462">
        <w:rPr>
          <w:rFonts w:ascii="Times New Roman" w:eastAsiaTheme="minorEastAsia" w:hAnsi="Times New Roman"/>
          <w:lang w:eastAsia="ko-KR"/>
        </w:rPr>
        <w:t>FFS multiple resources can be configured</w:t>
      </w:r>
      <w:r w:rsidR="006A0313">
        <w:rPr>
          <w:rFonts w:ascii="Times New Roman" w:eastAsiaTheme="minorEastAsia" w:hAnsi="Times New Roman"/>
          <w:lang w:eastAsia="ko-KR"/>
        </w:rPr>
        <w:t>.</w:t>
      </w:r>
    </w:p>
    <w:p w14:paraId="4546D51A" w14:textId="77777777" w:rsidR="00DA361B" w:rsidRDefault="00DA361B" w:rsidP="00012620">
      <w:pPr>
        <w:jc w:val="both"/>
        <w:rPr>
          <w:rFonts w:eastAsiaTheme="minorEastAsia"/>
          <w:sz w:val="22"/>
          <w:szCs w:val="22"/>
          <w:lang w:eastAsia="ko-KR"/>
        </w:rPr>
      </w:pPr>
    </w:p>
    <w:p w14:paraId="496A0E14" w14:textId="71D94516" w:rsidR="00DA361B" w:rsidRDefault="00DA361B" w:rsidP="00012620">
      <w:pPr>
        <w:jc w:val="both"/>
        <w:rPr>
          <w:rFonts w:eastAsiaTheme="minorEastAsia"/>
          <w:sz w:val="22"/>
          <w:szCs w:val="22"/>
          <w:lang w:eastAsia="ko-KR"/>
        </w:rPr>
      </w:pPr>
      <w:r>
        <w:rPr>
          <w:rFonts w:eastAsiaTheme="minorEastAsia"/>
          <w:sz w:val="22"/>
          <w:szCs w:val="22"/>
          <w:lang w:eastAsia="ko-KR"/>
        </w:rPr>
        <w:t>It is also expected that UE identification and HARQ will be discussed in this meeting. As such we</w:t>
      </w:r>
      <w:r w:rsidR="00FB3FC8">
        <w:rPr>
          <w:rFonts w:eastAsiaTheme="minorEastAsia"/>
          <w:sz w:val="22"/>
          <w:szCs w:val="22"/>
          <w:lang w:eastAsia="ko-KR"/>
        </w:rPr>
        <w:t xml:space="preserve"> </w:t>
      </w:r>
      <w:r>
        <w:rPr>
          <w:rFonts w:eastAsiaTheme="minorEastAsia"/>
          <w:sz w:val="22"/>
          <w:szCs w:val="22"/>
          <w:lang w:eastAsia="ko-KR"/>
        </w:rPr>
        <w:t xml:space="preserve">provide our views on these aspects. </w:t>
      </w:r>
    </w:p>
    <w:p w14:paraId="12EC708D" w14:textId="2AA70DE7" w:rsidR="00012620" w:rsidRPr="00692F08" w:rsidRDefault="00064886" w:rsidP="00012620">
      <w:pPr>
        <w:jc w:val="both"/>
        <w:rPr>
          <w:rFonts w:cs="Times"/>
          <w:sz w:val="22"/>
          <w:szCs w:val="22"/>
        </w:rPr>
      </w:pPr>
      <w:r w:rsidRPr="00064886">
        <w:rPr>
          <w:rFonts w:eastAsiaTheme="minorEastAsia"/>
          <w:sz w:val="22"/>
          <w:szCs w:val="22"/>
          <w:lang w:eastAsia="ko-KR"/>
        </w:rPr>
        <w:tab/>
      </w:r>
      <w:r w:rsidR="00012620" w:rsidRPr="00692F08">
        <w:rPr>
          <w:rFonts w:cs="Times"/>
          <w:sz w:val="22"/>
          <w:szCs w:val="22"/>
        </w:rPr>
        <w:t xml:space="preserve"> </w:t>
      </w:r>
    </w:p>
    <w:p w14:paraId="13A68B12" w14:textId="77777777" w:rsidR="00012620" w:rsidRPr="000F158A" w:rsidRDefault="00012620" w:rsidP="00012620">
      <w:pPr>
        <w:pStyle w:val="Heading1"/>
        <w:spacing w:before="0" w:after="120"/>
        <w:jc w:val="both"/>
        <w:rPr>
          <w:sz w:val="22"/>
          <w:szCs w:val="22"/>
          <w:lang w:val="en-AU" w:eastAsia="en-AU"/>
        </w:rPr>
      </w:pPr>
      <w:r>
        <w:rPr>
          <w:sz w:val="22"/>
          <w:szCs w:val="22"/>
          <w:lang w:val="en-AU" w:eastAsia="en-AU"/>
        </w:rPr>
        <w:t>Discussion</w:t>
      </w:r>
    </w:p>
    <w:p w14:paraId="05DDF253" w14:textId="554D6CDA" w:rsidR="00DA361B" w:rsidRDefault="00DA361B" w:rsidP="00095462">
      <w:pPr>
        <w:pStyle w:val="Heading2"/>
        <w:rPr>
          <w:lang w:val="en-AU" w:eastAsia="en-AU"/>
        </w:rPr>
      </w:pPr>
      <w:r>
        <w:rPr>
          <w:lang w:val="en-AU" w:eastAsia="en-AU"/>
        </w:rPr>
        <w:t>M</w:t>
      </w:r>
      <w:r w:rsidRPr="00DA361B">
        <w:rPr>
          <w:lang w:val="en-AU" w:eastAsia="en-AU"/>
        </w:rPr>
        <w:t>ultiple resources</w:t>
      </w:r>
    </w:p>
    <w:p w14:paraId="25C7E396" w14:textId="77777777" w:rsidR="00DA361B" w:rsidRDefault="00DA361B" w:rsidP="00607512">
      <w:pPr>
        <w:jc w:val="both"/>
        <w:rPr>
          <w:bCs/>
          <w:sz w:val="22"/>
          <w:szCs w:val="22"/>
          <w:lang w:val="en-AU" w:eastAsia="en-AU"/>
        </w:rPr>
      </w:pPr>
    </w:p>
    <w:p w14:paraId="6B9BE520" w14:textId="2B72BF1C" w:rsidR="00416E90" w:rsidRDefault="00064886" w:rsidP="00607512">
      <w:pPr>
        <w:jc w:val="both"/>
        <w:rPr>
          <w:bCs/>
          <w:color w:val="FF0000"/>
          <w:sz w:val="22"/>
          <w:szCs w:val="22"/>
          <w:lang w:val="en-AU" w:eastAsia="en-AU"/>
        </w:rPr>
      </w:pPr>
      <w:r w:rsidRPr="00EE4425">
        <w:rPr>
          <w:bCs/>
          <w:sz w:val="22"/>
          <w:szCs w:val="22"/>
          <w:lang w:val="en-AU" w:eastAsia="en-AU"/>
        </w:rPr>
        <w:t>Multiple resources can be configured for</w:t>
      </w:r>
      <w:r w:rsidR="00F32D70" w:rsidRPr="00EE4425">
        <w:rPr>
          <w:bCs/>
          <w:sz w:val="22"/>
          <w:szCs w:val="22"/>
          <w:lang w:val="en-AU" w:eastAsia="en-AU"/>
        </w:rPr>
        <w:t xml:space="preserve"> a UE to use </w:t>
      </w:r>
      <w:r w:rsidR="00C3346A" w:rsidRPr="00C3346A">
        <w:rPr>
          <w:bCs/>
          <w:sz w:val="22"/>
          <w:szCs w:val="22"/>
          <w:lang w:val="en-AU" w:eastAsia="en-AU"/>
        </w:rPr>
        <w:t>on a periodic basis</w:t>
      </w:r>
      <w:r w:rsidR="00F32D70" w:rsidRPr="00EE4425">
        <w:rPr>
          <w:bCs/>
          <w:sz w:val="22"/>
          <w:szCs w:val="22"/>
          <w:lang w:val="en-AU" w:eastAsia="en-AU"/>
        </w:rPr>
        <w:t xml:space="preserve">. For efficient resource multiplexing, the set of time-frequency resources configured by gNB for a given UE could overlap with one or more other UEs. </w:t>
      </w:r>
      <w:r w:rsidR="00A927BC">
        <w:rPr>
          <w:bCs/>
          <w:sz w:val="22"/>
          <w:szCs w:val="22"/>
          <w:lang w:val="en-AU" w:eastAsia="en-AU"/>
        </w:rPr>
        <w:t xml:space="preserve">In case </w:t>
      </w:r>
      <w:r w:rsidR="00F923B9">
        <w:rPr>
          <w:bCs/>
          <w:sz w:val="22"/>
          <w:szCs w:val="22"/>
          <w:lang w:val="en-AU" w:eastAsia="en-AU"/>
        </w:rPr>
        <w:t xml:space="preserve">a </w:t>
      </w:r>
      <w:r w:rsidR="00A927BC">
        <w:rPr>
          <w:bCs/>
          <w:sz w:val="22"/>
          <w:szCs w:val="22"/>
          <w:lang w:val="en-AU" w:eastAsia="en-AU"/>
        </w:rPr>
        <w:t xml:space="preserve">UE is allocated </w:t>
      </w:r>
      <w:r w:rsidR="00F923B9">
        <w:rPr>
          <w:bCs/>
          <w:sz w:val="22"/>
          <w:szCs w:val="22"/>
          <w:lang w:val="en-AU" w:eastAsia="en-AU"/>
        </w:rPr>
        <w:t xml:space="preserve">with only </w:t>
      </w:r>
      <w:r w:rsidR="00A927BC">
        <w:rPr>
          <w:bCs/>
          <w:sz w:val="22"/>
          <w:szCs w:val="22"/>
          <w:lang w:val="en-AU" w:eastAsia="en-AU"/>
        </w:rPr>
        <w:t xml:space="preserve">one resource, the UE will have to use the same resource for retransmission </w:t>
      </w:r>
      <w:r w:rsidR="00974632">
        <w:rPr>
          <w:bCs/>
          <w:sz w:val="22"/>
          <w:szCs w:val="22"/>
          <w:lang w:val="en-AU" w:eastAsia="en-AU"/>
        </w:rPr>
        <w:t xml:space="preserve">when </w:t>
      </w:r>
      <w:r w:rsidR="00A927BC">
        <w:rPr>
          <w:bCs/>
          <w:sz w:val="22"/>
          <w:szCs w:val="22"/>
          <w:lang w:val="en-AU" w:eastAsia="en-AU"/>
        </w:rPr>
        <w:t>there is no acknowledgement from gNB</w:t>
      </w:r>
      <w:r w:rsidR="00974632">
        <w:rPr>
          <w:bCs/>
          <w:sz w:val="22"/>
          <w:szCs w:val="22"/>
          <w:lang w:val="en-AU" w:eastAsia="en-AU"/>
        </w:rPr>
        <w:t>. H</w:t>
      </w:r>
      <w:r w:rsidR="00A927BC">
        <w:rPr>
          <w:bCs/>
          <w:sz w:val="22"/>
          <w:szCs w:val="22"/>
          <w:lang w:val="en-AU" w:eastAsia="en-AU"/>
        </w:rPr>
        <w:t xml:space="preserve">owever, if there are multiple </w:t>
      </w:r>
      <w:r w:rsidR="001E2073">
        <w:rPr>
          <w:bCs/>
          <w:sz w:val="22"/>
          <w:szCs w:val="22"/>
          <w:lang w:val="en-AU" w:eastAsia="en-AU"/>
        </w:rPr>
        <w:t xml:space="preserve">resources available for one UE to choose, then </w:t>
      </w:r>
      <w:r w:rsidR="007D0A60">
        <w:rPr>
          <w:bCs/>
          <w:sz w:val="22"/>
          <w:szCs w:val="22"/>
          <w:lang w:val="en-AU" w:eastAsia="en-AU"/>
        </w:rPr>
        <w:t xml:space="preserve">UE could potentially send first transmission and retransmissions in different resources.  </w:t>
      </w:r>
      <w:r w:rsidR="00F923B9" w:rsidRPr="00F923B9">
        <w:rPr>
          <w:bCs/>
          <w:sz w:val="22"/>
          <w:szCs w:val="22"/>
          <w:lang w:val="en-AU" w:eastAsia="en-AU"/>
        </w:rPr>
        <w:t xml:space="preserve">Multiple time-frequency resources could mean a pool of resources (e.g. set of channels where each channel is a group of PRBs) that may periodically appear.  </w:t>
      </w:r>
      <w:r w:rsidR="00F923B9">
        <w:rPr>
          <w:bCs/>
          <w:sz w:val="22"/>
          <w:szCs w:val="22"/>
          <w:lang w:val="en-AU" w:eastAsia="en-AU"/>
        </w:rPr>
        <w:t>In this case, there</w:t>
      </w:r>
      <w:r w:rsidR="00F923B9" w:rsidRPr="00F923B9">
        <w:rPr>
          <w:bCs/>
          <w:sz w:val="22"/>
          <w:szCs w:val="22"/>
          <w:lang w:val="en-AU" w:eastAsia="en-AU"/>
        </w:rPr>
        <w:t xml:space="preserve"> is </w:t>
      </w:r>
      <w:r w:rsidR="00C3346A" w:rsidRPr="00C3346A">
        <w:rPr>
          <w:bCs/>
          <w:sz w:val="22"/>
          <w:szCs w:val="22"/>
          <w:lang w:val="en-AU" w:eastAsia="en-AU"/>
        </w:rPr>
        <w:t xml:space="preserve">a periodically occurring set of resources consisting of </w:t>
      </w:r>
      <w:r w:rsidR="00F923B9" w:rsidRPr="00F923B9">
        <w:rPr>
          <w:bCs/>
          <w:sz w:val="22"/>
          <w:szCs w:val="22"/>
          <w:lang w:val="en-AU" w:eastAsia="en-AU"/>
        </w:rPr>
        <w:t>one or multiple candidate channels for transmission/retransmission.</w:t>
      </w:r>
      <w:r w:rsidR="00F923B9">
        <w:rPr>
          <w:bCs/>
          <w:sz w:val="22"/>
          <w:szCs w:val="22"/>
          <w:lang w:val="en-AU" w:eastAsia="en-AU"/>
        </w:rPr>
        <w:t xml:space="preserve"> This</w:t>
      </w:r>
      <w:r w:rsidR="007D0A60">
        <w:rPr>
          <w:bCs/>
          <w:sz w:val="22"/>
          <w:szCs w:val="22"/>
          <w:lang w:val="en-AU" w:eastAsia="en-AU"/>
        </w:rPr>
        <w:t xml:space="preserve"> may be useful for transmission and retransmission of   latency sensitive data packets</w:t>
      </w:r>
      <w:r w:rsidR="00607512">
        <w:rPr>
          <w:bCs/>
          <w:sz w:val="22"/>
          <w:szCs w:val="22"/>
          <w:lang w:val="en-AU" w:eastAsia="en-AU"/>
        </w:rPr>
        <w:t xml:space="preserve">.  </w:t>
      </w:r>
    </w:p>
    <w:p w14:paraId="19E452A9" w14:textId="6C1A51B6" w:rsidR="00554BF0" w:rsidRDefault="00416E90" w:rsidP="00AF6121">
      <w:pPr>
        <w:spacing w:before="240" w:after="60"/>
        <w:jc w:val="both"/>
        <w:rPr>
          <w:b/>
          <w:bCs/>
          <w:i/>
          <w:sz w:val="22"/>
          <w:szCs w:val="22"/>
          <w:lang w:val="en-AU" w:eastAsia="en-AU"/>
        </w:rPr>
      </w:pPr>
      <w:r w:rsidRPr="00EE4425">
        <w:rPr>
          <w:b/>
          <w:i/>
          <w:sz w:val="22"/>
          <w:szCs w:val="22"/>
        </w:rPr>
        <w:t>Proposal 1:</w:t>
      </w:r>
      <w:r w:rsidRPr="00EE4425">
        <w:rPr>
          <w:b/>
          <w:bCs/>
          <w:i/>
          <w:sz w:val="22"/>
          <w:szCs w:val="22"/>
          <w:lang w:val="en-AU" w:eastAsia="en-AU"/>
        </w:rPr>
        <w:t xml:space="preserve"> </w:t>
      </w:r>
      <w:r w:rsidR="00C3346A">
        <w:rPr>
          <w:b/>
          <w:bCs/>
          <w:i/>
          <w:sz w:val="22"/>
          <w:szCs w:val="22"/>
          <w:lang w:val="en-AU" w:eastAsia="en-AU"/>
        </w:rPr>
        <w:t>M</w:t>
      </w:r>
      <w:r w:rsidR="00EE4425">
        <w:rPr>
          <w:b/>
          <w:bCs/>
          <w:i/>
          <w:sz w:val="22"/>
          <w:szCs w:val="22"/>
          <w:lang w:val="en-AU" w:eastAsia="en-AU"/>
        </w:rPr>
        <w:t xml:space="preserve">ultiple </w:t>
      </w:r>
      <w:r w:rsidR="00EE4425" w:rsidRPr="00EE4425">
        <w:rPr>
          <w:b/>
          <w:bCs/>
          <w:i/>
          <w:sz w:val="22"/>
          <w:szCs w:val="22"/>
          <w:lang w:val="en-AU" w:eastAsia="en-AU"/>
        </w:rPr>
        <w:t xml:space="preserve">time-frequency resources </w:t>
      </w:r>
      <w:r w:rsidR="00C3346A" w:rsidRPr="00C3346A">
        <w:rPr>
          <w:b/>
          <w:bCs/>
          <w:i/>
          <w:sz w:val="22"/>
          <w:szCs w:val="22"/>
          <w:lang w:val="en-AU" w:eastAsia="en-AU"/>
        </w:rPr>
        <w:t xml:space="preserve">occurring with a single periodicity </w:t>
      </w:r>
      <w:r w:rsidR="00EE4425" w:rsidRPr="00EE4425">
        <w:rPr>
          <w:b/>
          <w:bCs/>
          <w:i/>
          <w:sz w:val="22"/>
          <w:szCs w:val="22"/>
          <w:lang w:val="en-AU" w:eastAsia="en-AU"/>
        </w:rPr>
        <w:t xml:space="preserve">could be configured for grant-free transmission of </w:t>
      </w:r>
      <w:r w:rsidR="00EE4425">
        <w:rPr>
          <w:b/>
          <w:bCs/>
          <w:i/>
          <w:sz w:val="22"/>
          <w:szCs w:val="22"/>
          <w:lang w:val="en-AU" w:eastAsia="en-AU"/>
        </w:rPr>
        <w:t xml:space="preserve">a </w:t>
      </w:r>
      <w:r w:rsidR="00EE4425" w:rsidRPr="00EE4425">
        <w:rPr>
          <w:b/>
          <w:bCs/>
          <w:i/>
          <w:sz w:val="22"/>
          <w:szCs w:val="22"/>
          <w:lang w:val="en-AU" w:eastAsia="en-AU"/>
        </w:rPr>
        <w:t xml:space="preserve">UE.  </w:t>
      </w:r>
    </w:p>
    <w:p w14:paraId="7D69A50F" w14:textId="77777777" w:rsidR="00DA361B" w:rsidRDefault="00DA361B" w:rsidP="00AF6121">
      <w:pPr>
        <w:spacing w:before="240" w:after="60"/>
        <w:jc w:val="both"/>
        <w:rPr>
          <w:b/>
          <w:bCs/>
          <w:i/>
          <w:sz w:val="22"/>
          <w:szCs w:val="22"/>
          <w:lang w:val="en-AU" w:eastAsia="en-AU"/>
        </w:rPr>
      </w:pPr>
    </w:p>
    <w:p w14:paraId="361276F0" w14:textId="06C536E3" w:rsidR="00DA361B" w:rsidRDefault="00DA361B" w:rsidP="00DA361B">
      <w:pPr>
        <w:pStyle w:val="Heading2"/>
        <w:rPr>
          <w:lang w:val="en-AU" w:eastAsia="en-AU"/>
        </w:rPr>
      </w:pPr>
      <w:r w:rsidRPr="00DA361B">
        <w:rPr>
          <w:lang w:val="en-AU" w:eastAsia="en-AU"/>
        </w:rPr>
        <w:t>UE Identification</w:t>
      </w:r>
    </w:p>
    <w:p w14:paraId="6D169381" w14:textId="77777777" w:rsidR="0081797E" w:rsidRPr="00095462" w:rsidRDefault="0081797E" w:rsidP="0081797E">
      <w:pPr>
        <w:spacing w:before="240" w:after="60"/>
        <w:jc w:val="both"/>
        <w:rPr>
          <w:bCs/>
          <w:sz w:val="22"/>
          <w:szCs w:val="22"/>
          <w:lang w:val="en-AU" w:eastAsia="en-AU"/>
        </w:rPr>
      </w:pPr>
      <w:proofErr w:type="gramStart"/>
      <w:r w:rsidRPr="00095462">
        <w:rPr>
          <w:bCs/>
          <w:sz w:val="22"/>
          <w:szCs w:val="22"/>
          <w:lang w:val="en-AU" w:eastAsia="en-AU"/>
        </w:rPr>
        <w:t>gNB</w:t>
      </w:r>
      <w:proofErr w:type="gramEnd"/>
      <w:r w:rsidRPr="00095462">
        <w:rPr>
          <w:bCs/>
          <w:sz w:val="22"/>
          <w:szCs w:val="22"/>
          <w:lang w:val="en-AU" w:eastAsia="en-AU"/>
        </w:rPr>
        <w:t xml:space="preserve"> must identify the UE transmitting grant-free data in order to decode UL data, support soft combining of grant-free repetitions, trigger grant-based re-transmission and link the re-transmission grant to the UE.</w:t>
      </w:r>
    </w:p>
    <w:p w14:paraId="1625AB96" w14:textId="069CBE4E" w:rsidR="0081797E" w:rsidRPr="00095462" w:rsidRDefault="0081797E" w:rsidP="0081797E">
      <w:pPr>
        <w:spacing w:before="240" w:after="60"/>
        <w:jc w:val="both"/>
        <w:rPr>
          <w:bCs/>
          <w:sz w:val="22"/>
          <w:szCs w:val="22"/>
          <w:lang w:val="en-AU" w:eastAsia="en-AU"/>
        </w:rPr>
      </w:pPr>
      <w:r w:rsidRPr="00095462">
        <w:rPr>
          <w:bCs/>
          <w:sz w:val="22"/>
          <w:szCs w:val="22"/>
          <w:lang w:val="en-AU" w:eastAsia="en-AU"/>
        </w:rPr>
        <w:t>One way of explicit UE identification is to mask the CRC of the data transmitted in PUSCH with the UE ID (for example C-RNTI). The gNB will perform CRC check using the UE IDs of all the UEs configured to share the same resources until the CRC check is passed to identify the correct UE after which an ACK can be sent to the UE. This is also applicable to retransmissions. In the case of normal PUSCH transmission, a UE-specific scrambling code is also applied. Scrambling must be removed before decoding, so if gNB does not know the UE ID it would have to perform decoding multiple times which is not practical. Therefore, we propose to use a special scrambling code in this case (e.g. a pre-configured group-specific or a resource-specific scrambling code).</w:t>
      </w:r>
    </w:p>
    <w:p w14:paraId="3C78C917" w14:textId="6603238E" w:rsidR="0081797E" w:rsidRDefault="00FB3FC8" w:rsidP="0081797E">
      <w:pPr>
        <w:spacing w:before="240" w:after="60"/>
        <w:jc w:val="both"/>
        <w:rPr>
          <w:bCs/>
          <w:sz w:val="22"/>
          <w:szCs w:val="22"/>
          <w:lang w:val="en-AU" w:eastAsia="en-AU"/>
        </w:rPr>
      </w:pPr>
      <w:r>
        <w:rPr>
          <w:bCs/>
          <w:sz w:val="22"/>
          <w:szCs w:val="22"/>
          <w:lang w:val="en-AU" w:eastAsia="en-AU"/>
        </w:rPr>
        <w:lastRenderedPageBreak/>
        <w:t>Additionally</w:t>
      </w:r>
      <w:r w:rsidR="0081797E" w:rsidRPr="00095462">
        <w:rPr>
          <w:bCs/>
          <w:sz w:val="22"/>
          <w:szCs w:val="22"/>
          <w:lang w:val="en-AU" w:eastAsia="en-AU"/>
        </w:rPr>
        <w:t>, UE differentiation could be done through differentiable DRMS sequences</w:t>
      </w:r>
      <w:r w:rsidR="00F724E4">
        <w:rPr>
          <w:bCs/>
          <w:sz w:val="22"/>
          <w:szCs w:val="22"/>
          <w:lang w:val="en-AU" w:eastAsia="en-AU"/>
        </w:rPr>
        <w:t xml:space="preserve"> which are UE specific</w:t>
      </w:r>
      <w:r w:rsidR="0081797E" w:rsidRPr="00095462">
        <w:rPr>
          <w:bCs/>
          <w:sz w:val="22"/>
          <w:szCs w:val="22"/>
          <w:lang w:val="en-AU" w:eastAsia="en-AU"/>
        </w:rPr>
        <w:t xml:space="preserve">.  </w:t>
      </w:r>
      <w:r w:rsidR="00F724E4">
        <w:rPr>
          <w:bCs/>
          <w:sz w:val="22"/>
          <w:szCs w:val="22"/>
          <w:lang w:val="en-AU" w:eastAsia="en-AU"/>
        </w:rPr>
        <w:t xml:space="preserve">This approach will further help gNB decode the </w:t>
      </w:r>
      <w:r w:rsidR="00F724E4" w:rsidRPr="00F724E4">
        <w:rPr>
          <w:bCs/>
          <w:sz w:val="22"/>
          <w:szCs w:val="22"/>
          <w:lang w:val="en-AU" w:eastAsia="en-AU"/>
        </w:rPr>
        <w:t xml:space="preserve">shared channels from mobile devices </w:t>
      </w:r>
      <w:r w:rsidR="00F724E4">
        <w:rPr>
          <w:bCs/>
          <w:sz w:val="22"/>
          <w:szCs w:val="22"/>
          <w:lang w:val="en-AU" w:eastAsia="en-AU"/>
        </w:rPr>
        <w:t>that</w:t>
      </w:r>
      <w:r w:rsidR="00F724E4" w:rsidRPr="00F724E4">
        <w:rPr>
          <w:bCs/>
          <w:sz w:val="22"/>
          <w:szCs w:val="22"/>
          <w:lang w:val="en-AU" w:eastAsia="en-AU"/>
        </w:rPr>
        <w:t xml:space="preserve"> select</w:t>
      </w:r>
      <w:r w:rsidR="00F724E4">
        <w:rPr>
          <w:bCs/>
          <w:sz w:val="22"/>
          <w:szCs w:val="22"/>
          <w:lang w:val="en-AU" w:eastAsia="en-AU"/>
        </w:rPr>
        <w:t>ed</w:t>
      </w:r>
      <w:r w:rsidR="00F724E4" w:rsidRPr="00F724E4">
        <w:rPr>
          <w:bCs/>
          <w:sz w:val="22"/>
          <w:szCs w:val="22"/>
          <w:lang w:val="en-AU" w:eastAsia="en-AU"/>
        </w:rPr>
        <w:t xml:space="preserve"> the same time-frequency channel</w:t>
      </w:r>
      <w:r w:rsidR="00F724E4">
        <w:rPr>
          <w:bCs/>
          <w:sz w:val="22"/>
          <w:szCs w:val="22"/>
          <w:lang w:val="en-AU" w:eastAsia="en-AU"/>
        </w:rPr>
        <w:t>.</w:t>
      </w:r>
    </w:p>
    <w:p w14:paraId="39A709BA" w14:textId="33CDBE59" w:rsidR="00F724E4" w:rsidRPr="007D288A" w:rsidRDefault="00F724E4" w:rsidP="00F724E4">
      <w:pPr>
        <w:spacing w:before="240" w:after="60"/>
        <w:jc w:val="both"/>
        <w:rPr>
          <w:b/>
          <w:bCs/>
          <w:i/>
          <w:sz w:val="22"/>
          <w:szCs w:val="22"/>
          <w:lang w:val="en-AU" w:eastAsia="en-AU"/>
        </w:rPr>
      </w:pPr>
      <w:r w:rsidRPr="007D288A">
        <w:rPr>
          <w:b/>
          <w:bCs/>
          <w:i/>
          <w:sz w:val="22"/>
          <w:szCs w:val="22"/>
          <w:lang w:val="en-AU" w:eastAsia="en-AU"/>
        </w:rPr>
        <w:t xml:space="preserve">Proposal 2: UE identification </w:t>
      </w:r>
      <w:r w:rsidR="00584603" w:rsidRPr="007D288A">
        <w:rPr>
          <w:b/>
          <w:bCs/>
          <w:i/>
          <w:sz w:val="22"/>
          <w:szCs w:val="22"/>
          <w:lang w:val="en-AU" w:eastAsia="en-AU"/>
        </w:rPr>
        <w:t xml:space="preserve">is </w:t>
      </w:r>
      <w:r w:rsidRPr="007D288A">
        <w:rPr>
          <w:b/>
          <w:bCs/>
          <w:i/>
          <w:sz w:val="22"/>
          <w:szCs w:val="22"/>
          <w:lang w:val="en-AU" w:eastAsia="en-AU"/>
        </w:rPr>
        <w:t>supported by:</w:t>
      </w:r>
    </w:p>
    <w:p w14:paraId="4011D719" w14:textId="6900F459" w:rsidR="00F724E4" w:rsidRPr="00095462" w:rsidRDefault="00F724E4" w:rsidP="00095462">
      <w:pPr>
        <w:pStyle w:val="ListParagraph"/>
        <w:numPr>
          <w:ilvl w:val="0"/>
          <w:numId w:val="54"/>
        </w:numPr>
        <w:spacing w:before="240" w:after="60"/>
        <w:jc w:val="both"/>
        <w:rPr>
          <w:b/>
          <w:bCs/>
          <w:i/>
        </w:rPr>
      </w:pPr>
      <w:r w:rsidRPr="00095462">
        <w:rPr>
          <w:rFonts w:ascii="Times New Roman" w:hAnsi="Times New Roman"/>
          <w:b/>
          <w:bCs/>
          <w:i/>
        </w:rPr>
        <w:t>Masking CRC of the data transmitted in PUSCH with the UE ID and using a special scrambling code for data in PUSCH transmission and/or</w:t>
      </w:r>
    </w:p>
    <w:p w14:paraId="10CA3FA2" w14:textId="7E806D12" w:rsidR="00F724E4" w:rsidRPr="00095462" w:rsidRDefault="00584603" w:rsidP="00095462">
      <w:pPr>
        <w:pStyle w:val="ListParagraph"/>
        <w:numPr>
          <w:ilvl w:val="0"/>
          <w:numId w:val="54"/>
        </w:numPr>
        <w:spacing w:before="240" w:after="60"/>
        <w:jc w:val="both"/>
        <w:rPr>
          <w:b/>
          <w:bCs/>
          <w:i/>
        </w:rPr>
      </w:pPr>
      <w:r w:rsidRPr="00095462">
        <w:rPr>
          <w:rFonts w:ascii="Times New Roman" w:hAnsi="Times New Roman"/>
          <w:b/>
          <w:bCs/>
          <w:i/>
        </w:rPr>
        <w:t>Differentiable DMRS sequences</w:t>
      </w:r>
      <w:r w:rsidR="00F724E4" w:rsidRPr="00095462">
        <w:rPr>
          <w:rFonts w:ascii="Times New Roman" w:hAnsi="Times New Roman"/>
          <w:b/>
          <w:bCs/>
          <w:i/>
        </w:rPr>
        <w:t>.</w:t>
      </w:r>
    </w:p>
    <w:p w14:paraId="5780EAAD" w14:textId="77777777" w:rsidR="0081797E" w:rsidRDefault="0081797E" w:rsidP="0081797E">
      <w:pPr>
        <w:spacing w:before="240" w:after="60"/>
        <w:jc w:val="both"/>
        <w:rPr>
          <w:b/>
          <w:bCs/>
          <w:i/>
          <w:sz w:val="22"/>
          <w:szCs w:val="22"/>
          <w:lang w:val="en-AU" w:eastAsia="en-AU"/>
        </w:rPr>
      </w:pPr>
    </w:p>
    <w:p w14:paraId="58EE226A" w14:textId="764CA6C8" w:rsidR="00DA361B" w:rsidRDefault="00DA361B" w:rsidP="00A9520B">
      <w:pPr>
        <w:pStyle w:val="Heading2"/>
        <w:rPr>
          <w:lang w:val="en-AU" w:eastAsia="en-AU"/>
        </w:rPr>
      </w:pPr>
      <w:r w:rsidRPr="00DA361B">
        <w:rPr>
          <w:lang w:val="en-AU" w:eastAsia="en-AU"/>
        </w:rPr>
        <w:t>Linkage with GF and GB transmissions to HARQ Processes</w:t>
      </w:r>
    </w:p>
    <w:p w14:paraId="75A743EF" w14:textId="77777777" w:rsidR="00DA361B" w:rsidRDefault="00DA361B" w:rsidP="00095462">
      <w:pPr>
        <w:rPr>
          <w:lang w:val="en-AU" w:eastAsia="en-AU"/>
        </w:rPr>
      </w:pPr>
    </w:p>
    <w:p w14:paraId="1A08CCD4" w14:textId="77777777" w:rsidR="00F724E4" w:rsidRPr="00095462" w:rsidRDefault="00F724E4" w:rsidP="00F724E4">
      <w:pPr>
        <w:spacing w:before="120"/>
        <w:jc w:val="both"/>
        <w:rPr>
          <w:sz w:val="22"/>
          <w:szCs w:val="22"/>
          <w:lang w:val="en-AU" w:eastAsia="en-AU"/>
        </w:rPr>
      </w:pPr>
      <w:r w:rsidRPr="00095462">
        <w:rPr>
          <w:sz w:val="22"/>
          <w:szCs w:val="22"/>
          <w:lang w:val="en-AU" w:eastAsia="en-AU"/>
        </w:rPr>
        <w:t xml:space="preserve">When a UE supports both grant-free (GF) and grant-based (GB) HARQ processes in parallel, it is necessary to indicate whether the UL grant is for the HARQ process with GB (re)transmission or GF initial transmission. The main reason is that for the GB case, the gNB already knows which UE is going to (re)transmit the data, while for the GF case, the gNB has not yet identified which UE has transmitted the initial GF data as </w:t>
      </w:r>
      <w:r w:rsidRPr="00095462">
        <w:rPr>
          <w:sz w:val="22"/>
          <w:szCs w:val="22"/>
        </w:rPr>
        <w:t>resource sharing among multiple UEs (i.e.</w:t>
      </w:r>
      <w:r w:rsidRPr="00095462">
        <w:rPr>
          <w:sz w:val="22"/>
          <w:szCs w:val="22"/>
          <w:lang w:val="en-AU" w:eastAsia="en-AU"/>
        </w:rPr>
        <w:t xml:space="preserve"> time-frequency resources and RS sequence index) is allowed.</w:t>
      </w:r>
    </w:p>
    <w:p w14:paraId="5EA6A7D2" w14:textId="77777777" w:rsidR="00F724E4" w:rsidRPr="00095462" w:rsidRDefault="00F724E4" w:rsidP="00F724E4">
      <w:pPr>
        <w:spacing w:before="120"/>
        <w:jc w:val="both"/>
        <w:rPr>
          <w:sz w:val="22"/>
          <w:szCs w:val="22"/>
          <w:lang w:val="en-AU" w:eastAsia="en-AU"/>
        </w:rPr>
      </w:pPr>
      <w:r w:rsidRPr="00095462">
        <w:rPr>
          <w:sz w:val="22"/>
          <w:szCs w:val="22"/>
          <w:lang w:val="en-AU" w:eastAsia="en-AU"/>
        </w:rPr>
        <w:t>Hence to differentiate the HARQ processes for GB and GF transmissions, for the case of GB transmission the DCI should be masked with C-RNTI, while for the case of GF retransmission the DCI can be masked with GF-RNTI.</w:t>
      </w:r>
    </w:p>
    <w:p w14:paraId="3A811614" w14:textId="77777777" w:rsidR="00F724E4" w:rsidRPr="00095462" w:rsidRDefault="00F724E4" w:rsidP="00F724E4">
      <w:pPr>
        <w:spacing w:before="120"/>
        <w:jc w:val="both"/>
        <w:rPr>
          <w:rFonts w:eastAsia="MS Mincho"/>
          <w:bCs/>
          <w:iCs/>
          <w:sz w:val="22"/>
          <w:szCs w:val="22"/>
          <w:lang w:eastAsia="ja-JP"/>
        </w:rPr>
      </w:pPr>
      <w:r w:rsidRPr="00095462">
        <w:rPr>
          <w:sz w:val="22"/>
          <w:szCs w:val="22"/>
          <w:lang w:val="en-AU" w:eastAsia="en-AU"/>
        </w:rPr>
        <w:t xml:space="preserve">The GF-RNTI can be made specific to the </w:t>
      </w:r>
      <w:r w:rsidRPr="00095462">
        <w:rPr>
          <w:rFonts w:eastAsia="MS Mincho"/>
          <w:bCs/>
          <w:iCs/>
          <w:sz w:val="22"/>
          <w:szCs w:val="22"/>
          <w:lang w:eastAsia="ja-JP"/>
        </w:rPr>
        <w:t xml:space="preserve">frequency resources and RS sequence index that a UE has applied to transmit </w:t>
      </w:r>
      <w:r w:rsidRPr="00095462">
        <w:rPr>
          <w:sz w:val="22"/>
          <w:szCs w:val="22"/>
          <w:lang w:val="en-AU" w:eastAsia="en-AU"/>
        </w:rPr>
        <w:t>the initial GF data</w:t>
      </w:r>
      <w:r w:rsidRPr="00095462">
        <w:rPr>
          <w:rFonts w:eastAsia="MS Mincho"/>
          <w:bCs/>
          <w:iCs/>
          <w:sz w:val="22"/>
          <w:szCs w:val="22"/>
          <w:lang w:eastAsia="ja-JP"/>
        </w:rPr>
        <w:t xml:space="preserve"> as follows:</w:t>
      </w:r>
    </w:p>
    <w:p w14:paraId="0538E199" w14:textId="77777777" w:rsidR="00F724E4" w:rsidRPr="00095462" w:rsidRDefault="00F724E4" w:rsidP="00F724E4">
      <w:pPr>
        <w:spacing w:before="120"/>
        <w:jc w:val="both"/>
        <w:rPr>
          <w:sz w:val="22"/>
          <w:szCs w:val="22"/>
          <w:lang w:val="en-AU" w:eastAsia="en-AU"/>
        </w:rPr>
      </w:pPr>
      <w:r w:rsidRPr="00095462">
        <w:rPr>
          <w:rFonts w:eastAsia="MS Mincho"/>
          <w:bCs/>
          <w:iCs/>
          <w:sz w:val="22"/>
          <w:szCs w:val="22"/>
          <w:lang w:eastAsia="ja-JP"/>
        </w:rPr>
        <w:t xml:space="preserve"> </w:t>
      </w:r>
      <m:oMath>
        <m:r>
          <w:rPr>
            <w:rFonts w:ascii="Cambria Math" w:hAnsi="Cambria Math"/>
            <w:sz w:val="22"/>
            <w:szCs w:val="22"/>
            <w:lang w:eastAsia="en-AU"/>
          </w:rPr>
          <m:t>GF-RNTI=</m:t>
        </m:r>
        <m:sSubSup>
          <m:sSubSupPr>
            <m:ctrlPr>
              <w:rPr>
                <w:rFonts w:ascii="Cambria Math" w:hAnsi="Cambria Math"/>
                <w:i/>
                <w:sz w:val="22"/>
                <w:szCs w:val="22"/>
                <w:lang w:eastAsia="en-AU"/>
              </w:rPr>
            </m:ctrlPr>
          </m:sSubSupPr>
          <m:e>
            <m:r>
              <w:rPr>
                <w:rFonts w:ascii="Cambria Math" w:hAnsi="Cambria Math"/>
                <w:sz w:val="22"/>
                <w:szCs w:val="22"/>
                <w:lang w:eastAsia="en-AU"/>
              </w:rPr>
              <m:t>N</m:t>
            </m:r>
          </m:e>
          <m:sub>
            <m:r>
              <m:rPr>
                <m:sty m:val="p"/>
              </m:rPr>
              <w:rPr>
                <w:rFonts w:ascii="Cambria Math" w:hAnsi="Cambria Math"/>
                <w:sz w:val="22"/>
                <w:szCs w:val="22"/>
                <w:lang w:eastAsia="en-AU"/>
              </w:rPr>
              <m:t>max⁡</m:t>
            </m:r>
            <m:r>
              <w:rPr>
                <w:rFonts w:ascii="Cambria Math" w:hAnsi="Cambria Math"/>
                <w:sz w:val="22"/>
                <w:szCs w:val="22"/>
                <w:lang w:eastAsia="en-AU"/>
              </w:rPr>
              <m:t>_Resource_GF</m:t>
            </m:r>
          </m:sub>
          <m:sup>
            <m:r>
              <w:rPr>
                <w:rFonts w:ascii="Cambria Math" w:hAnsi="Cambria Math"/>
                <w:sz w:val="22"/>
                <w:szCs w:val="22"/>
                <w:lang w:eastAsia="en-AU"/>
              </w:rPr>
              <m:t>UL</m:t>
            </m:r>
          </m:sup>
        </m:sSubSup>
        <m:r>
          <w:rPr>
            <w:rFonts w:ascii="Cambria Math" w:hAnsi="Cambria Math"/>
            <w:sz w:val="22"/>
            <w:szCs w:val="22"/>
            <w:lang w:eastAsia="en-AU"/>
          </w:rPr>
          <m:t>×RSindex+</m:t>
        </m:r>
        <m:sSub>
          <m:sSubPr>
            <m:ctrlPr>
              <w:rPr>
                <w:rFonts w:ascii="Cambria Math" w:hAnsi="Cambria Math"/>
                <w:i/>
                <w:sz w:val="22"/>
                <w:szCs w:val="22"/>
                <w:lang w:eastAsia="en-AU"/>
              </w:rPr>
            </m:ctrlPr>
          </m:sSubPr>
          <m:e>
            <m:r>
              <w:rPr>
                <w:rFonts w:ascii="Cambria Math" w:hAnsi="Cambria Math"/>
                <w:sz w:val="22"/>
                <w:szCs w:val="22"/>
                <w:lang w:eastAsia="en-AU"/>
              </w:rPr>
              <m:t>Resource_GF</m:t>
            </m:r>
          </m:e>
          <m:sub>
            <m:r>
              <w:rPr>
                <w:rFonts w:ascii="Cambria Math" w:hAnsi="Cambria Math"/>
                <w:sz w:val="22"/>
                <w:szCs w:val="22"/>
                <w:lang w:eastAsia="en-AU"/>
              </w:rPr>
              <m:t>index</m:t>
            </m:r>
          </m:sub>
        </m:sSub>
      </m:oMath>
      <w:r w:rsidRPr="00095462">
        <w:rPr>
          <w:sz w:val="22"/>
          <w:szCs w:val="22"/>
          <w:lang w:eastAsia="en-AU"/>
        </w:rPr>
        <w:t>+ Offset</w:t>
      </w:r>
      <w:r w:rsidRPr="00095462">
        <w:rPr>
          <w:sz w:val="22"/>
          <w:szCs w:val="22"/>
          <w:lang w:val="en-AU" w:eastAsia="en-AU"/>
        </w:rPr>
        <w:t xml:space="preserve">, </w:t>
      </w:r>
    </w:p>
    <w:p w14:paraId="7233665F" w14:textId="2486B279" w:rsidR="00F724E4" w:rsidRPr="00095462" w:rsidRDefault="00F724E4" w:rsidP="00F724E4">
      <w:pPr>
        <w:spacing w:before="120"/>
        <w:ind w:left="720"/>
        <w:jc w:val="both"/>
        <w:rPr>
          <w:sz w:val="22"/>
          <w:szCs w:val="22"/>
          <w:lang w:eastAsia="en-AU"/>
        </w:rPr>
      </w:pPr>
      <w:proofErr w:type="gramStart"/>
      <w:r w:rsidRPr="00095462">
        <w:rPr>
          <w:sz w:val="22"/>
          <w:szCs w:val="22"/>
          <w:lang w:val="en-AU" w:eastAsia="en-AU"/>
        </w:rPr>
        <w:t>where</w:t>
      </w:r>
      <w:proofErr w:type="gramEnd"/>
      <w:r w:rsidRPr="00095462">
        <w:rPr>
          <w:sz w:val="22"/>
          <w:szCs w:val="22"/>
          <w:lang w:val="en-AU" w:eastAsia="en-AU"/>
        </w:rPr>
        <w:t xml:space="preserve">  </w:t>
      </w:r>
      <m:oMath>
        <m:sSub>
          <m:sSubPr>
            <m:ctrlPr>
              <w:rPr>
                <w:rFonts w:ascii="Cambria Math" w:hAnsi="Cambria Math"/>
                <w:i/>
                <w:sz w:val="22"/>
                <w:szCs w:val="22"/>
                <w:lang w:eastAsia="en-AU"/>
              </w:rPr>
            </m:ctrlPr>
          </m:sSubPr>
          <m:e>
            <m:r>
              <w:rPr>
                <w:rFonts w:ascii="Cambria Math" w:hAnsi="Cambria Math"/>
                <w:sz w:val="22"/>
                <w:szCs w:val="22"/>
                <w:lang w:eastAsia="en-AU"/>
              </w:rPr>
              <m:t>RS</m:t>
            </m:r>
          </m:e>
          <m:sub>
            <m:r>
              <w:rPr>
                <w:rFonts w:ascii="Cambria Math" w:hAnsi="Cambria Math"/>
                <w:sz w:val="22"/>
                <w:szCs w:val="22"/>
                <w:lang w:eastAsia="en-AU"/>
              </w:rPr>
              <m:t>index</m:t>
            </m:r>
          </m:sub>
        </m:sSub>
      </m:oMath>
      <w:r w:rsidRPr="00095462">
        <w:rPr>
          <w:sz w:val="22"/>
          <w:szCs w:val="22"/>
          <w:lang w:eastAsia="en-AU"/>
        </w:rPr>
        <w:t xml:space="preserve"> is </w:t>
      </w:r>
      <w:r w:rsidRPr="00095462">
        <w:rPr>
          <w:sz w:val="22"/>
          <w:szCs w:val="22"/>
          <w:lang w:val="en-AU" w:eastAsia="en-AU"/>
        </w:rPr>
        <w:t>the UE specific RS sequence index,</w:t>
      </w:r>
      <m:oMath>
        <m:r>
          <w:rPr>
            <w:rFonts w:ascii="Cambria Math" w:hAnsi="Cambria Math"/>
            <w:sz w:val="22"/>
            <w:szCs w:val="22"/>
            <w:lang w:eastAsia="en-AU"/>
          </w:rPr>
          <m:t xml:space="preserve"> </m:t>
        </m:r>
        <m:sSubSup>
          <m:sSubSupPr>
            <m:ctrlPr>
              <w:rPr>
                <w:rFonts w:ascii="Cambria Math" w:hAnsi="Cambria Math"/>
                <w:i/>
                <w:sz w:val="22"/>
                <w:szCs w:val="22"/>
                <w:lang w:eastAsia="en-AU"/>
              </w:rPr>
            </m:ctrlPr>
          </m:sSubSupPr>
          <m:e>
            <m:r>
              <w:rPr>
                <w:rFonts w:ascii="Cambria Math" w:hAnsi="Cambria Math"/>
                <w:sz w:val="22"/>
                <w:szCs w:val="22"/>
                <w:lang w:eastAsia="en-AU"/>
              </w:rPr>
              <m:t>N</m:t>
            </m:r>
          </m:e>
          <m:sub>
            <m:r>
              <m:rPr>
                <m:sty m:val="p"/>
              </m:rPr>
              <w:rPr>
                <w:rFonts w:ascii="Cambria Math" w:hAnsi="Cambria Math"/>
                <w:sz w:val="22"/>
                <w:szCs w:val="22"/>
                <w:lang w:eastAsia="en-AU"/>
              </w:rPr>
              <m:t>max⁡</m:t>
            </m:r>
            <m:r>
              <w:rPr>
                <w:rFonts w:ascii="Cambria Math" w:hAnsi="Cambria Math"/>
                <w:sz w:val="22"/>
                <w:szCs w:val="22"/>
                <w:lang w:eastAsia="en-AU"/>
              </w:rPr>
              <m:t>_Resource_GF</m:t>
            </m:r>
          </m:sub>
          <m:sup>
            <m:r>
              <w:rPr>
                <w:rFonts w:ascii="Cambria Math" w:hAnsi="Cambria Math"/>
                <w:sz w:val="22"/>
                <w:szCs w:val="22"/>
                <w:lang w:eastAsia="en-AU"/>
              </w:rPr>
              <m:t>UL</m:t>
            </m:r>
          </m:sup>
        </m:sSubSup>
      </m:oMath>
      <w:r w:rsidRPr="00095462">
        <w:rPr>
          <w:sz w:val="22"/>
          <w:szCs w:val="22"/>
          <w:lang w:val="en-AU" w:eastAsia="en-AU"/>
        </w:rPr>
        <w:t xml:space="preserve"> is the maximum number of frequency-domain resources in the UL bandwidth put aside for grant free transmissions in a cell (cell-specific) and </w:t>
      </w:r>
      <m:oMath>
        <m:sSub>
          <m:sSubPr>
            <m:ctrlPr>
              <w:rPr>
                <w:rFonts w:ascii="Cambria Math" w:hAnsi="Cambria Math"/>
                <w:i/>
                <w:sz w:val="22"/>
                <w:szCs w:val="22"/>
                <w:lang w:eastAsia="en-AU"/>
              </w:rPr>
            </m:ctrlPr>
          </m:sSubPr>
          <m:e>
            <m:r>
              <w:rPr>
                <w:rFonts w:ascii="Cambria Math" w:hAnsi="Cambria Math"/>
                <w:sz w:val="22"/>
                <w:szCs w:val="22"/>
                <w:lang w:eastAsia="en-AU"/>
              </w:rPr>
              <m:t>Resource_GF</m:t>
            </m:r>
          </m:e>
          <m:sub>
            <m:r>
              <w:rPr>
                <w:rFonts w:ascii="Cambria Math" w:hAnsi="Cambria Math"/>
                <w:sz w:val="22"/>
                <w:szCs w:val="22"/>
                <w:lang w:eastAsia="en-AU"/>
              </w:rPr>
              <m:t>index</m:t>
            </m:r>
          </m:sub>
        </m:sSub>
      </m:oMath>
      <w:r w:rsidRPr="00095462">
        <w:rPr>
          <w:sz w:val="22"/>
          <w:szCs w:val="22"/>
          <w:lang w:eastAsia="en-AU"/>
        </w:rPr>
        <w:t xml:space="preserve"> is the index of the frequency-domain resource used for the recently detected UL grant-free data transmission. </w:t>
      </w:r>
      <m:oMath>
        <m:r>
          <w:rPr>
            <w:rFonts w:ascii="Cambria Math" w:hAnsi="Cambria Math"/>
            <w:sz w:val="22"/>
            <w:szCs w:val="22"/>
            <w:lang w:eastAsia="en-AU"/>
          </w:rPr>
          <m:t>Offset</m:t>
        </m:r>
      </m:oMath>
      <w:r w:rsidRPr="00095462">
        <w:rPr>
          <w:sz w:val="22"/>
          <w:szCs w:val="22"/>
          <w:lang w:eastAsia="en-AU"/>
        </w:rPr>
        <w:t xml:space="preserve"> </w:t>
      </w:r>
      <w:proofErr w:type="gramStart"/>
      <w:r w:rsidRPr="00095462">
        <w:rPr>
          <w:sz w:val="22"/>
          <w:szCs w:val="22"/>
          <w:lang w:eastAsia="en-AU"/>
        </w:rPr>
        <w:t>is</w:t>
      </w:r>
      <w:proofErr w:type="gramEnd"/>
      <w:r w:rsidRPr="00095462">
        <w:rPr>
          <w:sz w:val="22"/>
          <w:szCs w:val="22"/>
          <w:lang w:eastAsia="en-AU"/>
        </w:rPr>
        <w:t xml:space="preserve"> an additional offset value to position the GF_RNTI in to an allowable RNTI range, for example to avoid collision with the </w:t>
      </w:r>
      <w:r w:rsidR="007D288A">
        <w:rPr>
          <w:sz w:val="22"/>
          <w:szCs w:val="22"/>
          <w:lang w:eastAsia="en-AU"/>
        </w:rPr>
        <w:t xml:space="preserve">normal </w:t>
      </w:r>
      <w:r w:rsidRPr="00095462">
        <w:rPr>
          <w:sz w:val="22"/>
          <w:szCs w:val="22"/>
          <w:lang w:eastAsia="en-AU"/>
        </w:rPr>
        <w:t>UE ID range.</w:t>
      </w:r>
    </w:p>
    <w:p w14:paraId="38EB48C4" w14:textId="77777777" w:rsidR="00F724E4" w:rsidRPr="00095462" w:rsidRDefault="00F724E4" w:rsidP="00F724E4">
      <w:pPr>
        <w:spacing w:before="120"/>
        <w:jc w:val="both"/>
        <w:rPr>
          <w:sz w:val="22"/>
          <w:szCs w:val="22"/>
        </w:rPr>
      </w:pPr>
      <w:r w:rsidRPr="00095462">
        <w:rPr>
          <w:sz w:val="22"/>
          <w:szCs w:val="22"/>
          <w:lang w:eastAsia="en-AU"/>
        </w:rPr>
        <w:t>For</w:t>
      </w:r>
      <w:r w:rsidRPr="00095462">
        <w:rPr>
          <w:sz w:val="22"/>
          <w:szCs w:val="22"/>
          <w:lang w:val="en-AU" w:eastAsia="en-AU"/>
        </w:rPr>
        <w:t xml:space="preserve"> the case of GB transmission, a UE follows the scheduling command from the gNB where the HARQ process number is always included in the DCI format. However, for the case of GF transmission, a UE autonomously starts the grant-free transmission, so, a mechanism to determine the HARQ process number is necessary in order to align between UE and gNB. One way to determine the HARQ process number for GF transmissions is to pre-</w:t>
      </w:r>
      <w:r w:rsidRPr="00095462">
        <w:rPr>
          <w:sz w:val="22"/>
          <w:szCs w:val="22"/>
        </w:rPr>
        <w:t xml:space="preserve">allocate specific HARQ processes for GF transmissions via RRC configuration (i.e. similar to LTE SPS). For example two HARQ processes with numbers 0, 1 can be pre-allocated for GF transmissions, and the numbers can be derived from even or odd </w:t>
      </w:r>
      <w:r w:rsidRPr="00095462">
        <w:rPr>
          <w:i/>
          <w:sz w:val="22"/>
          <w:szCs w:val="22"/>
        </w:rPr>
        <w:t xml:space="preserve">indices </w:t>
      </w:r>
      <w:r w:rsidRPr="00095462">
        <w:rPr>
          <w:sz w:val="22"/>
          <w:szCs w:val="22"/>
        </w:rPr>
        <w:t xml:space="preserve">of the </w:t>
      </w:r>
      <w:r w:rsidRPr="00095462">
        <w:rPr>
          <w:i/>
          <w:sz w:val="22"/>
          <w:szCs w:val="22"/>
        </w:rPr>
        <w:t>slots</w:t>
      </w:r>
      <w:r w:rsidRPr="00095462">
        <w:rPr>
          <w:sz w:val="22"/>
          <w:szCs w:val="22"/>
        </w:rPr>
        <w:t xml:space="preserve"> or </w:t>
      </w:r>
      <w:r w:rsidRPr="00095462">
        <w:rPr>
          <w:i/>
          <w:sz w:val="22"/>
          <w:szCs w:val="22"/>
        </w:rPr>
        <w:t>pre-configured</w:t>
      </w:r>
      <w:r w:rsidRPr="00095462">
        <w:rPr>
          <w:sz w:val="22"/>
          <w:szCs w:val="22"/>
        </w:rPr>
        <w:t xml:space="preserve"> </w:t>
      </w:r>
      <w:r w:rsidRPr="00095462">
        <w:rPr>
          <w:i/>
          <w:sz w:val="22"/>
          <w:szCs w:val="22"/>
        </w:rPr>
        <w:t xml:space="preserve">resources </w:t>
      </w:r>
      <w:r w:rsidRPr="00095462">
        <w:rPr>
          <w:sz w:val="22"/>
          <w:szCs w:val="22"/>
        </w:rPr>
        <w:t xml:space="preserve">within a radio frame. It should be noted that this only derives the numbering of the HARQ processes for UL </w:t>
      </w:r>
      <w:r w:rsidRPr="00095462">
        <w:rPr>
          <w:sz w:val="22"/>
          <w:szCs w:val="22"/>
          <w:lang w:val="en-AU" w:eastAsia="en-AU"/>
        </w:rPr>
        <w:t xml:space="preserve">GF transmissions, but, an adaptive asynchronous HARQ mode can still be utilised where </w:t>
      </w:r>
      <w:proofErr w:type="spellStart"/>
      <w:r w:rsidRPr="00095462">
        <w:rPr>
          <w:sz w:val="22"/>
          <w:szCs w:val="22"/>
        </w:rPr>
        <w:t>gNB</w:t>
      </w:r>
      <w:proofErr w:type="spellEnd"/>
      <w:r w:rsidRPr="00095462">
        <w:rPr>
          <w:sz w:val="22"/>
          <w:szCs w:val="22"/>
        </w:rPr>
        <w:t xml:space="preserve"> can schedule </w:t>
      </w:r>
      <w:r w:rsidRPr="00095462">
        <w:rPr>
          <w:sz w:val="22"/>
          <w:szCs w:val="22"/>
          <w:lang w:val="en-AU" w:eastAsia="en-AU"/>
        </w:rPr>
        <w:t xml:space="preserve">the </w:t>
      </w:r>
      <w:r w:rsidRPr="00095462">
        <w:rPr>
          <w:sz w:val="22"/>
          <w:szCs w:val="22"/>
        </w:rPr>
        <w:t>retransmissions anywhere in the UL system bandwidth (i.e. not necessarily following the pre-configured UL resources for GF transmissions) as well as different slots in time.</w:t>
      </w:r>
    </w:p>
    <w:p w14:paraId="35536397" w14:textId="77777777" w:rsidR="00F724E4" w:rsidRPr="00095462" w:rsidRDefault="00F724E4" w:rsidP="00F724E4">
      <w:pPr>
        <w:spacing w:before="120"/>
        <w:jc w:val="both"/>
        <w:rPr>
          <w:sz w:val="22"/>
          <w:szCs w:val="22"/>
        </w:rPr>
      </w:pPr>
      <w:r w:rsidRPr="00095462">
        <w:rPr>
          <w:sz w:val="22"/>
          <w:szCs w:val="22"/>
        </w:rPr>
        <w:t xml:space="preserve">In addition, it should be noted that the GB transmissions can utilize all HARQ processes when there is no active UL </w:t>
      </w:r>
      <w:r w:rsidRPr="00095462">
        <w:rPr>
          <w:sz w:val="22"/>
          <w:szCs w:val="22"/>
          <w:lang w:val="en-AU" w:eastAsia="en-AU"/>
        </w:rPr>
        <w:t xml:space="preserve">GF transmissions, and this is assumed to be under the gNB control. However, in case </w:t>
      </w:r>
      <w:r w:rsidRPr="00095462">
        <w:rPr>
          <w:sz w:val="22"/>
          <w:szCs w:val="22"/>
          <w:lang w:eastAsia="ja-JP"/>
        </w:rPr>
        <w:t xml:space="preserve">UE needs to use a particular HARQ process number for a GF transmission (because the HARQ process number for GF is determined by the timing of the GF transmission), and that HARQ process is already in use for a GB transmission, </w:t>
      </w:r>
      <w:r w:rsidRPr="00095462">
        <w:rPr>
          <w:sz w:val="22"/>
          <w:szCs w:val="22"/>
          <w:lang w:val="en-AU" w:eastAsia="en-AU"/>
        </w:rPr>
        <w:t xml:space="preserve">then UE should prioritise the HARQ process with GF transmission and abandon the GB HARQ process. </w:t>
      </w:r>
      <w:r w:rsidRPr="00095462">
        <w:rPr>
          <w:sz w:val="22"/>
          <w:szCs w:val="22"/>
        </w:rPr>
        <w:t xml:space="preserve"> </w:t>
      </w:r>
    </w:p>
    <w:p w14:paraId="5B207045" w14:textId="725C2FE7" w:rsidR="00F724E4" w:rsidRPr="00095462" w:rsidRDefault="00F724E4" w:rsidP="00F724E4">
      <w:pPr>
        <w:spacing w:before="120"/>
        <w:jc w:val="both"/>
        <w:rPr>
          <w:b/>
          <w:i/>
          <w:sz w:val="22"/>
          <w:szCs w:val="22"/>
        </w:rPr>
      </w:pPr>
      <w:r w:rsidRPr="00095462">
        <w:rPr>
          <w:b/>
          <w:i/>
          <w:sz w:val="22"/>
          <w:szCs w:val="22"/>
          <w:lang w:val="en-AU"/>
        </w:rPr>
        <w:lastRenderedPageBreak/>
        <w:t xml:space="preserve">Proposal </w:t>
      </w:r>
      <w:r>
        <w:rPr>
          <w:b/>
          <w:i/>
          <w:sz w:val="22"/>
          <w:szCs w:val="22"/>
          <w:lang w:val="en-AU"/>
        </w:rPr>
        <w:t>3</w:t>
      </w:r>
      <w:r w:rsidRPr="00095462">
        <w:rPr>
          <w:b/>
          <w:i/>
          <w:sz w:val="22"/>
          <w:szCs w:val="22"/>
        </w:rPr>
        <w:t xml:space="preserve">: </w:t>
      </w:r>
      <w:r w:rsidRPr="00095462">
        <w:rPr>
          <w:b/>
          <w:i/>
          <w:sz w:val="22"/>
          <w:szCs w:val="22"/>
          <w:lang w:val="en-AU" w:eastAsia="en-AU"/>
        </w:rPr>
        <w:t>The HARQ processes for GB and GF transmissions</w:t>
      </w:r>
      <w:r w:rsidRPr="00095462">
        <w:rPr>
          <w:b/>
          <w:i/>
          <w:sz w:val="22"/>
          <w:szCs w:val="22"/>
        </w:rPr>
        <w:t xml:space="preserve"> can be identified based on the RNTI used for masking the DCI.</w:t>
      </w:r>
    </w:p>
    <w:p w14:paraId="067FEDCC" w14:textId="76AF2663" w:rsidR="00F724E4" w:rsidRPr="00095462" w:rsidRDefault="00F724E4" w:rsidP="00F724E4">
      <w:pPr>
        <w:spacing w:before="120"/>
        <w:jc w:val="both"/>
        <w:rPr>
          <w:b/>
          <w:i/>
          <w:sz w:val="22"/>
          <w:szCs w:val="22"/>
          <w:lang w:val="en-AU" w:eastAsia="en-AU"/>
        </w:rPr>
      </w:pPr>
      <w:r>
        <w:rPr>
          <w:b/>
          <w:i/>
          <w:sz w:val="22"/>
          <w:szCs w:val="22"/>
          <w:lang w:val="en-AU"/>
        </w:rPr>
        <w:t>Proposal 4</w:t>
      </w:r>
      <w:r w:rsidRPr="00095462">
        <w:rPr>
          <w:b/>
          <w:i/>
          <w:sz w:val="22"/>
          <w:szCs w:val="22"/>
        </w:rPr>
        <w:t xml:space="preserve">: A new </w:t>
      </w:r>
      <w:r w:rsidRPr="00095462">
        <w:rPr>
          <w:b/>
          <w:i/>
          <w:sz w:val="22"/>
          <w:szCs w:val="22"/>
          <w:lang w:val="en-AU" w:eastAsia="en-AU"/>
        </w:rPr>
        <w:t xml:space="preserve">GF-RNTI should be introduced for UL grant-free retransmissions which </w:t>
      </w:r>
      <w:r w:rsidRPr="00095462">
        <w:rPr>
          <w:b/>
          <w:i/>
          <w:sz w:val="22"/>
          <w:szCs w:val="22"/>
        </w:rPr>
        <w:t xml:space="preserve">can be derived from </w:t>
      </w:r>
      <w:r w:rsidRPr="00095462">
        <w:rPr>
          <w:b/>
          <w:i/>
          <w:sz w:val="22"/>
          <w:szCs w:val="22"/>
          <w:lang w:val="en-AU" w:eastAsia="en-AU"/>
        </w:rPr>
        <w:t xml:space="preserve">the </w:t>
      </w:r>
      <w:r w:rsidRPr="00095462">
        <w:rPr>
          <w:rFonts w:eastAsia="MS Mincho"/>
          <w:b/>
          <w:bCs/>
          <w:i/>
          <w:iCs/>
          <w:sz w:val="22"/>
          <w:szCs w:val="22"/>
          <w:lang w:eastAsia="ja-JP"/>
        </w:rPr>
        <w:t>frequency-domain resources and RS sequence index</w:t>
      </w:r>
      <w:r w:rsidRPr="00095462">
        <w:rPr>
          <w:b/>
          <w:i/>
          <w:sz w:val="22"/>
          <w:szCs w:val="22"/>
          <w:lang w:val="en-AU" w:eastAsia="en-AU"/>
        </w:rPr>
        <w:t>.</w:t>
      </w:r>
    </w:p>
    <w:p w14:paraId="2CE61CA4" w14:textId="77777777" w:rsidR="00DA361B" w:rsidRDefault="00DA361B" w:rsidP="00095462">
      <w:pPr>
        <w:rPr>
          <w:lang w:val="en-AU" w:eastAsia="en-AU"/>
        </w:rPr>
      </w:pPr>
    </w:p>
    <w:p w14:paraId="12E579F3" w14:textId="77777777" w:rsidR="00DA361B" w:rsidRPr="00095462" w:rsidRDefault="00DA361B" w:rsidP="00095462">
      <w:pPr>
        <w:rPr>
          <w:lang w:val="en-AU" w:eastAsia="en-AU"/>
        </w:rPr>
      </w:pPr>
    </w:p>
    <w:p w14:paraId="5782664A" w14:textId="77777777" w:rsidR="00012620" w:rsidRPr="000F158A" w:rsidRDefault="00012620" w:rsidP="00012620">
      <w:pPr>
        <w:pStyle w:val="Heading1"/>
        <w:spacing w:after="120"/>
        <w:jc w:val="both"/>
        <w:rPr>
          <w:sz w:val="22"/>
          <w:szCs w:val="22"/>
          <w:lang w:val="en-AU" w:eastAsia="en-AU"/>
        </w:rPr>
      </w:pPr>
      <w:r w:rsidRPr="000F158A">
        <w:rPr>
          <w:sz w:val="22"/>
          <w:szCs w:val="22"/>
          <w:lang w:val="en-AU" w:eastAsia="en-AU"/>
        </w:rPr>
        <w:t>Conclusion</w:t>
      </w:r>
    </w:p>
    <w:p w14:paraId="15A46BA0" w14:textId="535E225F" w:rsidR="00BE359F" w:rsidRDefault="00012620" w:rsidP="00052C53">
      <w:pPr>
        <w:pStyle w:val="paratdoc"/>
      </w:pPr>
      <w:r w:rsidRPr="00FF0902">
        <w:t xml:space="preserve">In summary, </w:t>
      </w:r>
      <w:r w:rsidR="00EB4AA7">
        <w:t>we propose:</w:t>
      </w:r>
    </w:p>
    <w:p w14:paraId="3196BAEC" w14:textId="48BDAA54" w:rsidR="00607512" w:rsidRPr="005F0417" w:rsidRDefault="00607512" w:rsidP="00607512">
      <w:pPr>
        <w:spacing w:before="240" w:after="60"/>
        <w:jc w:val="both"/>
        <w:rPr>
          <w:b/>
          <w:bCs/>
          <w:i/>
          <w:sz w:val="22"/>
          <w:szCs w:val="22"/>
          <w:lang w:val="en-AU" w:eastAsia="en-AU"/>
        </w:rPr>
      </w:pPr>
      <w:r w:rsidRPr="005F0417">
        <w:rPr>
          <w:b/>
          <w:i/>
          <w:sz w:val="22"/>
          <w:szCs w:val="22"/>
        </w:rPr>
        <w:t>Proposal 1:</w:t>
      </w:r>
      <w:r w:rsidRPr="005F0417">
        <w:rPr>
          <w:b/>
          <w:bCs/>
          <w:i/>
          <w:sz w:val="22"/>
          <w:szCs w:val="22"/>
          <w:lang w:val="en-AU" w:eastAsia="en-AU"/>
        </w:rPr>
        <w:t xml:space="preserve"> </w:t>
      </w:r>
      <w:r w:rsidR="00C3346A">
        <w:rPr>
          <w:b/>
          <w:bCs/>
          <w:i/>
          <w:sz w:val="22"/>
          <w:szCs w:val="22"/>
          <w:lang w:val="en-AU" w:eastAsia="en-AU"/>
        </w:rPr>
        <w:t>M</w:t>
      </w:r>
      <w:r w:rsidRPr="005F0417">
        <w:rPr>
          <w:b/>
          <w:bCs/>
          <w:i/>
          <w:sz w:val="22"/>
          <w:szCs w:val="22"/>
          <w:lang w:val="en-AU" w:eastAsia="en-AU"/>
        </w:rPr>
        <w:t xml:space="preserve">ultiple time-frequency resources </w:t>
      </w:r>
      <w:r w:rsidR="00C3346A" w:rsidRPr="00C3346A">
        <w:rPr>
          <w:b/>
          <w:bCs/>
          <w:i/>
          <w:sz w:val="22"/>
          <w:szCs w:val="22"/>
          <w:lang w:val="en-AU" w:eastAsia="en-AU"/>
        </w:rPr>
        <w:t xml:space="preserve">occurring with a single periodicity </w:t>
      </w:r>
      <w:r w:rsidRPr="005F0417">
        <w:rPr>
          <w:b/>
          <w:bCs/>
          <w:i/>
          <w:sz w:val="22"/>
          <w:szCs w:val="22"/>
          <w:lang w:val="en-AU" w:eastAsia="en-AU"/>
        </w:rPr>
        <w:t xml:space="preserve">could be configured for grant-free transmission of a UE.  </w:t>
      </w:r>
    </w:p>
    <w:p w14:paraId="1632A17D" w14:textId="770C1F51" w:rsidR="00F724E4" w:rsidRPr="005F0417" w:rsidRDefault="00F724E4" w:rsidP="00F724E4">
      <w:pPr>
        <w:spacing w:before="240" w:after="60"/>
        <w:jc w:val="both"/>
        <w:rPr>
          <w:b/>
          <w:bCs/>
          <w:i/>
          <w:sz w:val="22"/>
          <w:szCs w:val="22"/>
          <w:lang w:val="en-AU" w:eastAsia="en-AU"/>
        </w:rPr>
      </w:pPr>
      <w:r w:rsidRPr="005F0417">
        <w:rPr>
          <w:b/>
          <w:bCs/>
          <w:i/>
          <w:sz w:val="22"/>
          <w:szCs w:val="22"/>
          <w:lang w:val="en-AU" w:eastAsia="en-AU"/>
        </w:rPr>
        <w:t xml:space="preserve">Proposal 2: UE identification </w:t>
      </w:r>
      <w:r w:rsidR="00584603" w:rsidRPr="005F0417">
        <w:rPr>
          <w:b/>
          <w:bCs/>
          <w:i/>
          <w:sz w:val="22"/>
          <w:szCs w:val="22"/>
          <w:lang w:val="en-AU" w:eastAsia="en-AU"/>
        </w:rPr>
        <w:t xml:space="preserve">is </w:t>
      </w:r>
      <w:r w:rsidRPr="005F0417">
        <w:rPr>
          <w:b/>
          <w:bCs/>
          <w:i/>
          <w:sz w:val="22"/>
          <w:szCs w:val="22"/>
          <w:lang w:val="en-AU" w:eastAsia="en-AU"/>
        </w:rPr>
        <w:t>supported by:</w:t>
      </w:r>
    </w:p>
    <w:p w14:paraId="2F69F2EE" w14:textId="77777777" w:rsidR="00F724E4" w:rsidRPr="00095462" w:rsidRDefault="00F724E4" w:rsidP="00095462">
      <w:pPr>
        <w:pStyle w:val="ListParagraph"/>
        <w:numPr>
          <w:ilvl w:val="0"/>
          <w:numId w:val="55"/>
        </w:numPr>
        <w:spacing w:before="240" w:after="60"/>
        <w:jc w:val="both"/>
        <w:rPr>
          <w:rFonts w:ascii="Times New Roman" w:hAnsi="Times New Roman"/>
          <w:b/>
          <w:bCs/>
          <w:i/>
        </w:rPr>
      </w:pPr>
      <w:r w:rsidRPr="00095462">
        <w:rPr>
          <w:rFonts w:ascii="Times New Roman" w:hAnsi="Times New Roman"/>
          <w:b/>
          <w:bCs/>
          <w:i/>
        </w:rPr>
        <w:t>Masking CRC of the data transmitted in PUSCH with the UE ID and using a special scrambling code for data in PUSCH transmission and/or</w:t>
      </w:r>
    </w:p>
    <w:p w14:paraId="0E9968FC" w14:textId="7BD092B8" w:rsidR="00F724E4" w:rsidRPr="00095462" w:rsidRDefault="00584603" w:rsidP="00095462">
      <w:pPr>
        <w:pStyle w:val="ListParagraph"/>
        <w:numPr>
          <w:ilvl w:val="0"/>
          <w:numId w:val="55"/>
        </w:numPr>
        <w:spacing w:before="240" w:after="60"/>
        <w:jc w:val="both"/>
        <w:rPr>
          <w:rFonts w:ascii="Times New Roman" w:hAnsi="Times New Roman"/>
          <w:b/>
          <w:bCs/>
          <w:i/>
        </w:rPr>
      </w:pPr>
      <w:r w:rsidRPr="00095462">
        <w:rPr>
          <w:rFonts w:ascii="Times New Roman" w:hAnsi="Times New Roman"/>
          <w:b/>
          <w:bCs/>
          <w:i/>
        </w:rPr>
        <w:t>Differentiable DMRS sequences</w:t>
      </w:r>
      <w:r w:rsidR="00F724E4" w:rsidRPr="00095462">
        <w:rPr>
          <w:rFonts w:ascii="Times New Roman" w:hAnsi="Times New Roman"/>
          <w:b/>
          <w:bCs/>
          <w:i/>
        </w:rPr>
        <w:t>.</w:t>
      </w:r>
    </w:p>
    <w:p w14:paraId="187C9B5D" w14:textId="77777777" w:rsidR="00F724E4" w:rsidRPr="00095462" w:rsidRDefault="00F724E4" w:rsidP="00095462">
      <w:pPr>
        <w:spacing w:before="120"/>
        <w:jc w:val="both"/>
        <w:rPr>
          <w:b/>
          <w:i/>
        </w:rPr>
      </w:pPr>
      <w:r w:rsidRPr="00095462">
        <w:rPr>
          <w:b/>
          <w:i/>
          <w:sz w:val="22"/>
          <w:szCs w:val="22"/>
          <w:lang w:val="en-AU"/>
        </w:rPr>
        <w:t>Proposal 3</w:t>
      </w:r>
      <w:r w:rsidRPr="00095462">
        <w:rPr>
          <w:b/>
          <w:i/>
          <w:sz w:val="22"/>
          <w:szCs w:val="22"/>
        </w:rPr>
        <w:t xml:space="preserve">: </w:t>
      </w:r>
      <w:r w:rsidRPr="00095462">
        <w:rPr>
          <w:b/>
          <w:i/>
          <w:sz w:val="22"/>
          <w:szCs w:val="22"/>
          <w:lang w:val="en-AU" w:eastAsia="en-AU"/>
        </w:rPr>
        <w:t>The HARQ processes for GB and GF transmissions</w:t>
      </w:r>
      <w:r w:rsidRPr="00095462">
        <w:rPr>
          <w:b/>
          <w:i/>
          <w:sz w:val="22"/>
          <w:szCs w:val="22"/>
        </w:rPr>
        <w:t xml:space="preserve"> can be identified based on the RNTI used for masking the DCI.</w:t>
      </w:r>
    </w:p>
    <w:p w14:paraId="7F610FEE" w14:textId="77777777" w:rsidR="00F724E4" w:rsidRPr="00095462" w:rsidRDefault="00F724E4" w:rsidP="00095462">
      <w:pPr>
        <w:spacing w:before="120"/>
        <w:jc w:val="both"/>
        <w:rPr>
          <w:b/>
          <w:i/>
        </w:rPr>
      </w:pPr>
      <w:r w:rsidRPr="00095462">
        <w:rPr>
          <w:b/>
          <w:i/>
          <w:sz w:val="22"/>
          <w:szCs w:val="22"/>
        </w:rPr>
        <w:t xml:space="preserve">Proposal 4: A new GF-RNTI should be introduced for UL grant-free retransmissions which can be derived from the </w:t>
      </w:r>
      <w:r w:rsidRPr="00095462">
        <w:rPr>
          <w:rFonts w:eastAsia="MS Mincho"/>
          <w:b/>
          <w:bCs/>
          <w:i/>
          <w:iCs/>
          <w:sz w:val="22"/>
          <w:szCs w:val="22"/>
          <w:lang w:eastAsia="ja-JP"/>
        </w:rPr>
        <w:t>frequency-domain resources and RS sequence index</w:t>
      </w:r>
      <w:r w:rsidRPr="00095462">
        <w:rPr>
          <w:b/>
          <w:i/>
          <w:sz w:val="22"/>
          <w:szCs w:val="22"/>
        </w:rPr>
        <w:t>.</w:t>
      </w:r>
    </w:p>
    <w:p w14:paraId="51C88F69" w14:textId="77777777" w:rsidR="00F724E4" w:rsidRDefault="00F724E4" w:rsidP="00607512">
      <w:pPr>
        <w:spacing w:before="240" w:after="60"/>
        <w:jc w:val="both"/>
        <w:rPr>
          <w:b/>
          <w:bCs/>
          <w:i/>
          <w:sz w:val="22"/>
          <w:szCs w:val="22"/>
          <w:lang w:val="en-AU" w:eastAsia="en-AU"/>
        </w:rPr>
      </w:pPr>
    </w:p>
    <w:p w14:paraId="00456AB0" w14:textId="77777777" w:rsidR="00012620" w:rsidRPr="000F158A" w:rsidRDefault="00012620" w:rsidP="0001262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14:paraId="584F90CA" w14:textId="05DC2CB2" w:rsidR="002C76AC" w:rsidRPr="00012620" w:rsidRDefault="00981CE5" w:rsidP="00C61A24">
      <w:pPr>
        <w:pStyle w:val="ListParagraph"/>
        <w:numPr>
          <w:ilvl w:val="0"/>
          <w:numId w:val="17"/>
        </w:numPr>
        <w:jc w:val="both"/>
      </w:pPr>
      <w:r w:rsidRPr="00981CE5">
        <w:t>RAN1 Chairman’s Notes, RAN1 NR Ad-Hoc#2, Qingdao, P.R. China, 27th – 30th June 2017</w:t>
      </w:r>
    </w:p>
    <w:sectPr w:rsidR="002C76AC" w:rsidRPr="00012620"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605C0" w14:textId="77777777" w:rsidR="006A451F" w:rsidRDefault="006A451F" w:rsidP="00537E71">
      <w:r>
        <w:separator/>
      </w:r>
    </w:p>
  </w:endnote>
  <w:endnote w:type="continuationSeparator" w:id="0">
    <w:p w14:paraId="43C6DC10" w14:textId="77777777" w:rsidR="006A451F" w:rsidRDefault="006A451F"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878675"/>
      <w:docPartObj>
        <w:docPartGallery w:val="Page Numbers (Bottom of Page)"/>
        <w:docPartUnique/>
      </w:docPartObj>
    </w:sdtPr>
    <w:sdtEndPr>
      <w:rPr>
        <w:noProof/>
        <w:sz w:val="20"/>
        <w:szCs w:val="20"/>
      </w:rPr>
    </w:sdtEndPr>
    <w:sdtContent>
      <w:p w14:paraId="681C713A" w14:textId="1815E625"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6F4A0D">
          <w:rPr>
            <w:noProof/>
            <w:sz w:val="20"/>
            <w:szCs w:val="20"/>
          </w:rPr>
          <w:t>1</w:t>
        </w:r>
        <w:r w:rsidRPr="00537E71">
          <w:rPr>
            <w:noProof/>
            <w:sz w:val="20"/>
            <w:szCs w:val="20"/>
          </w:rPr>
          <w:fldChar w:fldCharType="end"/>
        </w:r>
        <w:r w:rsidRPr="00537E71">
          <w:rPr>
            <w:noProof/>
            <w:sz w:val="20"/>
            <w:szCs w:val="20"/>
          </w:rPr>
          <w:t>/</w:t>
        </w:r>
        <w:r w:rsidR="003B7C3E">
          <w:rPr>
            <w:noProof/>
            <w:sz w:val="20"/>
            <w:szCs w:val="20"/>
          </w:rPr>
          <w:t>2</w:t>
        </w:r>
      </w:p>
    </w:sdtContent>
  </w:sdt>
  <w:p w14:paraId="26309CDB" w14:textId="77777777"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61155" w14:textId="77777777" w:rsidR="006A451F" w:rsidRDefault="006A451F" w:rsidP="00537E71">
      <w:r>
        <w:separator/>
      </w:r>
    </w:p>
  </w:footnote>
  <w:footnote w:type="continuationSeparator" w:id="0">
    <w:p w14:paraId="6338E98E" w14:textId="77777777" w:rsidR="006A451F" w:rsidRDefault="006A451F"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485BD3"/>
    <w:multiLevelType w:val="hybridMultilevel"/>
    <w:tmpl w:val="F90CE70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5558CD"/>
    <w:multiLevelType w:val="hybridMultilevel"/>
    <w:tmpl w:val="04046A72"/>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6941BED"/>
    <w:multiLevelType w:val="hybridMultilevel"/>
    <w:tmpl w:val="8B7CB57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F7101BE"/>
    <w:multiLevelType w:val="hybridMultilevel"/>
    <w:tmpl w:val="1DFA7BB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28B220C"/>
    <w:multiLevelType w:val="hybridMultilevel"/>
    <w:tmpl w:val="990250EC"/>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946837"/>
    <w:multiLevelType w:val="hybridMultilevel"/>
    <w:tmpl w:val="FF96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22D332DF"/>
    <w:multiLevelType w:val="hybridMultilevel"/>
    <w:tmpl w:val="A118B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B124EC"/>
    <w:multiLevelType w:val="hybridMultilevel"/>
    <w:tmpl w:val="3FC624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7773515"/>
    <w:multiLevelType w:val="hybridMultilevel"/>
    <w:tmpl w:val="594E73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EC7D49"/>
    <w:multiLevelType w:val="hybridMultilevel"/>
    <w:tmpl w:val="8BC21A9E"/>
    <w:lvl w:ilvl="0" w:tplc="AAF27A34">
      <w:start w:val="1"/>
      <w:numFmt w:val="bullet"/>
      <w:lvlText w:val="•"/>
      <w:lvlJc w:val="left"/>
      <w:pPr>
        <w:tabs>
          <w:tab w:val="num" w:pos="360"/>
        </w:tabs>
        <w:ind w:left="360" w:hanging="360"/>
      </w:pPr>
      <w:rPr>
        <w:rFonts w:ascii="Arial" w:hAnsi="Aria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B420ADC4">
      <w:start w:val="87"/>
      <w:numFmt w:val="bullet"/>
      <w:lvlText w:val="•"/>
      <w:lvlJc w:val="left"/>
      <w:pPr>
        <w:tabs>
          <w:tab w:val="num" w:pos="1800"/>
        </w:tabs>
        <w:ind w:left="1800" w:hanging="360"/>
      </w:pPr>
      <w:rPr>
        <w:rFonts w:ascii="Arial" w:hAnsi="Arial" w:cs="Times New Roman" w:hint="default"/>
      </w:rPr>
    </w:lvl>
    <w:lvl w:ilvl="3" w:tplc="CB4A4E98">
      <w:start w:val="1"/>
      <w:numFmt w:val="bullet"/>
      <w:lvlText w:val="•"/>
      <w:lvlJc w:val="left"/>
      <w:pPr>
        <w:tabs>
          <w:tab w:val="num" w:pos="2520"/>
        </w:tabs>
        <w:ind w:left="2520" w:hanging="360"/>
      </w:pPr>
      <w:rPr>
        <w:rFonts w:ascii="Arial" w:hAnsi="Arial" w:cs="Times New Roman" w:hint="default"/>
      </w:rPr>
    </w:lvl>
    <w:lvl w:ilvl="4" w:tplc="887ED2C4">
      <w:start w:val="1"/>
      <w:numFmt w:val="bullet"/>
      <w:lvlText w:val="•"/>
      <w:lvlJc w:val="left"/>
      <w:pPr>
        <w:tabs>
          <w:tab w:val="num" w:pos="3240"/>
        </w:tabs>
        <w:ind w:left="3240" w:hanging="360"/>
      </w:pPr>
      <w:rPr>
        <w:rFonts w:ascii="Arial" w:hAnsi="Arial" w:cs="Times New Roman" w:hint="default"/>
      </w:rPr>
    </w:lvl>
    <w:lvl w:ilvl="5" w:tplc="657A7EC2">
      <w:start w:val="1"/>
      <w:numFmt w:val="bullet"/>
      <w:lvlText w:val="•"/>
      <w:lvlJc w:val="left"/>
      <w:pPr>
        <w:tabs>
          <w:tab w:val="num" w:pos="3960"/>
        </w:tabs>
        <w:ind w:left="3960" w:hanging="360"/>
      </w:pPr>
      <w:rPr>
        <w:rFonts w:ascii="Arial" w:hAnsi="Arial" w:cs="Times New Roman" w:hint="default"/>
      </w:rPr>
    </w:lvl>
    <w:lvl w:ilvl="6" w:tplc="7E8C25E2">
      <w:start w:val="1"/>
      <w:numFmt w:val="bullet"/>
      <w:lvlText w:val="•"/>
      <w:lvlJc w:val="left"/>
      <w:pPr>
        <w:tabs>
          <w:tab w:val="num" w:pos="4680"/>
        </w:tabs>
        <w:ind w:left="4680" w:hanging="360"/>
      </w:pPr>
      <w:rPr>
        <w:rFonts w:ascii="Arial" w:hAnsi="Arial" w:cs="Times New Roman" w:hint="default"/>
      </w:rPr>
    </w:lvl>
    <w:lvl w:ilvl="7" w:tplc="95E267D0">
      <w:start w:val="1"/>
      <w:numFmt w:val="bullet"/>
      <w:lvlText w:val="•"/>
      <w:lvlJc w:val="left"/>
      <w:pPr>
        <w:tabs>
          <w:tab w:val="num" w:pos="5400"/>
        </w:tabs>
        <w:ind w:left="5400" w:hanging="360"/>
      </w:pPr>
      <w:rPr>
        <w:rFonts w:ascii="Arial" w:hAnsi="Arial" w:cs="Times New Roman" w:hint="default"/>
      </w:rPr>
    </w:lvl>
    <w:lvl w:ilvl="8" w:tplc="0DD29936">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30B01C4B"/>
    <w:multiLevelType w:val="hybridMultilevel"/>
    <w:tmpl w:val="4D169C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52B620A"/>
    <w:multiLevelType w:val="hybridMultilevel"/>
    <w:tmpl w:val="A652FFE8"/>
    <w:lvl w:ilvl="0" w:tplc="0C090001">
      <w:start w:val="1"/>
      <w:numFmt w:val="bullet"/>
      <w:lvlText w:val=""/>
      <w:lvlJc w:val="left"/>
      <w:pPr>
        <w:ind w:left="828" w:hanging="360"/>
      </w:pPr>
      <w:rPr>
        <w:rFonts w:ascii="Symbol" w:hAnsi="Symbol" w:hint="default"/>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26"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C8206E2"/>
    <w:multiLevelType w:val="hybridMultilevel"/>
    <w:tmpl w:val="9832578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9"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3FBB3741"/>
    <w:multiLevelType w:val="hybridMultilevel"/>
    <w:tmpl w:val="C8224404"/>
    <w:lvl w:ilvl="0" w:tplc="C44418C0">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8966C0B"/>
    <w:multiLevelType w:val="hybridMultilevel"/>
    <w:tmpl w:val="7EF283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DC71482"/>
    <w:multiLevelType w:val="hybridMultilevel"/>
    <w:tmpl w:val="E2C2B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4AC146D"/>
    <w:multiLevelType w:val="hybridMultilevel"/>
    <w:tmpl w:val="80F002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8841B69"/>
    <w:multiLevelType w:val="hybridMultilevel"/>
    <w:tmpl w:val="EA403D48"/>
    <w:lvl w:ilvl="0" w:tplc="B9AEE7F2">
      <w:numFmt w:val="bullet"/>
      <w:lvlText w:val=""/>
      <w:lvlJc w:val="left"/>
      <w:pPr>
        <w:ind w:left="720" w:hanging="360"/>
      </w:pPr>
      <w:rPr>
        <w:rFonts w:ascii="Symbol" w:eastAsia="Calibri"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8"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2F58B6"/>
    <w:multiLevelType w:val="hybridMultilevel"/>
    <w:tmpl w:val="50786434"/>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0E9A9136">
      <w:start w:val="1186"/>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B7C726B"/>
    <w:multiLevelType w:val="hybridMultilevel"/>
    <w:tmpl w:val="72F47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5D112D2A"/>
    <w:multiLevelType w:val="hybridMultilevel"/>
    <w:tmpl w:val="AD368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5D236036"/>
    <w:multiLevelType w:val="hybridMultilevel"/>
    <w:tmpl w:val="A8762706"/>
    <w:lvl w:ilvl="0" w:tplc="08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5E8A29AD"/>
    <w:multiLevelType w:val="hybridMultilevel"/>
    <w:tmpl w:val="0CE2A2D0"/>
    <w:lvl w:ilvl="0" w:tplc="8D70734A">
      <w:start w:val="1"/>
      <w:numFmt w:val="bullet"/>
      <w:lvlText w:val=""/>
      <w:lvlJc w:val="left"/>
      <w:pPr>
        <w:tabs>
          <w:tab w:val="num" w:pos="720"/>
        </w:tabs>
        <w:ind w:left="720" w:hanging="360"/>
      </w:pPr>
      <w:rPr>
        <w:rFonts w:ascii="Wingdings" w:hAnsi="Wingdings" w:hint="default"/>
      </w:rPr>
    </w:lvl>
    <w:lvl w:ilvl="1" w:tplc="5984827E">
      <w:start w:val="148"/>
      <w:numFmt w:val="bullet"/>
      <w:lvlText w:val="–"/>
      <w:lvlJc w:val="left"/>
      <w:pPr>
        <w:tabs>
          <w:tab w:val="num" w:pos="1440"/>
        </w:tabs>
        <w:ind w:left="1440" w:hanging="360"/>
      </w:pPr>
      <w:rPr>
        <w:rFonts w:ascii="Arial" w:hAnsi="Arial" w:hint="default"/>
      </w:rPr>
    </w:lvl>
    <w:lvl w:ilvl="2" w:tplc="7D047D80">
      <w:start w:val="148"/>
      <w:numFmt w:val="bullet"/>
      <w:lvlText w:val="•"/>
      <w:lvlJc w:val="left"/>
      <w:pPr>
        <w:tabs>
          <w:tab w:val="num" w:pos="2160"/>
        </w:tabs>
        <w:ind w:left="2160" w:hanging="360"/>
      </w:pPr>
      <w:rPr>
        <w:rFonts w:ascii="Arial" w:hAnsi="Arial" w:hint="default"/>
      </w:rPr>
    </w:lvl>
    <w:lvl w:ilvl="3" w:tplc="2CC86920" w:tentative="1">
      <w:start w:val="1"/>
      <w:numFmt w:val="bullet"/>
      <w:lvlText w:val=""/>
      <w:lvlJc w:val="left"/>
      <w:pPr>
        <w:tabs>
          <w:tab w:val="num" w:pos="2880"/>
        </w:tabs>
        <w:ind w:left="2880" w:hanging="360"/>
      </w:pPr>
      <w:rPr>
        <w:rFonts w:ascii="Wingdings" w:hAnsi="Wingdings" w:hint="default"/>
      </w:rPr>
    </w:lvl>
    <w:lvl w:ilvl="4" w:tplc="89389B04" w:tentative="1">
      <w:start w:val="1"/>
      <w:numFmt w:val="bullet"/>
      <w:lvlText w:val=""/>
      <w:lvlJc w:val="left"/>
      <w:pPr>
        <w:tabs>
          <w:tab w:val="num" w:pos="3600"/>
        </w:tabs>
        <w:ind w:left="3600" w:hanging="360"/>
      </w:pPr>
      <w:rPr>
        <w:rFonts w:ascii="Wingdings" w:hAnsi="Wingdings" w:hint="default"/>
      </w:rPr>
    </w:lvl>
    <w:lvl w:ilvl="5" w:tplc="80585534" w:tentative="1">
      <w:start w:val="1"/>
      <w:numFmt w:val="bullet"/>
      <w:lvlText w:val=""/>
      <w:lvlJc w:val="left"/>
      <w:pPr>
        <w:tabs>
          <w:tab w:val="num" w:pos="4320"/>
        </w:tabs>
        <w:ind w:left="4320" w:hanging="360"/>
      </w:pPr>
      <w:rPr>
        <w:rFonts w:ascii="Wingdings" w:hAnsi="Wingdings" w:hint="default"/>
      </w:rPr>
    </w:lvl>
    <w:lvl w:ilvl="6" w:tplc="3E64F208" w:tentative="1">
      <w:start w:val="1"/>
      <w:numFmt w:val="bullet"/>
      <w:lvlText w:val=""/>
      <w:lvlJc w:val="left"/>
      <w:pPr>
        <w:tabs>
          <w:tab w:val="num" w:pos="5040"/>
        </w:tabs>
        <w:ind w:left="5040" w:hanging="360"/>
      </w:pPr>
      <w:rPr>
        <w:rFonts w:ascii="Wingdings" w:hAnsi="Wingdings" w:hint="default"/>
      </w:rPr>
    </w:lvl>
    <w:lvl w:ilvl="7" w:tplc="A70ABD7A" w:tentative="1">
      <w:start w:val="1"/>
      <w:numFmt w:val="bullet"/>
      <w:lvlText w:val=""/>
      <w:lvlJc w:val="left"/>
      <w:pPr>
        <w:tabs>
          <w:tab w:val="num" w:pos="5760"/>
        </w:tabs>
        <w:ind w:left="5760" w:hanging="360"/>
      </w:pPr>
      <w:rPr>
        <w:rFonts w:ascii="Wingdings" w:hAnsi="Wingdings" w:hint="default"/>
      </w:rPr>
    </w:lvl>
    <w:lvl w:ilvl="8" w:tplc="A1D889E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C24F14"/>
    <w:multiLevelType w:val="hybridMultilevel"/>
    <w:tmpl w:val="13EED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60183931"/>
    <w:multiLevelType w:val="hybridMultilevel"/>
    <w:tmpl w:val="91363C3C"/>
    <w:lvl w:ilvl="0" w:tplc="F2F89A1E">
      <w:start w:val="5"/>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66B047B6"/>
    <w:multiLevelType w:val="hybridMultilevel"/>
    <w:tmpl w:val="A3B61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6E8D5A5D"/>
    <w:multiLevelType w:val="hybridMultilevel"/>
    <w:tmpl w:val="4942FFD6"/>
    <w:lvl w:ilvl="0" w:tplc="DA74339C">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0610E34"/>
    <w:multiLevelType w:val="hybridMultilevel"/>
    <w:tmpl w:val="28D00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16E5C6B"/>
    <w:multiLevelType w:val="hybridMultilevel"/>
    <w:tmpl w:val="27D0C1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71E239B5"/>
    <w:multiLevelType w:val="hybridMultilevel"/>
    <w:tmpl w:val="125805FC"/>
    <w:lvl w:ilvl="0" w:tplc="08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773E49EE"/>
    <w:multiLevelType w:val="hybridMultilevel"/>
    <w:tmpl w:val="C870F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22"/>
  </w:num>
  <w:num w:numId="3">
    <w:abstractNumId w:val="3"/>
  </w:num>
  <w:num w:numId="4">
    <w:abstractNumId w:val="18"/>
  </w:num>
  <w:num w:numId="5">
    <w:abstractNumId w:val="27"/>
  </w:num>
  <w:num w:numId="6">
    <w:abstractNumId w:val="11"/>
  </w:num>
  <w:num w:numId="7">
    <w:abstractNumId w:val="50"/>
  </w:num>
  <w:num w:numId="8">
    <w:abstractNumId w:val="1"/>
  </w:num>
  <w:num w:numId="9">
    <w:abstractNumId w:val="15"/>
  </w:num>
  <w:num w:numId="10">
    <w:abstractNumId w:val="24"/>
  </w:num>
  <w:num w:numId="11">
    <w:abstractNumId w:val="39"/>
  </w:num>
  <w:num w:numId="12">
    <w:abstractNumId w:val="6"/>
  </w:num>
  <w:num w:numId="13">
    <w:abstractNumId w:val="54"/>
  </w:num>
  <w:num w:numId="14">
    <w:abstractNumId w:val="46"/>
  </w:num>
  <w:num w:numId="15">
    <w:abstractNumId w:val="32"/>
  </w:num>
  <w:num w:numId="16">
    <w:abstractNumId w:val="4"/>
  </w:num>
  <w:num w:numId="17">
    <w:abstractNumId w:val="29"/>
  </w:num>
  <w:num w:numId="18">
    <w:abstractNumId w:val="19"/>
  </w:num>
  <w:num w:numId="19">
    <w:abstractNumId w:val="26"/>
  </w:num>
  <w:num w:numId="20">
    <w:abstractNumId w:val="14"/>
  </w:num>
  <w:num w:numId="21">
    <w:abstractNumId w:val="23"/>
  </w:num>
  <w:num w:numId="22">
    <w:abstractNumId w:val="20"/>
  </w:num>
  <w:num w:numId="23">
    <w:abstractNumId w:val="0"/>
  </w:num>
  <w:num w:numId="24">
    <w:abstractNumId w:val="9"/>
  </w:num>
  <w:num w:numId="25">
    <w:abstractNumId w:val="36"/>
  </w:num>
  <w:num w:numId="26">
    <w:abstractNumId w:val="49"/>
  </w:num>
  <w:num w:numId="27">
    <w:abstractNumId w:val="53"/>
  </w:num>
  <w:num w:numId="28">
    <w:abstractNumId w:val="41"/>
  </w:num>
  <w:num w:numId="29">
    <w:abstractNumId w:val="16"/>
  </w:num>
  <w:num w:numId="30">
    <w:abstractNumId w:val="35"/>
  </w:num>
  <w:num w:numId="31">
    <w:abstractNumId w:val="17"/>
  </w:num>
  <w:num w:numId="32">
    <w:abstractNumId w:val="10"/>
  </w:num>
  <w:num w:numId="33">
    <w:abstractNumId w:val="5"/>
  </w:num>
  <w:num w:numId="34">
    <w:abstractNumId w:val="51"/>
  </w:num>
  <w:num w:numId="35">
    <w:abstractNumId w:val="44"/>
  </w:num>
  <w:num w:numId="36">
    <w:abstractNumId w:val="47"/>
  </w:num>
  <w:num w:numId="37">
    <w:abstractNumId w:val="21"/>
  </w:num>
  <w:num w:numId="38">
    <w:abstractNumId w:val="33"/>
  </w:num>
  <w:num w:numId="39">
    <w:abstractNumId w:val="28"/>
  </w:num>
  <w:num w:numId="40">
    <w:abstractNumId w:val="8"/>
  </w:num>
  <w:num w:numId="41">
    <w:abstractNumId w:val="31"/>
  </w:num>
  <w:num w:numId="42">
    <w:abstractNumId w:val="40"/>
  </w:num>
  <w:num w:numId="43">
    <w:abstractNumId w:val="25"/>
  </w:num>
  <w:num w:numId="44">
    <w:abstractNumId w:val="12"/>
  </w:num>
  <w:num w:numId="45">
    <w:abstractNumId w:val="30"/>
  </w:num>
  <w:num w:numId="46">
    <w:abstractNumId w:val="43"/>
  </w:num>
  <w:num w:numId="47">
    <w:abstractNumId w:val="37"/>
  </w:num>
  <w:num w:numId="48">
    <w:abstractNumId w:val="7"/>
  </w:num>
  <w:num w:numId="49">
    <w:abstractNumId w:val="34"/>
  </w:num>
  <w:num w:numId="50">
    <w:abstractNumId w:val="38"/>
  </w:num>
  <w:num w:numId="51">
    <w:abstractNumId w:val="45"/>
  </w:num>
  <w:num w:numId="52">
    <w:abstractNumId w:val="2"/>
  </w:num>
  <w:num w:numId="53">
    <w:abstractNumId w:val="48"/>
  </w:num>
  <w:num w:numId="54">
    <w:abstractNumId w:val="42"/>
  </w:num>
  <w:num w:numId="55">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45A9"/>
    <w:rsid w:val="000059C7"/>
    <w:rsid w:val="00006008"/>
    <w:rsid w:val="00007353"/>
    <w:rsid w:val="000100ED"/>
    <w:rsid w:val="00012286"/>
    <w:rsid w:val="00012620"/>
    <w:rsid w:val="00020745"/>
    <w:rsid w:val="0002134D"/>
    <w:rsid w:val="00022D7B"/>
    <w:rsid w:val="000241B6"/>
    <w:rsid w:val="000252C7"/>
    <w:rsid w:val="00033824"/>
    <w:rsid w:val="00037C0D"/>
    <w:rsid w:val="00040C03"/>
    <w:rsid w:val="000413E6"/>
    <w:rsid w:val="000413E7"/>
    <w:rsid w:val="00043263"/>
    <w:rsid w:val="000479BC"/>
    <w:rsid w:val="00052C53"/>
    <w:rsid w:val="00056F51"/>
    <w:rsid w:val="000572A3"/>
    <w:rsid w:val="000621B5"/>
    <w:rsid w:val="00063CBD"/>
    <w:rsid w:val="00064886"/>
    <w:rsid w:val="00066736"/>
    <w:rsid w:val="00070716"/>
    <w:rsid w:val="00071AC4"/>
    <w:rsid w:val="00073367"/>
    <w:rsid w:val="00074D94"/>
    <w:rsid w:val="00077429"/>
    <w:rsid w:val="00080F64"/>
    <w:rsid w:val="00084820"/>
    <w:rsid w:val="00084A61"/>
    <w:rsid w:val="00084E1D"/>
    <w:rsid w:val="00090B2B"/>
    <w:rsid w:val="0009429E"/>
    <w:rsid w:val="00095462"/>
    <w:rsid w:val="000965DC"/>
    <w:rsid w:val="00096B99"/>
    <w:rsid w:val="00096EC1"/>
    <w:rsid w:val="000973F6"/>
    <w:rsid w:val="000A1118"/>
    <w:rsid w:val="000A233E"/>
    <w:rsid w:val="000A25E5"/>
    <w:rsid w:val="000A390F"/>
    <w:rsid w:val="000A6CBB"/>
    <w:rsid w:val="000B4FC3"/>
    <w:rsid w:val="000B5E42"/>
    <w:rsid w:val="000B7718"/>
    <w:rsid w:val="000C00EA"/>
    <w:rsid w:val="000C018A"/>
    <w:rsid w:val="000C18F6"/>
    <w:rsid w:val="000C23DD"/>
    <w:rsid w:val="000C389D"/>
    <w:rsid w:val="000C437E"/>
    <w:rsid w:val="000C5788"/>
    <w:rsid w:val="000C7258"/>
    <w:rsid w:val="000C793D"/>
    <w:rsid w:val="000C7AE4"/>
    <w:rsid w:val="000D0756"/>
    <w:rsid w:val="000D079C"/>
    <w:rsid w:val="000E1AFC"/>
    <w:rsid w:val="000E2E4A"/>
    <w:rsid w:val="000E5175"/>
    <w:rsid w:val="000E6879"/>
    <w:rsid w:val="000F158A"/>
    <w:rsid w:val="000F15D6"/>
    <w:rsid w:val="000F1BF0"/>
    <w:rsid w:val="000F2CE9"/>
    <w:rsid w:val="000F2DD5"/>
    <w:rsid w:val="000F4EEC"/>
    <w:rsid w:val="000F6695"/>
    <w:rsid w:val="00100732"/>
    <w:rsid w:val="00103DC8"/>
    <w:rsid w:val="00106FED"/>
    <w:rsid w:val="00111437"/>
    <w:rsid w:val="0012284E"/>
    <w:rsid w:val="0012581A"/>
    <w:rsid w:val="001270DF"/>
    <w:rsid w:val="00134258"/>
    <w:rsid w:val="00135377"/>
    <w:rsid w:val="00135EEF"/>
    <w:rsid w:val="00136892"/>
    <w:rsid w:val="00136991"/>
    <w:rsid w:val="00144758"/>
    <w:rsid w:val="001447E5"/>
    <w:rsid w:val="001449F9"/>
    <w:rsid w:val="00146C64"/>
    <w:rsid w:val="001545A9"/>
    <w:rsid w:val="00156460"/>
    <w:rsid w:val="00157C3C"/>
    <w:rsid w:val="00170E62"/>
    <w:rsid w:val="00171BD3"/>
    <w:rsid w:val="001758DE"/>
    <w:rsid w:val="0017727B"/>
    <w:rsid w:val="00183A18"/>
    <w:rsid w:val="00190889"/>
    <w:rsid w:val="00190B38"/>
    <w:rsid w:val="00195650"/>
    <w:rsid w:val="001A0C26"/>
    <w:rsid w:val="001A43D4"/>
    <w:rsid w:val="001A62A1"/>
    <w:rsid w:val="001B0CDB"/>
    <w:rsid w:val="001B2ED3"/>
    <w:rsid w:val="001B39EA"/>
    <w:rsid w:val="001B55CD"/>
    <w:rsid w:val="001B61B4"/>
    <w:rsid w:val="001B7061"/>
    <w:rsid w:val="001C086E"/>
    <w:rsid w:val="001C151A"/>
    <w:rsid w:val="001C2B5C"/>
    <w:rsid w:val="001C384D"/>
    <w:rsid w:val="001C522E"/>
    <w:rsid w:val="001C5AFF"/>
    <w:rsid w:val="001D0EA3"/>
    <w:rsid w:val="001D260D"/>
    <w:rsid w:val="001D2783"/>
    <w:rsid w:val="001E02F6"/>
    <w:rsid w:val="001E0797"/>
    <w:rsid w:val="001E2073"/>
    <w:rsid w:val="001E28D5"/>
    <w:rsid w:val="001E3561"/>
    <w:rsid w:val="001E6D90"/>
    <w:rsid w:val="001F1DFA"/>
    <w:rsid w:val="001F429A"/>
    <w:rsid w:val="001F6BEC"/>
    <w:rsid w:val="002011A1"/>
    <w:rsid w:val="002017E8"/>
    <w:rsid w:val="00201B2C"/>
    <w:rsid w:val="002025CD"/>
    <w:rsid w:val="0020661B"/>
    <w:rsid w:val="002107E3"/>
    <w:rsid w:val="002118E8"/>
    <w:rsid w:val="00211EDD"/>
    <w:rsid w:val="00212166"/>
    <w:rsid w:val="00213011"/>
    <w:rsid w:val="002142FB"/>
    <w:rsid w:val="00214DED"/>
    <w:rsid w:val="002204FB"/>
    <w:rsid w:val="00222D5E"/>
    <w:rsid w:val="002276C5"/>
    <w:rsid w:val="002277ED"/>
    <w:rsid w:val="00233200"/>
    <w:rsid w:val="00234503"/>
    <w:rsid w:val="0023600E"/>
    <w:rsid w:val="00240180"/>
    <w:rsid w:val="0024263C"/>
    <w:rsid w:val="00245F41"/>
    <w:rsid w:val="002542E3"/>
    <w:rsid w:val="00255203"/>
    <w:rsid w:val="00256399"/>
    <w:rsid w:val="00256778"/>
    <w:rsid w:val="002643DA"/>
    <w:rsid w:val="0026456C"/>
    <w:rsid w:val="002700A4"/>
    <w:rsid w:val="0027212B"/>
    <w:rsid w:val="002724FB"/>
    <w:rsid w:val="002755FE"/>
    <w:rsid w:val="002810AD"/>
    <w:rsid w:val="00284B8D"/>
    <w:rsid w:val="00286584"/>
    <w:rsid w:val="00295972"/>
    <w:rsid w:val="00295D9A"/>
    <w:rsid w:val="002A27EE"/>
    <w:rsid w:val="002A42C1"/>
    <w:rsid w:val="002B0CC2"/>
    <w:rsid w:val="002B2ABC"/>
    <w:rsid w:val="002B2C43"/>
    <w:rsid w:val="002B4AE4"/>
    <w:rsid w:val="002C2981"/>
    <w:rsid w:val="002C5BEE"/>
    <w:rsid w:val="002C76AC"/>
    <w:rsid w:val="002D315A"/>
    <w:rsid w:val="002E4388"/>
    <w:rsid w:val="002E4B09"/>
    <w:rsid w:val="002F1AD9"/>
    <w:rsid w:val="002F419F"/>
    <w:rsid w:val="002F4683"/>
    <w:rsid w:val="002F52E8"/>
    <w:rsid w:val="002F5A67"/>
    <w:rsid w:val="002F64DB"/>
    <w:rsid w:val="002F7C28"/>
    <w:rsid w:val="00300111"/>
    <w:rsid w:val="00303B06"/>
    <w:rsid w:val="00310331"/>
    <w:rsid w:val="0031251D"/>
    <w:rsid w:val="00312581"/>
    <w:rsid w:val="0031414C"/>
    <w:rsid w:val="00316A59"/>
    <w:rsid w:val="003227CE"/>
    <w:rsid w:val="00324928"/>
    <w:rsid w:val="003250D8"/>
    <w:rsid w:val="00327E99"/>
    <w:rsid w:val="00334CCC"/>
    <w:rsid w:val="00335778"/>
    <w:rsid w:val="003405A4"/>
    <w:rsid w:val="00343CBB"/>
    <w:rsid w:val="003475F9"/>
    <w:rsid w:val="00347D08"/>
    <w:rsid w:val="003527C8"/>
    <w:rsid w:val="0035427F"/>
    <w:rsid w:val="0035566D"/>
    <w:rsid w:val="00356BEE"/>
    <w:rsid w:val="00361F55"/>
    <w:rsid w:val="00363412"/>
    <w:rsid w:val="00363670"/>
    <w:rsid w:val="00363D21"/>
    <w:rsid w:val="00363F36"/>
    <w:rsid w:val="00364DB3"/>
    <w:rsid w:val="0037079A"/>
    <w:rsid w:val="00373E78"/>
    <w:rsid w:val="00374AFD"/>
    <w:rsid w:val="003757C8"/>
    <w:rsid w:val="00385E58"/>
    <w:rsid w:val="003A013F"/>
    <w:rsid w:val="003A13A6"/>
    <w:rsid w:val="003A2689"/>
    <w:rsid w:val="003A324D"/>
    <w:rsid w:val="003A394B"/>
    <w:rsid w:val="003A3D66"/>
    <w:rsid w:val="003A4473"/>
    <w:rsid w:val="003A4623"/>
    <w:rsid w:val="003B12CD"/>
    <w:rsid w:val="003B3E2E"/>
    <w:rsid w:val="003B6D6D"/>
    <w:rsid w:val="003B7C3E"/>
    <w:rsid w:val="003C0FE0"/>
    <w:rsid w:val="003C538C"/>
    <w:rsid w:val="003D010A"/>
    <w:rsid w:val="003D487D"/>
    <w:rsid w:val="003D4FFC"/>
    <w:rsid w:val="003D61A1"/>
    <w:rsid w:val="003D7CA4"/>
    <w:rsid w:val="003E11BF"/>
    <w:rsid w:val="003F21AD"/>
    <w:rsid w:val="003F4055"/>
    <w:rsid w:val="003F603C"/>
    <w:rsid w:val="003F62B7"/>
    <w:rsid w:val="00403D55"/>
    <w:rsid w:val="004044BE"/>
    <w:rsid w:val="004107C3"/>
    <w:rsid w:val="00411516"/>
    <w:rsid w:val="00413BD2"/>
    <w:rsid w:val="00413C33"/>
    <w:rsid w:val="00414A38"/>
    <w:rsid w:val="00415C33"/>
    <w:rsid w:val="00416E90"/>
    <w:rsid w:val="00417A8D"/>
    <w:rsid w:val="0042275D"/>
    <w:rsid w:val="004244A7"/>
    <w:rsid w:val="00426DDE"/>
    <w:rsid w:val="00427C83"/>
    <w:rsid w:val="004333A5"/>
    <w:rsid w:val="004452EF"/>
    <w:rsid w:val="004465CF"/>
    <w:rsid w:val="0046112B"/>
    <w:rsid w:val="00466C0E"/>
    <w:rsid w:val="0047170C"/>
    <w:rsid w:val="00471FA6"/>
    <w:rsid w:val="00473DF7"/>
    <w:rsid w:val="0048169B"/>
    <w:rsid w:val="00483ACD"/>
    <w:rsid w:val="004841C9"/>
    <w:rsid w:val="00485A9A"/>
    <w:rsid w:val="00495CC7"/>
    <w:rsid w:val="00496F96"/>
    <w:rsid w:val="004A5493"/>
    <w:rsid w:val="004A6506"/>
    <w:rsid w:val="004A6EE2"/>
    <w:rsid w:val="004B17E5"/>
    <w:rsid w:val="004B6A7A"/>
    <w:rsid w:val="004C0F81"/>
    <w:rsid w:val="004D1F37"/>
    <w:rsid w:val="004D4785"/>
    <w:rsid w:val="004D52E8"/>
    <w:rsid w:val="004D6B52"/>
    <w:rsid w:val="004E03D2"/>
    <w:rsid w:val="004E297D"/>
    <w:rsid w:val="004E5423"/>
    <w:rsid w:val="004E71F8"/>
    <w:rsid w:val="004E7831"/>
    <w:rsid w:val="004F57F2"/>
    <w:rsid w:val="004F5DDA"/>
    <w:rsid w:val="004F76C9"/>
    <w:rsid w:val="00500466"/>
    <w:rsid w:val="005014DF"/>
    <w:rsid w:val="0050791A"/>
    <w:rsid w:val="00511D2A"/>
    <w:rsid w:val="00514E2C"/>
    <w:rsid w:val="00515512"/>
    <w:rsid w:val="00517078"/>
    <w:rsid w:val="00517524"/>
    <w:rsid w:val="00520BF8"/>
    <w:rsid w:val="00521281"/>
    <w:rsid w:val="005226F2"/>
    <w:rsid w:val="005237EA"/>
    <w:rsid w:val="00524121"/>
    <w:rsid w:val="0053338F"/>
    <w:rsid w:val="00535CB8"/>
    <w:rsid w:val="005363FF"/>
    <w:rsid w:val="00536CEE"/>
    <w:rsid w:val="00537E71"/>
    <w:rsid w:val="00543388"/>
    <w:rsid w:val="00544477"/>
    <w:rsid w:val="00554BF0"/>
    <w:rsid w:val="00561931"/>
    <w:rsid w:val="005678B7"/>
    <w:rsid w:val="00574529"/>
    <w:rsid w:val="0057595B"/>
    <w:rsid w:val="00583A6D"/>
    <w:rsid w:val="00584603"/>
    <w:rsid w:val="00587632"/>
    <w:rsid w:val="005903BF"/>
    <w:rsid w:val="005953E6"/>
    <w:rsid w:val="005A222E"/>
    <w:rsid w:val="005A3645"/>
    <w:rsid w:val="005B0DEC"/>
    <w:rsid w:val="005B41D7"/>
    <w:rsid w:val="005C62C8"/>
    <w:rsid w:val="005D1CEB"/>
    <w:rsid w:val="005D31EE"/>
    <w:rsid w:val="005D4B8B"/>
    <w:rsid w:val="005D5C0A"/>
    <w:rsid w:val="005D6D5A"/>
    <w:rsid w:val="005D7ED0"/>
    <w:rsid w:val="005E18FB"/>
    <w:rsid w:val="005E2A0C"/>
    <w:rsid w:val="005E4E07"/>
    <w:rsid w:val="005E5943"/>
    <w:rsid w:val="005E603F"/>
    <w:rsid w:val="005E6C3B"/>
    <w:rsid w:val="005E7D84"/>
    <w:rsid w:val="005F0417"/>
    <w:rsid w:val="005F0590"/>
    <w:rsid w:val="005F1D3A"/>
    <w:rsid w:val="005F4DF4"/>
    <w:rsid w:val="005F4F83"/>
    <w:rsid w:val="005F5693"/>
    <w:rsid w:val="005F56F2"/>
    <w:rsid w:val="00600F00"/>
    <w:rsid w:val="006013E3"/>
    <w:rsid w:val="0060267D"/>
    <w:rsid w:val="006065FC"/>
    <w:rsid w:val="00607512"/>
    <w:rsid w:val="00611884"/>
    <w:rsid w:val="00611AEE"/>
    <w:rsid w:val="00612CE5"/>
    <w:rsid w:val="0061472F"/>
    <w:rsid w:val="00614770"/>
    <w:rsid w:val="00614845"/>
    <w:rsid w:val="006170F2"/>
    <w:rsid w:val="00617132"/>
    <w:rsid w:val="00617787"/>
    <w:rsid w:val="00617A25"/>
    <w:rsid w:val="00624497"/>
    <w:rsid w:val="00626859"/>
    <w:rsid w:val="006320A2"/>
    <w:rsid w:val="00632F19"/>
    <w:rsid w:val="00640634"/>
    <w:rsid w:val="006437B0"/>
    <w:rsid w:val="00645AE8"/>
    <w:rsid w:val="00647C97"/>
    <w:rsid w:val="006634CC"/>
    <w:rsid w:val="0067002C"/>
    <w:rsid w:val="006729C7"/>
    <w:rsid w:val="0067477F"/>
    <w:rsid w:val="0067725C"/>
    <w:rsid w:val="00681A4C"/>
    <w:rsid w:val="0068569F"/>
    <w:rsid w:val="0068748F"/>
    <w:rsid w:val="006874F4"/>
    <w:rsid w:val="00690117"/>
    <w:rsid w:val="0069088F"/>
    <w:rsid w:val="00691E73"/>
    <w:rsid w:val="0069263A"/>
    <w:rsid w:val="00692F08"/>
    <w:rsid w:val="006953DF"/>
    <w:rsid w:val="0069713E"/>
    <w:rsid w:val="00697725"/>
    <w:rsid w:val="006A0313"/>
    <w:rsid w:val="006A0CC1"/>
    <w:rsid w:val="006A0EA2"/>
    <w:rsid w:val="006A1D8B"/>
    <w:rsid w:val="006A451F"/>
    <w:rsid w:val="006A5630"/>
    <w:rsid w:val="006A58ED"/>
    <w:rsid w:val="006A6221"/>
    <w:rsid w:val="006A713E"/>
    <w:rsid w:val="006B5ECA"/>
    <w:rsid w:val="006C1108"/>
    <w:rsid w:val="006C3F1F"/>
    <w:rsid w:val="006D19C9"/>
    <w:rsid w:val="006D22F7"/>
    <w:rsid w:val="006D2B42"/>
    <w:rsid w:val="006D3166"/>
    <w:rsid w:val="006D56AC"/>
    <w:rsid w:val="006D57BA"/>
    <w:rsid w:val="006E2C6F"/>
    <w:rsid w:val="006E45AE"/>
    <w:rsid w:val="006E653E"/>
    <w:rsid w:val="006F4A0D"/>
    <w:rsid w:val="006F6E8D"/>
    <w:rsid w:val="006F7FAB"/>
    <w:rsid w:val="00703C85"/>
    <w:rsid w:val="0071122E"/>
    <w:rsid w:val="0071277C"/>
    <w:rsid w:val="007237E2"/>
    <w:rsid w:val="0072662E"/>
    <w:rsid w:val="007278B7"/>
    <w:rsid w:val="00732521"/>
    <w:rsid w:val="007363F8"/>
    <w:rsid w:val="0073683A"/>
    <w:rsid w:val="007368B2"/>
    <w:rsid w:val="00736B4E"/>
    <w:rsid w:val="007371F1"/>
    <w:rsid w:val="00741B92"/>
    <w:rsid w:val="00746D20"/>
    <w:rsid w:val="00747EB6"/>
    <w:rsid w:val="00752163"/>
    <w:rsid w:val="00756928"/>
    <w:rsid w:val="00763E34"/>
    <w:rsid w:val="007702C9"/>
    <w:rsid w:val="0077483C"/>
    <w:rsid w:val="00776FF3"/>
    <w:rsid w:val="00786446"/>
    <w:rsid w:val="0079059D"/>
    <w:rsid w:val="0079114C"/>
    <w:rsid w:val="00791A14"/>
    <w:rsid w:val="00791AC2"/>
    <w:rsid w:val="007923B7"/>
    <w:rsid w:val="00796B45"/>
    <w:rsid w:val="00796EBC"/>
    <w:rsid w:val="00797BFA"/>
    <w:rsid w:val="007A028B"/>
    <w:rsid w:val="007A1CF5"/>
    <w:rsid w:val="007A3D5A"/>
    <w:rsid w:val="007A3DAA"/>
    <w:rsid w:val="007A4968"/>
    <w:rsid w:val="007A5DBA"/>
    <w:rsid w:val="007B08EF"/>
    <w:rsid w:val="007B1EEE"/>
    <w:rsid w:val="007B3CBD"/>
    <w:rsid w:val="007C042F"/>
    <w:rsid w:val="007C33A9"/>
    <w:rsid w:val="007D0669"/>
    <w:rsid w:val="007D0A60"/>
    <w:rsid w:val="007D288A"/>
    <w:rsid w:val="007D2ABB"/>
    <w:rsid w:val="007D539F"/>
    <w:rsid w:val="007E0202"/>
    <w:rsid w:val="007E03EA"/>
    <w:rsid w:val="007E0B13"/>
    <w:rsid w:val="007E13D1"/>
    <w:rsid w:val="007E26BC"/>
    <w:rsid w:val="007E3CD2"/>
    <w:rsid w:val="007E6F22"/>
    <w:rsid w:val="007F2FD5"/>
    <w:rsid w:val="007F4A0A"/>
    <w:rsid w:val="007F7AD4"/>
    <w:rsid w:val="00800181"/>
    <w:rsid w:val="008029A3"/>
    <w:rsid w:val="0080596B"/>
    <w:rsid w:val="008118F4"/>
    <w:rsid w:val="0081249C"/>
    <w:rsid w:val="00814695"/>
    <w:rsid w:val="0081481F"/>
    <w:rsid w:val="0081797E"/>
    <w:rsid w:val="00825F64"/>
    <w:rsid w:val="008274CB"/>
    <w:rsid w:val="0083442C"/>
    <w:rsid w:val="008368C8"/>
    <w:rsid w:val="00841F6A"/>
    <w:rsid w:val="0084257B"/>
    <w:rsid w:val="0084290B"/>
    <w:rsid w:val="00850CA6"/>
    <w:rsid w:val="00856AC0"/>
    <w:rsid w:val="00857213"/>
    <w:rsid w:val="0085747A"/>
    <w:rsid w:val="00860D49"/>
    <w:rsid w:val="0086213D"/>
    <w:rsid w:val="008626ED"/>
    <w:rsid w:val="008651A6"/>
    <w:rsid w:val="008701EF"/>
    <w:rsid w:val="008707B6"/>
    <w:rsid w:val="00871657"/>
    <w:rsid w:val="008722B8"/>
    <w:rsid w:val="008744C0"/>
    <w:rsid w:val="00876EDC"/>
    <w:rsid w:val="008773C7"/>
    <w:rsid w:val="00891305"/>
    <w:rsid w:val="00894DE0"/>
    <w:rsid w:val="00895E9A"/>
    <w:rsid w:val="008A0DC8"/>
    <w:rsid w:val="008A1CED"/>
    <w:rsid w:val="008A4691"/>
    <w:rsid w:val="008B5D42"/>
    <w:rsid w:val="008B7C07"/>
    <w:rsid w:val="008C038D"/>
    <w:rsid w:val="008C0E1E"/>
    <w:rsid w:val="008C1D50"/>
    <w:rsid w:val="008C1FD4"/>
    <w:rsid w:val="008C5288"/>
    <w:rsid w:val="008C7026"/>
    <w:rsid w:val="008D2325"/>
    <w:rsid w:val="008D4D3D"/>
    <w:rsid w:val="008D4F22"/>
    <w:rsid w:val="008D6519"/>
    <w:rsid w:val="008F385D"/>
    <w:rsid w:val="008F67AD"/>
    <w:rsid w:val="008F6C07"/>
    <w:rsid w:val="00901198"/>
    <w:rsid w:val="00901B3B"/>
    <w:rsid w:val="0090285D"/>
    <w:rsid w:val="00904A68"/>
    <w:rsid w:val="00905DF7"/>
    <w:rsid w:val="00907F18"/>
    <w:rsid w:val="00916869"/>
    <w:rsid w:val="009174FA"/>
    <w:rsid w:val="009226CC"/>
    <w:rsid w:val="00925069"/>
    <w:rsid w:val="00927F8D"/>
    <w:rsid w:val="00934ABF"/>
    <w:rsid w:val="00934F73"/>
    <w:rsid w:val="0093647D"/>
    <w:rsid w:val="00937414"/>
    <w:rsid w:val="0093799E"/>
    <w:rsid w:val="00937DE3"/>
    <w:rsid w:val="0094473D"/>
    <w:rsid w:val="00946FDD"/>
    <w:rsid w:val="00951C5A"/>
    <w:rsid w:val="00952304"/>
    <w:rsid w:val="0095549A"/>
    <w:rsid w:val="00956352"/>
    <w:rsid w:val="0096234D"/>
    <w:rsid w:val="0096492F"/>
    <w:rsid w:val="009668DF"/>
    <w:rsid w:val="0096755B"/>
    <w:rsid w:val="00971CD8"/>
    <w:rsid w:val="00971CF9"/>
    <w:rsid w:val="00974632"/>
    <w:rsid w:val="00976EBF"/>
    <w:rsid w:val="00981CE5"/>
    <w:rsid w:val="009847A4"/>
    <w:rsid w:val="00991FA3"/>
    <w:rsid w:val="00992B14"/>
    <w:rsid w:val="00995E13"/>
    <w:rsid w:val="009966D8"/>
    <w:rsid w:val="00996EE5"/>
    <w:rsid w:val="009A3ADE"/>
    <w:rsid w:val="009A3EB9"/>
    <w:rsid w:val="009A4EDA"/>
    <w:rsid w:val="009A6F32"/>
    <w:rsid w:val="009A7D32"/>
    <w:rsid w:val="009B31D4"/>
    <w:rsid w:val="009B5F1B"/>
    <w:rsid w:val="009C787B"/>
    <w:rsid w:val="009C7BA8"/>
    <w:rsid w:val="009D062F"/>
    <w:rsid w:val="009D2DCF"/>
    <w:rsid w:val="009D4FC4"/>
    <w:rsid w:val="009D7A93"/>
    <w:rsid w:val="009E040A"/>
    <w:rsid w:val="009E1479"/>
    <w:rsid w:val="009E5005"/>
    <w:rsid w:val="009E56C9"/>
    <w:rsid w:val="009E7779"/>
    <w:rsid w:val="009E7858"/>
    <w:rsid w:val="009F38C1"/>
    <w:rsid w:val="009F4D2E"/>
    <w:rsid w:val="009F4D30"/>
    <w:rsid w:val="009F7477"/>
    <w:rsid w:val="00A00472"/>
    <w:rsid w:val="00A020D3"/>
    <w:rsid w:val="00A052B7"/>
    <w:rsid w:val="00A0605B"/>
    <w:rsid w:val="00A21568"/>
    <w:rsid w:val="00A225A5"/>
    <w:rsid w:val="00A24B09"/>
    <w:rsid w:val="00A25C5C"/>
    <w:rsid w:val="00A27B9D"/>
    <w:rsid w:val="00A31ADC"/>
    <w:rsid w:val="00A36F9A"/>
    <w:rsid w:val="00A4562D"/>
    <w:rsid w:val="00A53B46"/>
    <w:rsid w:val="00A53D8D"/>
    <w:rsid w:val="00A55578"/>
    <w:rsid w:val="00A60367"/>
    <w:rsid w:val="00A603FF"/>
    <w:rsid w:val="00A60525"/>
    <w:rsid w:val="00A643B4"/>
    <w:rsid w:val="00A65BF5"/>
    <w:rsid w:val="00A67D7C"/>
    <w:rsid w:val="00A71EB5"/>
    <w:rsid w:val="00A73F35"/>
    <w:rsid w:val="00A77FA8"/>
    <w:rsid w:val="00A823CC"/>
    <w:rsid w:val="00A85E02"/>
    <w:rsid w:val="00A86D4A"/>
    <w:rsid w:val="00A9108E"/>
    <w:rsid w:val="00A922DD"/>
    <w:rsid w:val="00A927BC"/>
    <w:rsid w:val="00A92D30"/>
    <w:rsid w:val="00A954D5"/>
    <w:rsid w:val="00AA147A"/>
    <w:rsid w:val="00AA4A5D"/>
    <w:rsid w:val="00AA4D0B"/>
    <w:rsid w:val="00AA74A7"/>
    <w:rsid w:val="00AB4991"/>
    <w:rsid w:val="00AB7183"/>
    <w:rsid w:val="00AB7E56"/>
    <w:rsid w:val="00AB7FA7"/>
    <w:rsid w:val="00AC0F1E"/>
    <w:rsid w:val="00AD657C"/>
    <w:rsid w:val="00AE0516"/>
    <w:rsid w:val="00AE0EEE"/>
    <w:rsid w:val="00AE13AD"/>
    <w:rsid w:val="00AE13BC"/>
    <w:rsid w:val="00AE19FD"/>
    <w:rsid w:val="00AE1EC1"/>
    <w:rsid w:val="00AE2B0A"/>
    <w:rsid w:val="00AE53D7"/>
    <w:rsid w:val="00AE5E0E"/>
    <w:rsid w:val="00AE6DF0"/>
    <w:rsid w:val="00AF126C"/>
    <w:rsid w:val="00AF346B"/>
    <w:rsid w:val="00AF6121"/>
    <w:rsid w:val="00AF668A"/>
    <w:rsid w:val="00B0015C"/>
    <w:rsid w:val="00B00695"/>
    <w:rsid w:val="00B044B3"/>
    <w:rsid w:val="00B04582"/>
    <w:rsid w:val="00B06F98"/>
    <w:rsid w:val="00B074B6"/>
    <w:rsid w:val="00B22102"/>
    <w:rsid w:val="00B22F3C"/>
    <w:rsid w:val="00B31292"/>
    <w:rsid w:val="00B3210E"/>
    <w:rsid w:val="00B33604"/>
    <w:rsid w:val="00B33C3F"/>
    <w:rsid w:val="00B361E0"/>
    <w:rsid w:val="00B368ED"/>
    <w:rsid w:val="00B373FC"/>
    <w:rsid w:val="00B37A9C"/>
    <w:rsid w:val="00B515D9"/>
    <w:rsid w:val="00B5509E"/>
    <w:rsid w:val="00B55AFA"/>
    <w:rsid w:val="00B648D7"/>
    <w:rsid w:val="00B665B8"/>
    <w:rsid w:val="00B74323"/>
    <w:rsid w:val="00B74687"/>
    <w:rsid w:val="00B770E4"/>
    <w:rsid w:val="00B77B28"/>
    <w:rsid w:val="00B85107"/>
    <w:rsid w:val="00B87325"/>
    <w:rsid w:val="00B90767"/>
    <w:rsid w:val="00B92DDC"/>
    <w:rsid w:val="00B9581F"/>
    <w:rsid w:val="00B95DA9"/>
    <w:rsid w:val="00BA03FB"/>
    <w:rsid w:val="00BA0AF4"/>
    <w:rsid w:val="00BA294E"/>
    <w:rsid w:val="00BA689E"/>
    <w:rsid w:val="00BA6E1D"/>
    <w:rsid w:val="00BB68C5"/>
    <w:rsid w:val="00BB69AB"/>
    <w:rsid w:val="00BC1BA1"/>
    <w:rsid w:val="00BC1FA6"/>
    <w:rsid w:val="00BC2063"/>
    <w:rsid w:val="00BC5971"/>
    <w:rsid w:val="00BD51B2"/>
    <w:rsid w:val="00BE0E1D"/>
    <w:rsid w:val="00BE2A36"/>
    <w:rsid w:val="00BE359F"/>
    <w:rsid w:val="00BE364B"/>
    <w:rsid w:val="00BE36A6"/>
    <w:rsid w:val="00BE68A2"/>
    <w:rsid w:val="00BE7B1A"/>
    <w:rsid w:val="00BF2826"/>
    <w:rsid w:val="00BF2D7D"/>
    <w:rsid w:val="00BF424D"/>
    <w:rsid w:val="00BF441E"/>
    <w:rsid w:val="00BF5A70"/>
    <w:rsid w:val="00C016C8"/>
    <w:rsid w:val="00C02C61"/>
    <w:rsid w:val="00C0524E"/>
    <w:rsid w:val="00C071ED"/>
    <w:rsid w:val="00C076B9"/>
    <w:rsid w:val="00C114F1"/>
    <w:rsid w:val="00C1197F"/>
    <w:rsid w:val="00C12ABC"/>
    <w:rsid w:val="00C272B1"/>
    <w:rsid w:val="00C3105F"/>
    <w:rsid w:val="00C3346A"/>
    <w:rsid w:val="00C33A9A"/>
    <w:rsid w:val="00C36B53"/>
    <w:rsid w:val="00C405A8"/>
    <w:rsid w:val="00C4377D"/>
    <w:rsid w:val="00C43AB7"/>
    <w:rsid w:val="00C46DB1"/>
    <w:rsid w:val="00C50097"/>
    <w:rsid w:val="00C51ACB"/>
    <w:rsid w:val="00C570E6"/>
    <w:rsid w:val="00C63432"/>
    <w:rsid w:val="00C63660"/>
    <w:rsid w:val="00C63A20"/>
    <w:rsid w:val="00C63A26"/>
    <w:rsid w:val="00C64568"/>
    <w:rsid w:val="00C65707"/>
    <w:rsid w:val="00C65D9E"/>
    <w:rsid w:val="00C71DBF"/>
    <w:rsid w:val="00C7223C"/>
    <w:rsid w:val="00C74D67"/>
    <w:rsid w:val="00C753FF"/>
    <w:rsid w:val="00C80C66"/>
    <w:rsid w:val="00C914C4"/>
    <w:rsid w:val="00C94DEE"/>
    <w:rsid w:val="00CA01A9"/>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17CC"/>
    <w:rsid w:val="00CD2151"/>
    <w:rsid w:val="00CE1398"/>
    <w:rsid w:val="00CE4079"/>
    <w:rsid w:val="00CE4349"/>
    <w:rsid w:val="00CE4549"/>
    <w:rsid w:val="00CF0A66"/>
    <w:rsid w:val="00CF4AB8"/>
    <w:rsid w:val="00CF518E"/>
    <w:rsid w:val="00CF691D"/>
    <w:rsid w:val="00D00471"/>
    <w:rsid w:val="00D007AB"/>
    <w:rsid w:val="00D025CE"/>
    <w:rsid w:val="00D02624"/>
    <w:rsid w:val="00D06657"/>
    <w:rsid w:val="00D141F1"/>
    <w:rsid w:val="00D14FB6"/>
    <w:rsid w:val="00D1755E"/>
    <w:rsid w:val="00D21889"/>
    <w:rsid w:val="00D22591"/>
    <w:rsid w:val="00D227C5"/>
    <w:rsid w:val="00D22BB7"/>
    <w:rsid w:val="00D24DA9"/>
    <w:rsid w:val="00D25D67"/>
    <w:rsid w:val="00D313B3"/>
    <w:rsid w:val="00D33F5C"/>
    <w:rsid w:val="00D34641"/>
    <w:rsid w:val="00D365D6"/>
    <w:rsid w:val="00D4285D"/>
    <w:rsid w:val="00D430DC"/>
    <w:rsid w:val="00D460CC"/>
    <w:rsid w:val="00D4750C"/>
    <w:rsid w:val="00D5053D"/>
    <w:rsid w:val="00D50851"/>
    <w:rsid w:val="00D524FD"/>
    <w:rsid w:val="00D52B60"/>
    <w:rsid w:val="00D537C9"/>
    <w:rsid w:val="00D63DAD"/>
    <w:rsid w:val="00D64BF0"/>
    <w:rsid w:val="00D66A93"/>
    <w:rsid w:val="00D82A50"/>
    <w:rsid w:val="00DA1493"/>
    <w:rsid w:val="00DA2C94"/>
    <w:rsid w:val="00DA361B"/>
    <w:rsid w:val="00DA5423"/>
    <w:rsid w:val="00DB1C87"/>
    <w:rsid w:val="00DB6140"/>
    <w:rsid w:val="00DC45E2"/>
    <w:rsid w:val="00DC56CC"/>
    <w:rsid w:val="00DC5C37"/>
    <w:rsid w:val="00DC7BC9"/>
    <w:rsid w:val="00DD1BB9"/>
    <w:rsid w:val="00DD2B54"/>
    <w:rsid w:val="00DD43EA"/>
    <w:rsid w:val="00DD65A2"/>
    <w:rsid w:val="00DD7036"/>
    <w:rsid w:val="00DE370D"/>
    <w:rsid w:val="00DE544D"/>
    <w:rsid w:val="00DE5F2F"/>
    <w:rsid w:val="00DF35AB"/>
    <w:rsid w:val="00DF7926"/>
    <w:rsid w:val="00E0092D"/>
    <w:rsid w:val="00E075EC"/>
    <w:rsid w:val="00E077C6"/>
    <w:rsid w:val="00E07E32"/>
    <w:rsid w:val="00E10ADC"/>
    <w:rsid w:val="00E13E64"/>
    <w:rsid w:val="00E177BF"/>
    <w:rsid w:val="00E20C1F"/>
    <w:rsid w:val="00E22678"/>
    <w:rsid w:val="00E242F4"/>
    <w:rsid w:val="00E25072"/>
    <w:rsid w:val="00E26269"/>
    <w:rsid w:val="00E34024"/>
    <w:rsid w:val="00E3407C"/>
    <w:rsid w:val="00E35EF4"/>
    <w:rsid w:val="00E37176"/>
    <w:rsid w:val="00E424AA"/>
    <w:rsid w:val="00E42BCA"/>
    <w:rsid w:val="00E44188"/>
    <w:rsid w:val="00E45D39"/>
    <w:rsid w:val="00E46687"/>
    <w:rsid w:val="00E46F02"/>
    <w:rsid w:val="00E51928"/>
    <w:rsid w:val="00E529D5"/>
    <w:rsid w:val="00E53A3A"/>
    <w:rsid w:val="00E60AA9"/>
    <w:rsid w:val="00E62D55"/>
    <w:rsid w:val="00E63A59"/>
    <w:rsid w:val="00E64D21"/>
    <w:rsid w:val="00E664E8"/>
    <w:rsid w:val="00E70FBD"/>
    <w:rsid w:val="00E732D8"/>
    <w:rsid w:val="00E74B4B"/>
    <w:rsid w:val="00E77EAC"/>
    <w:rsid w:val="00E811A0"/>
    <w:rsid w:val="00E82A17"/>
    <w:rsid w:val="00E8399D"/>
    <w:rsid w:val="00E847B2"/>
    <w:rsid w:val="00E85133"/>
    <w:rsid w:val="00E9008C"/>
    <w:rsid w:val="00E920B7"/>
    <w:rsid w:val="00E927F9"/>
    <w:rsid w:val="00E93FAB"/>
    <w:rsid w:val="00E94502"/>
    <w:rsid w:val="00E9454E"/>
    <w:rsid w:val="00E95D67"/>
    <w:rsid w:val="00EA2D95"/>
    <w:rsid w:val="00EA30BD"/>
    <w:rsid w:val="00EB16A8"/>
    <w:rsid w:val="00EB20A0"/>
    <w:rsid w:val="00EB4417"/>
    <w:rsid w:val="00EB4AA7"/>
    <w:rsid w:val="00EB6397"/>
    <w:rsid w:val="00EB65EA"/>
    <w:rsid w:val="00EB7FF7"/>
    <w:rsid w:val="00EC6E24"/>
    <w:rsid w:val="00EC7706"/>
    <w:rsid w:val="00ED0627"/>
    <w:rsid w:val="00ED64BA"/>
    <w:rsid w:val="00EE2216"/>
    <w:rsid w:val="00EE4425"/>
    <w:rsid w:val="00EE5345"/>
    <w:rsid w:val="00EE7A8D"/>
    <w:rsid w:val="00EF04DB"/>
    <w:rsid w:val="00EF1196"/>
    <w:rsid w:val="00EF2083"/>
    <w:rsid w:val="00EF7983"/>
    <w:rsid w:val="00F02ABD"/>
    <w:rsid w:val="00F04460"/>
    <w:rsid w:val="00F04DE2"/>
    <w:rsid w:val="00F07BA1"/>
    <w:rsid w:val="00F1208D"/>
    <w:rsid w:val="00F13A79"/>
    <w:rsid w:val="00F1762E"/>
    <w:rsid w:val="00F203B8"/>
    <w:rsid w:val="00F2043D"/>
    <w:rsid w:val="00F20E9C"/>
    <w:rsid w:val="00F20FFE"/>
    <w:rsid w:val="00F22BAD"/>
    <w:rsid w:val="00F231B3"/>
    <w:rsid w:val="00F23848"/>
    <w:rsid w:val="00F238A9"/>
    <w:rsid w:val="00F25609"/>
    <w:rsid w:val="00F2664D"/>
    <w:rsid w:val="00F30712"/>
    <w:rsid w:val="00F32D70"/>
    <w:rsid w:val="00F3710E"/>
    <w:rsid w:val="00F37D37"/>
    <w:rsid w:val="00F44642"/>
    <w:rsid w:val="00F467E2"/>
    <w:rsid w:val="00F47401"/>
    <w:rsid w:val="00F552F6"/>
    <w:rsid w:val="00F55312"/>
    <w:rsid w:val="00F565C0"/>
    <w:rsid w:val="00F57A56"/>
    <w:rsid w:val="00F60BA5"/>
    <w:rsid w:val="00F6555D"/>
    <w:rsid w:val="00F666E1"/>
    <w:rsid w:val="00F66DB4"/>
    <w:rsid w:val="00F70555"/>
    <w:rsid w:val="00F724E4"/>
    <w:rsid w:val="00F74A6B"/>
    <w:rsid w:val="00F75AE7"/>
    <w:rsid w:val="00F75F43"/>
    <w:rsid w:val="00F77E4F"/>
    <w:rsid w:val="00F80A69"/>
    <w:rsid w:val="00F810CC"/>
    <w:rsid w:val="00F83165"/>
    <w:rsid w:val="00F84BDB"/>
    <w:rsid w:val="00F86DD6"/>
    <w:rsid w:val="00F923B9"/>
    <w:rsid w:val="00F96592"/>
    <w:rsid w:val="00FA46B4"/>
    <w:rsid w:val="00FB0884"/>
    <w:rsid w:val="00FB1D9F"/>
    <w:rsid w:val="00FB3E47"/>
    <w:rsid w:val="00FB3FC8"/>
    <w:rsid w:val="00FB68C9"/>
    <w:rsid w:val="00FB7438"/>
    <w:rsid w:val="00FC0E7D"/>
    <w:rsid w:val="00FC29A3"/>
    <w:rsid w:val="00FD09A0"/>
    <w:rsid w:val="00FD1DE4"/>
    <w:rsid w:val="00FE14D9"/>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DA361B"/>
    <w:pPr>
      <w:keepNext/>
      <w:numPr>
        <w:ilvl w:val="1"/>
        <w:numId w:val="1"/>
      </w:numPr>
      <w:ind w:left="567"/>
      <w:outlineLvl w:val="1"/>
    </w:pPr>
    <w:rPr>
      <w:rFonts w:ascii="Arial" w:eastAsia="MS Gothic"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DA361B"/>
    <w:rPr>
      <w:rFonts w:ascii="Arial" w:eastAsia="MS Gothic" w:hAnsi="Arial" w:cs="Times New Roman"/>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 w:type="paragraph" w:styleId="NormalWeb">
    <w:name w:val="Normal (Web)"/>
    <w:basedOn w:val="Normal"/>
    <w:uiPriority w:val="99"/>
    <w:semiHidden/>
    <w:unhideWhenUsed/>
    <w:rsid w:val="00E920B7"/>
    <w:pPr>
      <w:spacing w:before="100" w:beforeAutospacing="1" w:after="100" w:afterAutospacing="1"/>
    </w:pPr>
    <w:rPr>
      <w:rFonts w:eastAsia="Times New Roman"/>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565824">
      <w:bodyDiv w:val="1"/>
      <w:marLeft w:val="0"/>
      <w:marRight w:val="0"/>
      <w:marTop w:val="0"/>
      <w:marBottom w:val="0"/>
      <w:divBdr>
        <w:top w:val="none" w:sz="0" w:space="0" w:color="auto"/>
        <w:left w:val="none" w:sz="0" w:space="0" w:color="auto"/>
        <w:bottom w:val="none" w:sz="0" w:space="0" w:color="auto"/>
        <w:right w:val="none" w:sz="0" w:space="0" w:color="auto"/>
      </w:divBdr>
    </w:div>
    <w:div w:id="882717622">
      <w:bodyDiv w:val="1"/>
      <w:marLeft w:val="0"/>
      <w:marRight w:val="0"/>
      <w:marTop w:val="0"/>
      <w:marBottom w:val="0"/>
      <w:divBdr>
        <w:top w:val="none" w:sz="0" w:space="0" w:color="auto"/>
        <w:left w:val="none" w:sz="0" w:space="0" w:color="auto"/>
        <w:bottom w:val="none" w:sz="0" w:space="0" w:color="auto"/>
        <w:right w:val="none" w:sz="0" w:space="0" w:color="auto"/>
      </w:divBdr>
      <w:divsChild>
        <w:div w:id="520046913">
          <w:marLeft w:val="547"/>
          <w:marRight w:val="0"/>
          <w:marTop w:val="96"/>
          <w:marBottom w:val="0"/>
          <w:divBdr>
            <w:top w:val="none" w:sz="0" w:space="0" w:color="auto"/>
            <w:left w:val="none" w:sz="0" w:space="0" w:color="auto"/>
            <w:bottom w:val="none" w:sz="0" w:space="0" w:color="auto"/>
            <w:right w:val="none" w:sz="0" w:space="0" w:color="auto"/>
          </w:divBdr>
        </w:div>
        <w:div w:id="2095398237">
          <w:marLeft w:val="1166"/>
          <w:marRight w:val="0"/>
          <w:marTop w:val="86"/>
          <w:marBottom w:val="0"/>
          <w:divBdr>
            <w:top w:val="none" w:sz="0" w:space="0" w:color="auto"/>
            <w:left w:val="none" w:sz="0" w:space="0" w:color="auto"/>
            <w:bottom w:val="none" w:sz="0" w:space="0" w:color="auto"/>
            <w:right w:val="none" w:sz="0" w:space="0" w:color="auto"/>
          </w:divBdr>
        </w:div>
        <w:div w:id="349727224">
          <w:marLeft w:val="1800"/>
          <w:marRight w:val="0"/>
          <w:marTop w:val="86"/>
          <w:marBottom w:val="0"/>
          <w:divBdr>
            <w:top w:val="none" w:sz="0" w:space="0" w:color="auto"/>
            <w:left w:val="none" w:sz="0" w:space="0" w:color="auto"/>
            <w:bottom w:val="none" w:sz="0" w:space="0" w:color="auto"/>
            <w:right w:val="none" w:sz="0" w:space="0" w:color="auto"/>
          </w:divBdr>
        </w:div>
        <w:div w:id="875704580">
          <w:marLeft w:val="1800"/>
          <w:marRight w:val="0"/>
          <w:marTop w:val="86"/>
          <w:marBottom w:val="0"/>
          <w:divBdr>
            <w:top w:val="none" w:sz="0" w:space="0" w:color="auto"/>
            <w:left w:val="none" w:sz="0" w:space="0" w:color="auto"/>
            <w:bottom w:val="none" w:sz="0" w:space="0" w:color="auto"/>
            <w:right w:val="none" w:sz="0" w:space="0" w:color="auto"/>
          </w:divBdr>
        </w:div>
        <w:div w:id="2052684644">
          <w:marLeft w:val="1800"/>
          <w:marRight w:val="0"/>
          <w:marTop w:val="86"/>
          <w:marBottom w:val="0"/>
          <w:divBdr>
            <w:top w:val="none" w:sz="0" w:space="0" w:color="auto"/>
            <w:left w:val="none" w:sz="0" w:space="0" w:color="auto"/>
            <w:bottom w:val="none" w:sz="0" w:space="0" w:color="auto"/>
            <w:right w:val="none" w:sz="0" w:space="0" w:color="auto"/>
          </w:divBdr>
        </w:div>
        <w:div w:id="1967076991">
          <w:marLeft w:val="1800"/>
          <w:marRight w:val="0"/>
          <w:marTop w:val="86"/>
          <w:marBottom w:val="0"/>
          <w:divBdr>
            <w:top w:val="none" w:sz="0" w:space="0" w:color="auto"/>
            <w:left w:val="none" w:sz="0" w:space="0" w:color="auto"/>
            <w:bottom w:val="none" w:sz="0" w:space="0" w:color="auto"/>
            <w:right w:val="none" w:sz="0" w:space="0" w:color="auto"/>
          </w:divBdr>
        </w:div>
      </w:divsChild>
    </w:div>
    <w:div w:id="1409038620">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C24CB-9188-443D-ADCD-4607898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7441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Rajitha.Palipana@nec.com.au</dc:creator>
  <cp:keywords/>
  <dc:description/>
  <cp:lastModifiedBy>NEC</cp:lastModifiedBy>
  <cp:revision>11</cp:revision>
  <cp:lastPrinted>2016-09-16T03:38:00Z</cp:lastPrinted>
  <dcterms:created xsi:type="dcterms:W3CDTF">2017-08-07T09:44:00Z</dcterms:created>
  <dcterms:modified xsi:type="dcterms:W3CDTF">2017-08-10T23:22:00Z</dcterms:modified>
</cp:coreProperties>
</file>