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590457BC" w:rsidR="00E90E49" w:rsidRPr="007B78FE" w:rsidRDefault="00733D4B" w:rsidP="00E35559">
      <w:pPr>
        <w:pStyle w:val="3GPPHeader"/>
        <w:spacing w:after="60"/>
        <w:rPr>
          <w:sz w:val="32"/>
          <w:szCs w:val="32"/>
          <w:highlight w:val="yellow"/>
          <w:lang w:val="en-US"/>
        </w:rPr>
      </w:pPr>
      <w:r>
        <w:rPr>
          <w:lang w:val="en-US"/>
        </w:rPr>
        <w:t>3GPP TSG-RAN WG1 Meeting #89</w:t>
      </w:r>
      <w:r w:rsidR="00E90E49" w:rsidRPr="007B78FE">
        <w:rPr>
          <w:lang w:val="en-US"/>
        </w:rPr>
        <w:tab/>
      </w:r>
      <w:r w:rsidR="00091557" w:rsidRPr="001E3715">
        <w:rPr>
          <w:sz w:val="28"/>
          <w:szCs w:val="32"/>
          <w:lang w:val="en-US"/>
        </w:rPr>
        <w:t>R</w:t>
      </w:r>
      <w:r w:rsidR="00AE2834" w:rsidRPr="001E3715">
        <w:rPr>
          <w:sz w:val="28"/>
          <w:szCs w:val="32"/>
          <w:lang w:val="en-US"/>
        </w:rPr>
        <w:t>1</w:t>
      </w:r>
      <w:r w:rsidR="00091557" w:rsidRPr="001E3715">
        <w:rPr>
          <w:sz w:val="28"/>
          <w:szCs w:val="32"/>
          <w:lang w:val="en-US"/>
        </w:rPr>
        <w:t>-</w:t>
      </w:r>
      <w:r w:rsidR="005F3025" w:rsidRPr="001E3715">
        <w:rPr>
          <w:sz w:val="28"/>
          <w:szCs w:val="32"/>
          <w:lang w:val="en-US"/>
        </w:rPr>
        <w:t>1</w:t>
      </w:r>
      <w:r w:rsidR="00AE2834" w:rsidRPr="001E3715">
        <w:rPr>
          <w:sz w:val="28"/>
          <w:szCs w:val="32"/>
          <w:lang w:val="en-US"/>
        </w:rPr>
        <w:t>70</w:t>
      </w:r>
      <w:r w:rsidR="00CD187B" w:rsidRPr="001E3715">
        <w:rPr>
          <w:sz w:val="28"/>
          <w:szCs w:val="32"/>
          <w:lang w:val="en-US"/>
        </w:rPr>
        <w:t>9106</w:t>
      </w:r>
    </w:p>
    <w:p w14:paraId="51C3CE46" w14:textId="7166FCB1" w:rsidR="00E90E49" w:rsidRPr="007B78FE" w:rsidRDefault="00733D4B" w:rsidP="00311702">
      <w:pPr>
        <w:pStyle w:val="3GPPHeader"/>
        <w:rPr>
          <w:lang w:val="en-US"/>
        </w:rPr>
      </w:pPr>
      <w:r w:rsidRPr="00387E29">
        <w:t>Hangzhou, P.R. China 15th – 19th May 2017</w:t>
      </w:r>
    </w:p>
    <w:p w14:paraId="606D9DC9" w14:textId="4EFAB7D1"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733D4B">
        <w:rPr>
          <w:sz w:val="22"/>
          <w:szCs w:val="22"/>
          <w:lang w:val="en-US"/>
        </w:rPr>
        <w:t>7.1.3.3.5</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14EAA5B4"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1E3715">
        <w:rPr>
          <w:sz w:val="22"/>
          <w:szCs w:val="22"/>
          <w:lang w:val="en-US"/>
        </w:rPr>
        <w:t>On CRC A</w:t>
      </w:r>
      <w:bookmarkStart w:id="0" w:name="_GoBack"/>
      <w:bookmarkEnd w:id="0"/>
      <w:r w:rsidR="00733D4B" w:rsidRPr="00733D4B">
        <w:rPr>
          <w:sz w:val="22"/>
          <w:szCs w:val="22"/>
          <w:lang w:val="en-US"/>
        </w:rPr>
        <w:t>ttachments for Code Block Group Based HARQ-ACK Feedback</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76B27D76" w14:textId="0396DD8D" w:rsidR="00733D4B" w:rsidRDefault="00733D4B" w:rsidP="00733D4B">
      <w:pPr>
        <w:pStyle w:val="BodyText"/>
        <w:rPr>
          <w:rFonts w:cs="Arial"/>
        </w:rPr>
      </w:pPr>
      <w:r>
        <w:rPr>
          <w:rFonts w:cs="Arial"/>
        </w:rPr>
        <w:t>In RAN1#88bis</w:t>
      </w:r>
      <w:r w:rsidRPr="003F5094">
        <w:rPr>
          <w:rFonts w:cs="Arial"/>
        </w:rPr>
        <w:t>, the followin</w:t>
      </w:r>
      <w:r>
        <w:rPr>
          <w:rFonts w:cs="Arial"/>
        </w:rPr>
        <w:t xml:space="preserve">g agreements on HARQ feedback on code-block group (CBG) level and CRC attachment were reached </w:t>
      </w:r>
      <w:r>
        <w:rPr>
          <w:rFonts w:cs="Arial"/>
        </w:rPr>
        <w:fldChar w:fldCharType="begin"/>
      </w:r>
      <w:r>
        <w:rPr>
          <w:rFonts w:cs="Arial"/>
        </w:rPr>
        <w:instrText xml:space="preserve"> REF _Ref476919366 \r \h </w:instrText>
      </w:r>
      <w:r>
        <w:rPr>
          <w:rFonts w:cs="Arial"/>
        </w:rPr>
      </w:r>
      <w:r>
        <w:rPr>
          <w:rFonts w:cs="Arial"/>
        </w:rPr>
        <w:fldChar w:fldCharType="separate"/>
      </w:r>
      <w:r>
        <w:rPr>
          <w:rFonts w:cs="Arial"/>
        </w:rPr>
        <w:t>[1]</w:t>
      </w:r>
      <w:r>
        <w:rPr>
          <w:rFonts w:cs="Arial"/>
        </w:rPr>
        <w:fldChar w:fldCharType="end"/>
      </w:r>
      <w:r>
        <w:rPr>
          <w:rFonts w:cs="Arial"/>
        </w:rPr>
        <w:t xml:space="preserve"> </w:t>
      </w:r>
      <w:r w:rsidRPr="003F5094">
        <w:rPr>
          <w:rFonts w:cs="Arial"/>
        </w:rPr>
        <w:t>:</w:t>
      </w:r>
    </w:p>
    <w:p w14:paraId="31A6DFBC" w14:textId="77777777" w:rsidR="00733D4B" w:rsidRPr="00155110" w:rsidRDefault="00733D4B" w:rsidP="00733D4B">
      <w:pPr>
        <w:ind w:left="567"/>
        <w:rPr>
          <w:rFonts w:eastAsia="MS Mincho"/>
          <w:b/>
          <w:iCs/>
          <w:u w:val="single"/>
          <w:lang w:val="en-US" w:eastAsia="ja-JP"/>
        </w:rPr>
      </w:pPr>
      <w:r w:rsidRPr="00155110">
        <w:rPr>
          <w:rFonts w:eastAsia="MS Mincho" w:hint="eastAsia"/>
          <w:b/>
          <w:iCs/>
          <w:highlight w:val="green"/>
          <w:u w:val="single"/>
          <w:lang w:val="en-US" w:eastAsia="ja-JP"/>
        </w:rPr>
        <w:t>Agreements:</w:t>
      </w:r>
    </w:p>
    <w:p w14:paraId="69E20311" w14:textId="77777777" w:rsidR="00733D4B" w:rsidRPr="00155110" w:rsidRDefault="00733D4B" w:rsidP="00733D4B">
      <w:pPr>
        <w:numPr>
          <w:ilvl w:val="0"/>
          <w:numId w:val="28"/>
        </w:numPr>
        <w:tabs>
          <w:tab w:val="clear" w:pos="720"/>
          <w:tab w:val="num" w:pos="1287"/>
        </w:tabs>
        <w:overflowPunct/>
        <w:autoSpaceDE/>
        <w:autoSpaceDN/>
        <w:adjustRightInd/>
        <w:spacing w:after="0"/>
        <w:ind w:left="1287"/>
        <w:jc w:val="left"/>
        <w:textAlignment w:val="auto"/>
        <w:rPr>
          <w:rFonts w:eastAsia="MS Mincho"/>
          <w:iCs/>
          <w:lang w:val="en-US" w:eastAsia="ja-JP"/>
        </w:rPr>
      </w:pPr>
      <w:r w:rsidRPr="00155110">
        <w:rPr>
          <w:rFonts w:eastAsia="MS Mincho"/>
          <w:iCs/>
          <w:lang w:val="en-US" w:eastAsia="ja-JP"/>
        </w:rPr>
        <w:t>Confirm the working assumption as below.</w:t>
      </w:r>
    </w:p>
    <w:p w14:paraId="1E9C7FDD" w14:textId="77777777" w:rsidR="00733D4B" w:rsidRPr="00155110" w:rsidRDefault="00733D4B" w:rsidP="00733D4B">
      <w:pPr>
        <w:numPr>
          <w:ilvl w:val="1"/>
          <w:numId w:val="28"/>
        </w:numPr>
        <w:tabs>
          <w:tab w:val="clear" w:pos="1440"/>
          <w:tab w:val="num" w:pos="2007"/>
        </w:tabs>
        <w:overflowPunct/>
        <w:autoSpaceDE/>
        <w:autoSpaceDN/>
        <w:adjustRightInd/>
        <w:spacing w:after="0"/>
        <w:ind w:left="2007"/>
        <w:jc w:val="left"/>
        <w:textAlignment w:val="auto"/>
        <w:rPr>
          <w:rFonts w:eastAsia="MS Mincho"/>
          <w:iCs/>
          <w:lang w:val="en-US" w:eastAsia="ja-JP"/>
        </w:rPr>
      </w:pPr>
      <w:r w:rsidRPr="00155110">
        <w:rPr>
          <w:rFonts w:eastAsia="MS Mincho"/>
          <w:iCs/>
          <w:lang w:val="en-US" w:eastAsia="ja-JP"/>
        </w:rPr>
        <w:t>CBG-based transmission with single/multi-bit HARQ-ACK feedback is supported in Rel-15, which shall have the following characteristics:</w:t>
      </w:r>
    </w:p>
    <w:p w14:paraId="74E20F35" w14:textId="77777777" w:rsidR="00733D4B" w:rsidRPr="00155110" w:rsidRDefault="00733D4B" w:rsidP="00733D4B">
      <w:pPr>
        <w:numPr>
          <w:ilvl w:val="2"/>
          <w:numId w:val="28"/>
        </w:numPr>
        <w:tabs>
          <w:tab w:val="clear" w:pos="2160"/>
          <w:tab w:val="num" w:pos="2727"/>
        </w:tabs>
        <w:overflowPunct/>
        <w:autoSpaceDE/>
        <w:autoSpaceDN/>
        <w:adjustRightInd/>
        <w:spacing w:after="0"/>
        <w:ind w:left="2727"/>
        <w:jc w:val="left"/>
        <w:textAlignment w:val="auto"/>
        <w:rPr>
          <w:rFonts w:eastAsia="MS Mincho"/>
          <w:iCs/>
          <w:lang w:val="en-US" w:eastAsia="ja-JP"/>
        </w:rPr>
      </w:pPr>
      <w:r w:rsidRPr="00155110">
        <w:rPr>
          <w:rFonts w:eastAsia="MS Mincho"/>
          <w:iCs/>
          <w:lang w:val="en-US" w:eastAsia="ja-JP"/>
        </w:rPr>
        <w:t>Only allow CBG based (re)-transmission for the same TB of a HARQ process</w:t>
      </w:r>
    </w:p>
    <w:p w14:paraId="1F6E60DD" w14:textId="77777777" w:rsidR="00733D4B" w:rsidRPr="00155110" w:rsidRDefault="00733D4B" w:rsidP="00733D4B">
      <w:pPr>
        <w:numPr>
          <w:ilvl w:val="2"/>
          <w:numId w:val="28"/>
        </w:numPr>
        <w:tabs>
          <w:tab w:val="clear" w:pos="2160"/>
          <w:tab w:val="num" w:pos="2727"/>
        </w:tabs>
        <w:overflowPunct/>
        <w:autoSpaceDE/>
        <w:autoSpaceDN/>
        <w:adjustRightInd/>
        <w:spacing w:after="0"/>
        <w:ind w:left="2727"/>
        <w:jc w:val="left"/>
        <w:textAlignment w:val="auto"/>
        <w:rPr>
          <w:rFonts w:eastAsia="MS Mincho"/>
          <w:iCs/>
          <w:lang w:val="en-US" w:eastAsia="ja-JP"/>
        </w:rPr>
      </w:pPr>
      <w:r w:rsidRPr="00155110">
        <w:rPr>
          <w:rFonts w:eastAsia="MS Mincho"/>
          <w:iCs/>
          <w:lang w:val="en-US" w:eastAsia="ja-JP"/>
        </w:rPr>
        <w:t>CBG can include all CB of a TB regardless of the size of the TB – In the such case, UE reports single HARQ ACK bits for the TB</w:t>
      </w:r>
    </w:p>
    <w:p w14:paraId="6886B475" w14:textId="77777777" w:rsidR="00733D4B" w:rsidRPr="00155110" w:rsidRDefault="00733D4B" w:rsidP="00733D4B">
      <w:pPr>
        <w:numPr>
          <w:ilvl w:val="2"/>
          <w:numId w:val="28"/>
        </w:numPr>
        <w:tabs>
          <w:tab w:val="clear" w:pos="2160"/>
          <w:tab w:val="num" w:pos="2727"/>
        </w:tabs>
        <w:overflowPunct/>
        <w:autoSpaceDE/>
        <w:autoSpaceDN/>
        <w:adjustRightInd/>
        <w:spacing w:after="0"/>
        <w:ind w:left="2727"/>
        <w:jc w:val="left"/>
        <w:textAlignment w:val="auto"/>
        <w:rPr>
          <w:rFonts w:eastAsia="MS Mincho"/>
          <w:iCs/>
          <w:lang w:val="en-US" w:eastAsia="ja-JP"/>
        </w:rPr>
      </w:pPr>
      <w:r w:rsidRPr="00155110">
        <w:rPr>
          <w:rFonts w:eastAsia="MS Mincho"/>
          <w:iCs/>
          <w:lang w:val="en-US" w:eastAsia="ja-JP"/>
        </w:rPr>
        <w:t>CBG can include one CB</w:t>
      </w:r>
    </w:p>
    <w:p w14:paraId="12C5D2DC" w14:textId="77777777" w:rsidR="00733D4B" w:rsidRDefault="00733D4B" w:rsidP="00733D4B">
      <w:pPr>
        <w:numPr>
          <w:ilvl w:val="2"/>
          <w:numId w:val="28"/>
        </w:numPr>
        <w:tabs>
          <w:tab w:val="clear" w:pos="2160"/>
          <w:tab w:val="num" w:pos="2727"/>
        </w:tabs>
        <w:overflowPunct/>
        <w:autoSpaceDE/>
        <w:autoSpaceDN/>
        <w:adjustRightInd/>
        <w:spacing w:after="0"/>
        <w:ind w:left="2727"/>
        <w:jc w:val="left"/>
        <w:textAlignment w:val="auto"/>
        <w:rPr>
          <w:rFonts w:eastAsia="MS Mincho"/>
          <w:iCs/>
          <w:lang w:val="en-US" w:eastAsia="ja-JP"/>
        </w:rPr>
      </w:pPr>
      <w:r w:rsidRPr="00155110">
        <w:rPr>
          <w:rFonts w:eastAsia="MS Mincho"/>
          <w:iCs/>
          <w:lang w:val="en-US" w:eastAsia="ja-JP"/>
        </w:rPr>
        <w:t>CBG granularity is configurable</w:t>
      </w:r>
    </w:p>
    <w:p w14:paraId="4A36FA0B" w14:textId="41656FA3" w:rsidR="00733D4B" w:rsidRDefault="00733D4B" w:rsidP="00733D4B">
      <w:pPr>
        <w:ind w:left="567"/>
        <w:rPr>
          <w:rFonts w:eastAsia="MS Mincho"/>
          <w:lang w:eastAsia="ja-JP"/>
        </w:rPr>
      </w:pPr>
    </w:p>
    <w:p w14:paraId="0CEC423A" w14:textId="77777777" w:rsidR="00510E23" w:rsidRDefault="00510E23" w:rsidP="00510E23">
      <w:pPr>
        <w:ind w:left="567"/>
        <w:rPr>
          <w:rFonts w:eastAsia="MS Mincho"/>
          <w:b/>
          <w:iCs/>
          <w:u w:val="single"/>
          <w:lang w:val="en-US"/>
        </w:rPr>
      </w:pPr>
      <w:r>
        <w:rPr>
          <w:rFonts w:eastAsia="MS Mincho"/>
          <w:b/>
          <w:iCs/>
          <w:highlight w:val="green"/>
          <w:u w:val="single"/>
          <w:lang w:val="en-US"/>
        </w:rPr>
        <w:t>Agreements:</w:t>
      </w:r>
    </w:p>
    <w:p w14:paraId="5EB56FEE" w14:textId="77777777" w:rsidR="00510E23" w:rsidRDefault="00510E23" w:rsidP="00510E23">
      <w:pPr>
        <w:numPr>
          <w:ilvl w:val="0"/>
          <w:numId w:val="29"/>
        </w:numPr>
        <w:tabs>
          <w:tab w:val="clear" w:pos="720"/>
          <w:tab w:val="num" w:pos="1287"/>
        </w:tabs>
        <w:overflowPunct/>
        <w:autoSpaceDE/>
        <w:autoSpaceDN/>
        <w:adjustRightInd/>
        <w:spacing w:after="0"/>
        <w:ind w:left="1287"/>
        <w:textAlignment w:val="auto"/>
        <w:rPr>
          <w:rFonts w:eastAsia="MS Mincho"/>
          <w:iCs/>
          <w:lang w:val="en-US"/>
        </w:rPr>
      </w:pPr>
      <w:r>
        <w:rPr>
          <w:rFonts w:eastAsia="MS Mincho"/>
          <w:iCs/>
          <w:lang w:val="en-US"/>
        </w:rPr>
        <w:t>The UE is semi-statically configured by RRC signaling to enable CBG-based retransmission.</w:t>
      </w:r>
    </w:p>
    <w:p w14:paraId="7193D486" w14:textId="77777777" w:rsidR="00510E23" w:rsidRPr="00B414C1" w:rsidRDefault="00510E23" w:rsidP="00510E23">
      <w:pPr>
        <w:numPr>
          <w:ilvl w:val="0"/>
          <w:numId w:val="29"/>
        </w:numPr>
        <w:tabs>
          <w:tab w:val="clear" w:pos="720"/>
          <w:tab w:val="num" w:pos="1287"/>
        </w:tabs>
        <w:overflowPunct/>
        <w:autoSpaceDE/>
        <w:autoSpaceDN/>
        <w:adjustRightInd/>
        <w:spacing w:after="0"/>
        <w:ind w:left="1287"/>
        <w:textAlignment w:val="auto"/>
        <w:rPr>
          <w:rFonts w:eastAsia="MS Mincho"/>
          <w:iCs/>
          <w:lang w:val="en-US"/>
        </w:rPr>
      </w:pPr>
      <w:r>
        <w:rPr>
          <w:rFonts w:eastAsia="MS Mincho"/>
          <w:iCs/>
          <w:lang w:val="en-US"/>
        </w:rPr>
        <w:t>The above semi-static configuration to enable CBG-based retransmission is separate for DL and UL.</w:t>
      </w:r>
    </w:p>
    <w:p w14:paraId="6B788838" w14:textId="77777777" w:rsidR="00510E23" w:rsidRDefault="00510E23" w:rsidP="00733D4B">
      <w:pPr>
        <w:ind w:left="567"/>
        <w:rPr>
          <w:rFonts w:eastAsia="MS Mincho"/>
          <w:lang w:eastAsia="ja-JP"/>
        </w:rPr>
      </w:pPr>
    </w:p>
    <w:p w14:paraId="3A2353B6" w14:textId="77777777" w:rsidR="00733D4B" w:rsidRPr="00C547CC" w:rsidRDefault="00733D4B" w:rsidP="00733D4B">
      <w:pPr>
        <w:ind w:left="567"/>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784F2D2E" w14:textId="77777777" w:rsidR="00733D4B" w:rsidRPr="00C547CC" w:rsidRDefault="00733D4B" w:rsidP="00733D4B">
      <w:pPr>
        <w:numPr>
          <w:ilvl w:val="0"/>
          <w:numId w:val="27"/>
        </w:numPr>
        <w:tabs>
          <w:tab w:val="clear" w:pos="720"/>
          <w:tab w:val="num" w:pos="1287"/>
        </w:tabs>
        <w:overflowPunct/>
        <w:autoSpaceDE/>
        <w:autoSpaceDN/>
        <w:adjustRightInd/>
        <w:spacing w:after="0"/>
        <w:ind w:left="1287"/>
        <w:jc w:val="left"/>
        <w:textAlignment w:val="auto"/>
        <w:rPr>
          <w:rFonts w:eastAsia="MS Mincho"/>
          <w:lang w:eastAsia="ja-JP"/>
        </w:rPr>
      </w:pPr>
      <w:r w:rsidRPr="001C454E">
        <w:rPr>
          <w:rFonts w:eastAsia="MS Mincho"/>
          <w:lang w:val="en-US" w:eastAsia="ja-JP"/>
        </w:rPr>
        <w:t>Number of bits for TB-level CRC is: L</w:t>
      </w:r>
      <w:r w:rsidRPr="001C454E">
        <w:rPr>
          <w:rFonts w:eastAsia="MS Mincho"/>
          <w:vertAlign w:val="subscript"/>
          <w:lang w:val="en-US" w:eastAsia="ja-JP"/>
        </w:rPr>
        <w:t xml:space="preserve">TB,CRC </w:t>
      </w:r>
      <w:r w:rsidRPr="001C454E">
        <w:rPr>
          <w:rFonts w:eastAsia="MS Mincho"/>
          <w:lang w:val="en-US" w:eastAsia="ja-JP"/>
        </w:rPr>
        <w:t>=24 bits</w:t>
      </w:r>
      <w:r>
        <w:rPr>
          <w:rFonts w:eastAsia="MS Mincho"/>
          <w:lang w:val="en-US" w:eastAsia="ja-JP"/>
        </w:rPr>
        <w:t>, at least for TBs larger than a threshold (e.g. around 512 bits)</w:t>
      </w:r>
    </w:p>
    <w:p w14:paraId="1085232B" w14:textId="77777777" w:rsidR="00733D4B" w:rsidRPr="00C547CC" w:rsidRDefault="00733D4B" w:rsidP="00733D4B">
      <w:pPr>
        <w:numPr>
          <w:ilvl w:val="0"/>
          <w:numId w:val="27"/>
        </w:numPr>
        <w:tabs>
          <w:tab w:val="clear" w:pos="720"/>
          <w:tab w:val="num" w:pos="1287"/>
        </w:tabs>
        <w:overflowPunct/>
        <w:autoSpaceDE/>
        <w:autoSpaceDN/>
        <w:adjustRightInd/>
        <w:spacing w:after="0"/>
        <w:ind w:left="1287"/>
        <w:jc w:val="left"/>
        <w:textAlignment w:val="auto"/>
        <w:rPr>
          <w:rFonts w:eastAsia="MS Mincho"/>
          <w:lang w:eastAsia="ja-JP"/>
        </w:rPr>
      </w:pPr>
      <w:r>
        <w:rPr>
          <w:rFonts w:eastAsia="MS Mincho"/>
          <w:lang w:val="en-US" w:eastAsia="ja-JP"/>
        </w:rPr>
        <w:t xml:space="preserve">FFS the value of </w:t>
      </w:r>
      <w:r w:rsidRPr="001C454E">
        <w:rPr>
          <w:rFonts w:eastAsia="MS Mincho"/>
          <w:lang w:val="en-US" w:eastAsia="ja-JP"/>
        </w:rPr>
        <w:t>L</w:t>
      </w:r>
      <w:r w:rsidRPr="001C454E">
        <w:rPr>
          <w:rFonts w:eastAsia="MS Mincho"/>
          <w:vertAlign w:val="subscript"/>
          <w:lang w:val="en-US" w:eastAsia="ja-JP"/>
        </w:rPr>
        <w:t xml:space="preserve">TB,CRC </w:t>
      </w:r>
      <w:r>
        <w:rPr>
          <w:rFonts w:eastAsia="MS Mincho"/>
          <w:lang w:val="en-US" w:eastAsia="ja-JP"/>
        </w:rPr>
        <w:t>for TBs smaller than the threshold, and the value of the threshold (0 is not precluded)</w:t>
      </w:r>
    </w:p>
    <w:p w14:paraId="5EA2D9FF" w14:textId="77777777" w:rsidR="00733D4B" w:rsidRPr="001C454E" w:rsidRDefault="00733D4B" w:rsidP="00733D4B">
      <w:pPr>
        <w:numPr>
          <w:ilvl w:val="0"/>
          <w:numId w:val="27"/>
        </w:numPr>
        <w:tabs>
          <w:tab w:val="clear" w:pos="720"/>
          <w:tab w:val="num" w:pos="1287"/>
        </w:tabs>
        <w:overflowPunct/>
        <w:autoSpaceDE/>
        <w:autoSpaceDN/>
        <w:adjustRightInd/>
        <w:spacing w:after="0"/>
        <w:ind w:left="1287"/>
        <w:jc w:val="left"/>
        <w:textAlignment w:val="auto"/>
        <w:rPr>
          <w:rFonts w:eastAsia="MS Mincho"/>
          <w:lang w:eastAsia="ja-JP"/>
        </w:rPr>
      </w:pPr>
      <w:r w:rsidRPr="001C454E">
        <w:rPr>
          <w:rFonts w:eastAsia="MS Mincho"/>
          <w:lang w:val="en-US" w:eastAsia="ja-JP"/>
        </w:rPr>
        <w:t xml:space="preserve">If a TB is segmented into 2 or more CBs after </w:t>
      </w:r>
      <w:r>
        <w:rPr>
          <w:rFonts w:eastAsia="MS Mincho"/>
          <w:lang w:val="en-US" w:eastAsia="ja-JP"/>
        </w:rPr>
        <w:t>code block (CB) segmentation,</w:t>
      </w:r>
    </w:p>
    <w:p w14:paraId="28920060" w14:textId="77777777" w:rsidR="00733D4B" w:rsidRPr="001C454E" w:rsidRDefault="00733D4B" w:rsidP="00733D4B">
      <w:pPr>
        <w:numPr>
          <w:ilvl w:val="1"/>
          <w:numId w:val="27"/>
        </w:numPr>
        <w:tabs>
          <w:tab w:val="clear" w:pos="1440"/>
          <w:tab w:val="num" w:pos="2007"/>
        </w:tabs>
        <w:overflowPunct/>
        <w:autoSpaceDE/>
        <w:autoSpaceDN/>
        <w:adjustRightInd/>
        <w:spacing w:after="0"/>
        <w:ind w:left="2007"/>
        <w:jc w:val="left"/>
        <w:textAlignment w:val="auto"/>
        <w:rPr>
          <w:rFonts w:eastAsia="MS Mincho"/>
          <w:lang w:eastAsia="ja-JP"/>
        </w:rPr>
      </w:pPr>
      <w:r w:rsidRPr="001C454E">
        <w:rPr>
          <w:rFonts w:eastAsia="MS Mincho"/>
          <w:lang w:val="en-US" w:eastAsia="ja-JP"/>
        </w:rPr>
        <w:t>CB-level CRC is applied, i.e., CRC bits are attached to each code block individually (as in LTE)</w:t>
      </w:r>
    </w:p>
    <w:p w14:paraId="04253C91" w14:textId="77777777" w:rsidR="00733D4B" w:rsidRPr="004A1EE1" w:rsidRDefault="00733D4B" w:rsidP="00733D4B">
      <w:pPr>
        <w:numPr>
          <w:ilvl w:val="1"/>
          <w:numId w:val="27"/>
        </w:numPr>
        <w:tabs>
          <w:tab w:val="clear" w:pos="1440"/>
          <w:tab w:val="num" w:pos="2007"/>
        </w:tabs>
        <w:overflowPunct/>
        <w:autoSpaceDE/>
        <w:autoSpaceDN/>
        <w:adjustRightInd/>
        <w:spacing w:after="0"/>
        <w:ind w:left="2007"/>
        <w:jc w:val="left"/>
        <w:textAlignment w:val="auto"/>
        <w:rPr>
          <w:rFonts w:eastAsia="MS Mincho"/>
          <w:lang w:eastAsia="ja-JP"/>
        </w:rPr>
      </w:pPr>
      <w:r>
        <w:rPr>
          <w:rFonts w:eastAsia="MS Mincho"/>
          <w:lang w:val="en-US" w:eastAsia="ja-JP"/>
        </w:rPr>
        <w:t>Number bits</w:t>
      </w:r>
      <w:r w:rsidRPr="001C454E">
        <w:rPr>
          <w:rFonts w:eastAsia="MS Mincho"/>
          <w:lang w:val="en-US" w:eastAsia="ja-JP"/>
        </w:rPr>
        <w:t xml:space="preserve"> for CB-level CRC is: </w:t>
      </w:r>
      <w:r>
        <w:rPr>
          <w:rFonts w:eastAsia="MS Mincho"/>
          <w:lang w:val="en-US" w:eastAsia="ja-JP"/>
        </w:rPr>
        <w:t xml:space="preserve">0 &lt;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&lt;</w:t>
      </w:r>
      <w:r w:rsidRPr="001C454E">
        <w:rPr>
          <w:rFonts w:eastAsia="MS Mincho"/>
          <w:lang w:val="en-US" w:eastAsia="ja-JP"/>
        </w:rPr>
        <w:t>= 24 bits</w:t>
      </w:r>
    </w:p>
    <w:p w14:paraId="23914A6A" w14:textId="77777777" w:rsidR="00733D4B" w:rsidRPr="001C454E" w:rsidRDefault="00733D4B" w:rsidP="00733D4B">
      <w:pPr>
        <w:numPr>
          <w:ilvl w:val="2"/>
          <w:numId w:val="27"/>
        </w:numPr>
        <w:tabs>
          <w:tab w:val="clear" w:pos="2160"/>
          <w:tab w:val="num" w:pos="2727"/>
        </w:tabs>
        <w:overflowPunct/>
        <w:autoSpaceDE/>
        <w:autoSpaceDN/>
        <w:adjustRightInd/>
        <w:spacing w:after="0"/>
        <w:ind w:left="2727"/>
        <w:jc w:val="left"/>
        <w:textAlignment w:val="auto"/>
        <w:rPr>
          <w:rFonts w:eastAsia="MS Mincho"/>
          <w:lang w:eastAsia="ja-JP"/>
        </w:rPr>
      </w:pPr>
      <w:r>
        <w:rPr>
          <w:rFonts w:eastAsia="MS Mincho"/>
          <w:lang w:val="en-US" w:eastAsia="ja-JP"/>
        </w:rPr>
        <w:t xml:space="preserve">Exact value(s)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are to be agreed after base graph(s) are agreed, taking into account inherent LDPC PC capability</w:t>
      </w:r>
    </w:p>
    <w:p w14:paraId="17E07FC7" w14:textId="77777777" w:rsidR="00733D4B" w:rsidRPr="004A1EE1" w:rsidRDefault="00733D4B" w:rsidP="00733D4B">
      <w:pPr>
        <w:numPr>
          <w:ilvl w:val="0"/>
          <w:numId w:val="27"/>
        </w:numPr>
        <w:tabs>
          <w:tab w:val="clear" w:pos="720"/>
          <w:tab w:val="num" w:pos="1287"/>
        </w:tabs>
        <w:overflowPunct/>
        <w:autoSpaceDE/>
        <w:autoSpaceDN/>
        <w:adjustRightInd/>
        <w:spacing w:after="0"/>
        <w:ind w:left="1287"/>
        <w:jc w:val="left"/>
        <w:textAlignment w:val="auto"/>
        <w:rPr>
          <w:rFonts w:eastAsia="MS Mincho"/>
          <w:lang w:eastAsia="ja-JP"/>
        </w:rPr>
      </w:pPr>
      <w:r>
        <w:rPr>
          <w:rFonts w:eastAsia="MS Mincho"/>
          <w:lang w:val="en-US" w:eastAsia="ja-JP"/>
        </w:rPr>
        <w:t>FFS whether f</w:t>
      </w:r>
      <w:r w:rsidRPr="001C454E">
        <w:rPr>
          <w:rFonts w:eastAsia="MS Mincho"/>
          <w:lang w:val="en-US" w:eastAsia="ja-JP"/>
        </w:rPr>
        <w:t xml:space="preserve">or a code block group (CBG) containing 2 or more CBs but not all CBs of the TB, </w:t>
      </w:r>
      <w:r>
        <w:rPr>
          <w:rFonts w:eastAsia="MS Mincho"/>
          <w:lang w:val="en-US" w:eastAsia="ja-JP"/>
        </w:rPr>
        <w:t>any</w:t>
      </w:r>
      <w:r w:rsidRPr="001C454E">
        <w:rPr>
          <w:rFonts w:eastAsia="MS Mincho"/>
          <w:lang w:val="en-US" w:eastAsia="ja-JP"/>
        </w:rPr>
        <w:t xml:space="preserve"> additional CRC bits are attached to the CBG</w:t>
      </w:r>
    </w:p>
    <w:p w14:paraId="22DFCD3B" w14:textId="1A92C2C5" w:rsidR="00733D4B" w:rsidRPr="003F5094" w:rsidRDefault="00733D4B" w:rsidP="00733D4B">
      <w:pPr>
        <w:pStyle w:val="BodyText"/>
        <w:ind w:left="567"/>
        <w:rPr>
          <w:rFonts w:cs="Arial"/>
        </w:rPr>
      </w:pPr>
      <w:r>
        <w:rPr>
          <w:rFonts w:eastAsia="MS Mincho"/>
          <w:lang w:val="en-US" w:eastAsia="ja-JP"/>
        </w:rPr>
        <w:t xml:space="preserve">To be decide after decision on the value(s) of </w:t>
      </w:r>
      <w:r w:rsidRPr="001C454E">
        <w:rPr>
          <w:rFonts w:eastAsia="MS Mincho"/>
          <w:lang w:val="en-US" w:eastAsia="ja-JP"/>
        </w:rPr>
        <w:t>L</w:t>
      </w:r>
      <w:r w:rsidRPr="001C454E">
        <w:rPr>
          <w:rFonts w:eastAsia="MS Mincho"/>
          <w:vertAlign w:val="subscript"/>
          <w:lang w:val="en-US" w:eastAsia="ja-JP"/>
        </w:rPr>
        <w:t>CB,CRC</w:t>
      </w:r>
    </w:p>
    <w:p w14:paraId="197CF379" w14:textId="1DCA57AE" w:rsidR="00D538F4" w:rsidRPr="007B78FE" w:rsidRDefault="00D538F4" w:rsidP="00D538F4">
      <w:pPr>
        <w:pStyle w:val="BodyText"/>
        <w:rPr>
          <w:lang w:val="en-US"/>
        </w:rPr>
      </w:pPr>
      <w:r w:rsidRPr="007B78FE">
        <w:rPr>
          <w:lang w:val="en-US"/>
        </w:rPr>
        <w:t xml:space="preserve">In this contribution, we discuss potential </w:t>
      </w:r>
      <w:r w:rsidR="00AB2203" w:rsidRPr="007B78FE">
        <w:rPr>
          <w:lang w:val="en-US"/>
        </w:rPr>
        <w:t xml:space="preserve">protocol impacts </w:t>
      </w:r>
      <w:r w:rsidRPr="007B78FE">
        <w:rPr>
          <w:lang w:val="en-US"/>
        </w:rPr>
        <w:t xml:space="preserve">to support </w:t>
      </w:r>
      <w:r w:rsidR="00733D4B">
        <w:rPr>
          <w:rFonts w:cs="Arial"/>
        </w:rPr>
        <w:t>CRC attachment for NR data channel</w:t>
      </w:r>
      <w:r w:rsidRPr="007B78FE">
        <w:rPr>
          <w:sz w:val="22"/>
          <w:szCs w:val="22"/>
          <w:lang w:val="en-US"/>
        </w:rPr>
        <w:t>.</w:t>
      </w:r>
    </w:p>
    <w:p w14:paraId="5925009D" w14:textId="58A0B6F6" w:rsidR="004000E8" w:rsidRPr="007B78FE" w:rsidRDefault="004000E8" w:rsidP="00CE0424">
      <w:pPr>
        <w:pStyle w:val="Heading1"/>
        <w:rPr>
          <w:lang w:val="en-US"/>
        </w:rPr>
      </w:pPr>
      <w:bookmarkStart w:id="1" w:name="_Ref178064866"/>
      <w:r w:rsidRPr="007B78FE">
        <w:rPr>
          <w:lang w:val="en-US"/>
        </w:rPr>
        <w:t>Discussion</w:t>
      </w:r>
      <w:bookmarkEnd w:id="1"/>
    </w:p>
    <w:p w14:paraId="6D09BE14" w14:textId="77777777" w:rsidR="0068756A" w:rsidRDefault="0068756A" w:rsidP="0068756A">
      <w:pPr>
        <w:pStyle w:val="BodyText"/>
      </w:pPr>
      <w:r>
        <w:t>It was discussed in RAN1 #88 on whether an additional CBG level CRC should be introduced. The utility of such proposal should be analysed in terms of benefits relative to CB level CRC as well as in terms of impact to efficient receiver hardware implementation.</w:t>
      </w:r>
    </w:p>
    <w:p w14:paraId="29CDE4F3" w14:textId="77777777" w:rsidR="0068756A" w:rsidRDefault="0068756A" w:rsidP="0068756A">
      <w:pPr>
        <w:pStyle w:val="BodyText"/>
      </w:pPr>
      <w:r>
        <w:lastRenderedPageBreak/>
        <w:t>The usefulness of CBG based HARQ-ACK feedback is made possible by the potentially differing performance of different CBs. Since multiple CBs are present only when the transport block size exceeds 8192 bits, each of the CBs has thousands of bits. Note further that LDPC code has inherent error detection capability, which is also under discussion in the channel coding design sessions. For these large LDPC CBs, block errors may be missed by the inherent error detection capability with a probability no higher than 5E</w:t>
      </w:r>
      <w:r w:rsidRPr="001834F8">
        <w:rPr>
          <w:rFonts w:ascii="Courier New" w:hAnsi="Courier New" w:cs="Courier New"/>
        </w:rPr>
        <w:t>-</w:t>
      </w:r>
      <w:r>
        <w:t xml:space="preserve">6. The reliability of the CB level CRC can be exponentially enhanced with the number of the CRC bits. With CB size in the order of thousands of bits, adding a few CRC bits induces negligible losses in throughput. The actual number of explicit CB level CRC may be small while still achieving high error detection reliability. The CBG level CRC, on the other hand, are not and cannot be integrated as part of the LDPC decoding process/hardware. It thus induces additional hardware/processing and causes additional latency. Since its error detection capability cannot be joined with that of the LDPC code, it necessitates a sufficiently long CBG level CRC attachment to meeting CBG error detection requirements. </w:t>
      </w:r>
    </w:p>
    <w:p w14:paraId="5AD51677" w14:textId="220A7044" w:rsidR="0068756A" w:rsidRPr="004E4813" w:rsidRDefault="0068756A" w:rsidP="0068756A">
      <w:pPr>
        <w:pStyle w:val="BodyText"/>
        <w:rPr>
          <w:b/>
        </w:rPr>
      </w:pPr>
      <w:r w:rsidRPr="004E4813">
        <w:rPr>
          <w:b/>
        </w:rPr>
        <w:t xml:space="preserve">Observation </w:t>
      </w:r>
      <w:r>
        <w:rPr>
          <w:b/>
        </w:rPr>
        <w:t>1</w:t>
      </w:r>
      <w:r w:rsidRPr="004E4813">
        <w:rPr>
          <w:b/>
        </w:rPr>
        <w:t xml:space="preserve"> CBG level CRC does not offer material benefits relative to properly designed CB level CRC.</w:t>
      </w:r>
    </w:p>
    <w:p w14:paraId="3BCBCB6B" w14:textId="77777777" w:rsidR="0068756A" w:rsidRDefault="0068756A" w:rsidP="0068756A">
      <w:pPr>
        <w:pStyle w:val="BodyText"/>
      </w:pPr>
    </w:p>
    <w:p w14:paraId="144788D6" w14:textId="77777777" w:rsidR="0068756A" w:rsidRDefault="0068756A" w:rsidP="0068756A">
      <w:pPr>
        <w:pStyle w:val="BodyText"/>
      </w:pPr>
      <w:r>
        <w:t xml:space="preserve">To meet the high data rate and stringent low latency requirements for NR, receiver architectures on both the gNB and UE sides need to be optimized via parallelization and pipelined hardware designs as simple example illustrated in </w:t>
      </w:r>
      <w:r>
        <w:fldChar w:fldCharType="begin"/>
      </w:r>
      <w:r>
        <w:instrText xml:space="preserve"> REF _Ref477952277 \h </w:instrText>
      </w:r>
      <w:r>
        <w:fldChar w:fldCharType="separate"/>
      </w:r>
      <w:r>
        <w:t xml:space="preserve">Figure </w:t>
      </w:r>
      <w:r>
        <w:rPr>
          <w:noProof/>
        </w:rPr>
        <w:t>1</w:t>
      </w:r>
      <w:r>
        <w:fldChar w:fldCharType="end"/>
      </w:r>
      <w:r>
        <w:t>. The CB level CRC check can in generally be integrated in the decoding hardware to achieve high efficiency or to assist early stopping of iterative decoding. The routing of the soft values and decode bits are also optimized to minimize buffer memory usages.</w:t>
      </w:r>
    </w:p>
    <w:p w14:paraId="17593FBA" w14:textId="77777777" w:rsidR="0068756A" w:rsidRDefault="0068756A" w:rsidP="0068756A">
      <w:pPr>
        <w:pStyle w:val="BodyText"/>
      </w:pPr>
      <w:r>
        <w:t xml:space="preserve">From the point of view of high throughput and low latency hardware design, this CBG level CRC can have substantial negative impacts on implementation. Since CBG HARQ-ACK procedures are not always useful or used, the need to compute the additional CBG level CRC is hence not always needed. Note further that different CBGs can contain different numbers of CBs. To support all these different possibilities, the implementation needs to add conditional re-routing of the bits into the intricately designed parallel and pipelined hardware. This can potentially create process lockups as well as additional buffer memory requirements. </w:t>
      </w:r>
    </w:p>
    <w:p w14:paraId="55EE8F12" w14:textId="66E3B176" w:rsidR="0068756A" w:rsidRPr="00A52B67" w:rsidRDefault="0068756A" w:rsidP="0068756A">
      <w:pPr>
        <w:pStyle w:val="BodyText"/>
        <w:rPr>
          <w:b/>
        </w:rPr>
      </w:pPr>
      <w:r w:rsidRPr="00A52B67">
        <w:rPr>
          <w:b/>
        </w:rPr>
        <w:t xml:space="preserve">Observation </w:t>
      </w:r>
      <w:r>
        <w:rPr>
          <w:b/>
        </w:rPr>
        <w:t>2</w:t>
      </w:r>
      <w:r w:rsidRPr="00A52B67">
        <w:rPr>
          <w:b/>
        </w:rPr>
        <w:t xml:space="preserve"> Introducing CBG level CRC can have </w:t>
      </w:r>
      <w:r>
        <w:rPr>
          <w:b/>
        </w:rPr>
        <w:t>significant</w:t>
      </w:r>
      <w:r w:rsidRPr="00A52B67">
        <w:rPr>
          <w:b/>
        </w:rPr>
        <w:t xml:space="preserve"> negative impacts to receiver hardware designed for meeting high data rate and stringent low latency requirements.</w:t>
      </w:r>
    </w:p>
    <w:p w14:paraId="3BF390D6" w14:textId="77777777" w:rsidR="0068756A" w:rsidRDefault="0068756A" w:rsidP="0068756A">
      <w:pPr>
        <w:pStyle w:val="BodyText"/>
      </w:pPr>
    </w:p>
    <w:p w14:paraId="0A083FC8" w14:textId="77777777" w:rsidR="0068756A" w:rsidRDefault="0068756A" w:rsidP="0068756A">
      <w:pPr>
        <w:jc w:val="center"/>
      </w:pPr>
      <w:r w:rsidRPr="00A61366">
        <w:object w:dxaOrig="22076" w:dyaOrig="6540" w14:anchorId="584F1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35pt;height:114.6pt" o:ole="">
            <v:imagedata r:id="rId14" o:title=""/>
          </v:shape>
          <o:OLEObject Type="Embed" ProgID="Visio.Drawing.11" ShapeID="_x0000_i1025" DrawAspect="Content" ObjectID="_1555587991" r:id="rId15"/>
        </w:object>
      </w:r>
    </w:p>
    <w:p w14:paraId="79838D8E" w14:textId="77777777" w:rsidR="0068756A" w:rsidRDefault="0068756A" w:rsidP="0068756A">
      <w:pPr>
        <w:pStyle w:val="Caption"/>
      </w:pPr>
      <w:bookmarkStart w:id="2" w:name="_Ref477952277"/>
      <w:r>
        <w:t xml:space="preserve">Figure </w:t>
      </w:r>
      <w:r>
        <w:fldChar w:fldCharType="begin"/>
      </w:r>
      <w:r>
        <w:instrText xml:space="preserve"> SEQ Figure \* ARABIC </w:instrText>
      </w:r>
      <w:r>
        <w:fldChar w:fldCharType="separate"/>
      </w:r>
      <w:r>
        <w:rPr>
          <w:noProof/>
        </w:rPr>
        <w:t>1</w:t>
      </w:r>
      <w:r>
        <w:fldChar w:fldCharType="end"/>
      </w:r>
      <w:bookmarkEnd w:id="2"/>
      <w:r>
        <w:t xml:space="preserve"> Parallel and pipeline processing for NR receivers</w:t>
      </w:r>
    </w:p>
    <w:p w14:paraId="46DA7FBD" w14:textId="77777777" w:rsidR="0068756A" w:rsidRDefault="0068756A" w:rsidP="0068756A">
      <w:pPr>
        <w:pStyle w:val="BodyText"/>
      </w:pPr>
    </w:p>
    <w:p w14:paraId="476358F1" w14:textId="77777777" w:rsidR="0068756A" w:rsidRDefault="0068756A" w:rsidP="0068756A">
      <w:pPr>
        <w:pStyle w:val="BodyText"/>
      </w:pPr>
      <w:r>
        <w:t>Based on the above analysis, we propose</w:t>
      </w:r>
    </w:p>
    <w:p w14:paraId="4957E2E0" w14:textId="2EA6E325" w:rsidR="0068756A" w:rsidRPr="004E4813" w:rsidRDefault="0068756A" w:rsidP="0068756A">
      <w:pPr>
        <w:pStyle w:val="BodyText"/>
        <w:rPr>
          <w:b/>
        </w:rPr>
      </w:pPr>
      <w:r w:rsidRPr="004E4813">
        <w:rPr>
          <w:b/>
        </w:rPr>
        <w:t xml:space="preserve">Proposal </w:t>
      </w:r>
      <w:r>
        <w:rPr>
          <w:b/>
        </w:rPr>
        <w:t>1</w:t>
      </w:r>
      <w:r w:rsidRPr="004E4813">
        <w:rPr>
          <w:b/>
        </w:rPr>
        <w:t xml:space="preserve"> CBG level CRC is not introduced for NR.</w:t>
      </w:r>
    </w:p>
    <w:p w14:paraId="2C1B6BD4" w14:textId="77777777" w:rsidR="00C01F33" w:rsidRPr="007B78FE" w:rsidRDefault="00C01F33" w:rsidP="00CE0424">
      <w:pPr>
        <w:pStyle w:val="Heading1"/>
        <w:rPr>
          <w:lang w:val="en-US"/>
        </w:rPr>
      </w:pPr>
      <w:r w:rsidRPr="007B78FE">
        <w:rPr>
          <w:lang w:val="en-US"/>
        </w:rPr>
        <w:t>Conclusion</w:t>
      </w:r>
    </w:p>
    <w:p w14:paraId="0E95D80F" w14:textId="5F02D89D" w:rsidR="001154BD" w:rsidRDefault="007B78FE" w:rsidP="008E065E">
      <w:pPr>
        <w:rPr>
          <w:bCs/>
          <w:lang w:val="en-US"/>
        </w:rPr>
      </w:pPr>
      <w:r w:rsidRPr="007B78FE">
        <w:rPr>
          <w:bCs/>
          <w:lang w:val="en-US"/>
        </w:rPr>
        <w:t>We analyze</w:t>
      </w:r>
      <w:r w:rsidR="001154BD">
        <w:rPr>
          <w:bCs/>
          <w:lang w:val="en-US"/>
        </w:rPr>
        <w:t>d</w:t>
      </w:r>
      <w:r w:rsidRPr="007B78FE">
        <w:rPr>
          <w:bCs/>
          <w:lang w:val="en-US"/>
        </w:rPr>
        <w:t xml:space="preserve"> the </w:t>
      </w:r>
      <w:r>
        <w:rPr>
          <w:bCs/>
          <w:lang w:val="en-US"/>
        </w:rPr>
        <w:t xml:space="preserve">impact of CBG </w:t>
      </w:r>
      <w:r w:rsidR="001154BD">
        <w:rPr>
          <w:bCs/>
          <w:lang w:val="en-US"/>
        </w:rPr>
        <w:t>level CRC attachment</w:t>
      </w:r>
      <w:r>
        <w:rPr>
          <w:bCs/>
          <w:lang w:val="en-US"/>
        </w:rPr>
        <w:t xml:space="preserve"> </w:t>
      </w:r>
      <w:r w:rsidR="001154BD">
        <w:rPr>
          <w:bCs/>
          <w:lang w:val="en-US"/>
        </w:rPr>
        <w:t>and made the following observations:</w:t>
      </w:r>
    </w:p>
    <w:p w14:paraId="1BB56098" w14:textId="77777777" w:rsidR="001154BD" w:rsidRPr="004E4813" w:rsidRDefault="001154BD" w:rsidP="001154BD">
      <w:pPr>
        <w:pStyle w:val="BodyText"/>
        <w:rPr>
          <w:b/>
        </w:rPr>
      </w:pPr>
      <w:r w:rsidRPr="004E4813">
        <w:rPr>
          <w:b/>
        </w:rPr>
        <w:t xml:space="preserve">Observation </w:t>
      </w:r>
      <w:r>
        <w:rPr>
          <w:b/>
        </w:rPr>
        <w:t>1</w:t>
      </w:r>
      <w:r w:rsidRPr="004E4813">
        <w:rPr>
          <w:b/>
        </w:rPr>
        <w:t xml:space="preserve"> CBG level CRC does not offer material benefits relative to properly designed CB level CRC.</w:t>
      </w:r>
    </w:p>
    <w:p w14:paraId="028E48A7" w14:textId="77777777" w:rsidR="001154BD" w:rsidRPr="00A52B67" w:rsidRDefault="001154BD" w:rsidP="001154BD">
      <w:pPr>
        <w:pStyle w:val="BodyText"/>
        <w:rPr>
          <w:b/>
        </w:rPr>
      </w:pPr>
      <w:r w:rsidRPr="00A52B67">
        <w:rPr>
          <w:b/>
        </w:rPr>
        <w:t xml:space="preserve">Observation </w:t>
      </w:r>
      <w:r>
        <w:rPr>
          <w:b/>
        </w:rPr>
        <w:t>2</w:t>
      </w:r>
      <w:r w:rsidRPr="00A52B67">
        <w:rPr>
          <w:b/>
        </w:rPr>
        <w:t xml:space="preserve"> Introducing CBG level CRC can have </w:t>
      </w:r>
      <w:r>
        <w:rPr>
          <w:b/>
        </w:rPr>
        <w:t>significant</w:t>
      </w:r>
      <w:r w:rsidRPr="00A52B67">
        <w:rPr>
          <w:b/>
        </w:rPr>
        <w:t xml:space="preserve"> negative impacts to receiver hardware designed for meeting high data rate and stringent low latency requirements.</w:t>
      </w:r>
    </w:p>
    <w:p w14:paraId="2D235AD5" w14:textId="77777777" w:rsidR="001154BD" w:rsidRDefault="001154BD" w:rsidP="008E065E">
      <w:pPr>
        <w:rPr>
          <w:bCs/>
          <w:lang w:val="en-US"/>
        </w:rPr>
      </w:pPr>
    </w:p>
    <w:p w14:paraId="1FDD43DD" w14:textId="61F53549" w:rsidR="008E065E" w:rsidRDefault="001154BD" w:rsidP="008E065E">
      <w:pPr>
        <w:rPr>
          <w:bCs/>
          <w:lang w:val="en-US"/>
        </w:rPr>
      </w:pPr>
      <w:r>
        <w:rPr>
          <w:bCs/>
          <w:lang w:val="en-US"/>
        </w:rPr>
        <w:lastRenderedPageBreak/>
        <w:t>Therefore, we propose:</w:t>
      </w:r>
    </w:p>
    <w:p w14:paraId="7AB69E40" w14:textId="77777777" w:rsidR="001154BD" w:rsidRPr="004E4813" w:rsidRDefault="001154BD" w:rsidP="001154BD">
      <w:pPr>
        <w:pStyle w:val="BodyText"/>
        <w:rPr>
          <w:b/>
        </w:rPr>
      </w:pPr>
      <w:r w:rsidRPr="004E4813">
        <w:rPr>
          <w:b/>
        </w:rPr>
        <w:t xml:space="preserve">Proposal </w:t>
      </w:r>
      <w:r>
        <w:rPr>
          <w:b/>
        </w:rPr>
        <w:t>1</w:t>
      </w:r>
      <w:r w:rsidRPr="004E4813">
        <w:rPr>
          <w:b/>
        </w:rPr>
        <w:t xml:space="preserve"> CBG level CRC is not introduced for NR.</w:t>
      </w:r>
    </w:p>
    <w:p w14:paraId="06813E7E" w14:textId="77777777" w:rsidR="00AB0BC8" w:rsidRPr="007B78FE" w:rsidRDefault="00AB0BC8" w:rsidP="00A04F49">
      <w:pPr>
        <w:rPr>
          <w:b/>
          <w:bCs/>
          <w:lang w:val="en-US"/>
        </w:rPr>
      </w:pPr>
    </w:p>
    <w:p w14:paraId="57B73A36" w14:textId="77777777" w:rsidR="00F507D1" w:rsidRPr="007B78FE" w:rsidRDefault="00F507D1" w:rsidP="00CE0424">
      <w:pPr>
        <w:pStyle w:val="Heading1"/>
        <w:rPr>
          <w:lang w:val="en-US"/>
        </w:rPr>
      </w:pPr>
      <w:bookmarkStart w:id="3" w:name="_In-sequence_SDU_delivery"/>
      <w:bookmarkEnd w:id="3"/>
      <w:r w:rsidRPr="007B78FE">
        <w:rPr>
          <w:lang w:val="en-US"/>
        </w:rPr>
        <w:t>References</w:t>
      </w:r>
    </w:p>
    <w:p w14:paraId="3618435D" w14:textId="2B6079FA" w:rsidR="00221CBF" w:rsidRPr="007B78FE" w:rsidRDefault="00221CBF" w:rsidP="00221CBF">
      <w:pPr>
        <w:pStyle w:val="Reference"/>
        <w:rPr>
          <w:lang w:val="en-US"/>
        </w:rPr>
      </w:pPr>
      <w:bookmarkStart w:id="4" w:name="_Ref473934775"/>
      <w:bookmarkStart w:id="5" w:name="_Ref174151459"/>
      <w:bookmarkStart w:id="6" w:name="_Ref189809556"/>
      <w:r w:rsidRPr="007B78FE">
        <w:rPr>
          <w:lang w:val="en-US"/>
        </w:rPr>
        <w:t>Chairman’s Notes, 3GPP TSG RAN WG1 Meeting#88</w:t>
      </w:r>
      <w:bookmarkEnd w:id="4"/>
      <w:r w:rsidR="00797B44">
        <w:rPr>
          <w:lang w:val="en-US"/>
        </w:rPr>
        <w:t>bis</w:t>
      </w:r>
      <w:r w:rsidRPr="007B78FE">
        <w:rPr>
          <w:lang w:val="en-US"/>
        </w:rPr>
        <w:t xml:space="preserve"> </w:t>
      </w:r>
    </w:p>
    <w:p w14:paraId="1AEBF3DD" w14:textId="6B3DA0AC" w:rsidR="005F3025" w:rsidRPr="007B78FE" w:rsidRDefault="00E72C1E" w:rsidP="00BA2CD3">
      <w:pPr>
        <w:pStyle w:val="Reference"/>
        <w:rPr>
          <w:lang w:val="en-US"/>
        </w:rPr>
      </w:pPr>
      <w:bookmarkStart w:id="7" w:name="_Ref477978143"/>
      <w:r>
        <w:rPr>
          <w:lang w:val="en-US"/>
        </w:rPr>
        <w:t>R</w:t>
      </w:r>
      <w:r w:rsidR="00BA2CD3" w:rsidRPr="00BA2CD3">
        <w:rPr>
          <w:lang w:val="en-US"/>
        </w:rPr>
        <w:t>1</w:t>
      </w:r>
      <w:r>
        <w:rPr>
          <w:lang w:val="en-US"/>
        </w:rPr>
        <w:t>-</w:t>
      </w:r>
      <w:r w:rsidR="00BA2CD3" w:rsidRPr="00BA2CD3">
        <w:rPr>
          <w:lang w:val="en-US"/>
        </w:rPr>
        <w:t>707063</w:t>
      </w:r>
      <w:r w:rsidR="0009031B" w:rsidRPr="007B78FE">
        <w:rPr>
          <w:lang w:val="en-US"/>
        </w:rPr>
        <w:t xml:space="preserve"> </w:t>
      </w:r>
      <w:r w:rsidR="00BA2CD3" w:rsidRPr="00BA2CD3">
        <w:rPr>
          <w:lang w:val="en-US"/>
        </w:rPr>
        <w:t>CRC Attachment for Code Block Group</w:t>
      </w:r>
      <w:r w:rsidR="0009031B" w:rsidRPr="007B78FE">
        <w:rPr>
          <w:lang w:val="en-US"/>
        </w:rPr>
        <w:t>, Ericsson</w:t>
      </w:r>
      <w:bookmarkEnd w:id="5"/>
      <w:bookmarkEnd w:id="6"/>
      <w:bookmarkEnd w:id="7"/>
    </w:p>
    <w:sectPr w:rsidR="005F3025" w:rsidRPr="007B78FE">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FB603" w14:textId="77777777" w:rsidR="006B17B8" w:rsidRDefault="006B17B8">
      <w:r>
        <w:separator/>
      </w:r>
    </w:p>
  </w:endnote>
  <w:endnote w:type="continuationSeparator" w:id="0">
    <w:p w14:paraId="00094CE1" w14:textId="77777777" w:rsidR="006B17B8" w:rsidRDefault="006B1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52B3D36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E371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371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28A6A" w14:textId="77777777" w:rsidR="006B17B8" w:rsidRDefault="006B17B8">
      <w:r>
        <w:separator/>
      </w:r>
    </w:p>
  </w:footnote>
  <w:footnote w:type="continuationSeparator" w:id="0">
    <w:p w14:paraId="6A4ED004" w14:textId="77777777" w:rsidR="006B17B8" w:rsidRDefault="006B1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27"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5"/>
  </w:num>
  <w:num w:numId="4">
    <w:abstractNumId w:val="16"/>
  </w:num>
  <w:num w:numId="5">
    <w:abstractNumId w:val="13"/>
  </w:num>
  <w:num w:numId="6">
    <w:abstractNumId w:val="19"/>
  </w:num>
  <w:num w:numId="7">
    <w:abstractNumId w:val="22"/>
  </w:num>
  <w:num w:numId="8">
    <w:abstractNumId w:val="14"/>
  </w:num>
  <w:num w:numId="9">
    <w:abstractNumId w:val="12"/>
  </w:num>
  <w:num w:numId="10">
    <w:abstractNumId w:val="3"/>
  </w:num>
  <w:num w:numId="11">
    <w:abstractNumId w:val="2"/>
  </w:num>
  <w:num w:numId="12">
    <w:abstractNumId w:val="1"/>
  </w:num>
  <w:num w:numId="13">
    <w:abstractNumId w:val="21"/>
  </w:num>
  <w:num w:numId="14">
    <w:abstractNumId w:val="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5"/>
  </w:num>
  <w:num w:numId="18">
    <w:abstractNumId w:val="9"/>
  </w:num>
  <w:num w:numId="19">
    <w:abstractNumId w:val="7"/>
  </w:num>
  <w:num w:numId="20">
    <w:abstractNumId w:val="11"/>
  </w:num>
  <w:num w:numId="21">
    <w:abstractNumId w:val="27"/>
  </w:num>
  <w:num w:numId="22">
    <w:abstractNumId w:val="8"/>
  </w:num>
  <w:num w:numId="23">
    <w:abstractNumId w:val="5"/>
  </w:num>
  <w:num w:numId="24">
    <w:abstractNumId w:val="17"/>
  </w:num>
  <w:num w:numId="25">
    <w:abstractNumId w:val="23"/>
  </w:num>
  <w:num w:numId="26">
    <w:abstractNumId w:val="24"/>
  </w:num>
  <w:num w:numId="27">
    <w:abstractNumId w:val="18"/>
  </w:num>
  <w:num w:numId="28">
    <w:abstractNumId w:val="10"/>
  </w:num>
  <w:num w:numId="29">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59C1"/>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D255C"/>
    <w:rsid w:val="001D51BA"/>
    <w:rsid w:val="001D6342"/>
    <w:rsid w:val="001D6D53"/>
    <w:rsid w:val="001E3715"/>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670"/>
    <w:rsid w:val="00220600"/>
    <w:rsid w:val="00221CBF"/>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C41E6"/>
    <w:rsid w:val="002C42D6"/>
    <w:rsid w:val="002C5BA4"/>
    <w:rsid w:val="002D071A"/>
    <w:rsid w:val="002D34B2"/>
    <w:rsid w:val="002D7637"/>
    <w:rsid w:val="002E17F2"/>
    <w:rsid w:val="002E2B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421"/>
    <w:rsid w:val="00357380"/>
    <w:rsid w:val="003602D9"/>
    <w:rsid w:val="003604CE"/>
    <w:rsid w:val="00360828"/>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AF0"/>
    <w:rsid w:val="0043372F"/>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0E23"/>
    <w:rsid w:val="005116F9"/>
    <w:rsid w:val="005153A7"/>
    <w:rsid w:val="005154B1"/>
    <w:rsid w:val="005219CF"/>
    <w:rsid w:val="00534B59"/>
    <w:rsid w:val="00536759"/>
    <w:rsid w:val="00537C62"/>
    <w:rsid w:val="00546970"/>
    <w:rsid w:val="00547DF0"/>
    <w:rsid w:val="00547F4D"/>
    <w:rsid w:val="00550419"/>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4151F"/>
    <w:rsid w:val="00641533"/>
    <w:rsid w:val="00641976"/>
    <w:rsid w:val="0064208D"/>
    <w:rsid w:val="00643475"/>
    <w:rsid w:val="00643771"/>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56A"/>
    <w:rsid w:val="00695FC2"/>
    <w:rsid w:val="00696949"/>
    <w:rsid w:val="00697052"/>
    <w:rsid w:val="006A46FB"/>
    <w:rsid w:val="006A5E28"/>
    <w:rsid w:val="006A697B"/>
    <w:rsid w:val="006A7AFF"/>
    <w:rsid w:val="006B17B8"/>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EDB"/>
    <w:rsid w:val="00706101"/>
    <w:rsid w:val="00707072"/>
    <w:rsid w:val="00707D61"/>
    <w:rsid w:val="00712287"/>
    <w:rsid w:val="00712772"/>
    <w:rsid w:val="007148D3"/>
    <w:rsid w:val="00715B9A"/>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6AC"/>
    <w:rsid w:val="008444E8"/>
    <w:rsid w:val="00844E80"/>
    <w:rsid w:val="00846505"/>
    <w:rsid w:val="00846FE7"/>
    <w:rsid w:val="008565AD"/>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56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48A8"/>
    <w:rsid w:val="00A04F49"/>
    <w:rsid w:val="00A13E54"/>
    <w:rsid w:val="00A17F63"/>
    <w:rsid w:val="00A20554"/>
    <w:rsid w:val="00A2193B"/>
    <w:rsid w:val="00A2351A"/>
    <w:rsid w:val="00A264A9"/>
    <w:rsid w:val="00A27785"/>
    <w:rsid w:val="00A30187"/>
    <w:rsid w:val="00A3448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A016F"/>
    <w:rsid w:val="00AA1ED6"/>
    <w:rsid w:val="00AA51D6"/>
    <w:rsid w:val="00AB0BC8"/>
    <w:rsid w:val="00AB11CA"/>
    <w:rsid w:val="00AB14D9"/>
    <w:rsid w:val="00AB2203"/>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39F6"/>
    <w:rsid w:val="00B81A6C"/>
    <w:rsid w:val="00B835AD"/>
    <w:rsid w:val="00B85DE5"/>
    <w:rsid w:val="00B90F73"/>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77"/>
    <w:rsid w:val="00C279B5"/>
    <w:rsid w:val="00C27C45"/>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A1ED8"/>
    <w:rsid w:val="00CB1F63"/>
    <w:rsid w:val="00CB7170"/>
    <w:rsid w:val="00CB7D95"/>
    <w:rsid w:val="00CC040E"/>
    <w:rsid w:val="00CC111F"/>
    <w:rsid w:val="00CC2011"/>
    <w:rsid w:val="00CC3EA0"/>
    <w:rsid w:val="00CC7B45"/>
    <w:rsid w:val="00CD1188"/>
    <w:rsid w:val="00CD187B"/>
    <w:rsid w:val="00CD2ED1"/>
    <w:rsid w:val="00CD337B"/>
    <w:rsid w:val="00CE0424"/>
    <w:rsid w:val="00CE36E3"/>
    <w:rsid w:val="00CE7561"/>
    <w:rsid w:val="00CF1354"/>
    <w:rsid w:val="00CF3B1F"/>
    <w:rsid w:val="00CF3BF6"/>
    <w:rsid w:val="00CF625B"/>
    <w:rsid w:val="00CF687E"/>
    <w:rsid w:val="00D0349B"/>
    <w:rsid w:val="00D10249"/>
    <w:rsid w:val="00D115C3"/>
    <w:rsid w:val="00D11897"/>
    <w:rsid w:val="00D13135"/>
    <w:rsid w:val="00D13E4E"/>
    <w:rsid w:val="00D21F5F"/>
    <w:rsid w:val="00D239A7"/>
    <w:rsid w:val="00D23F47"/>
    <w:rsid w:val="00D27862"/>
    <w:rsid w:val="00D3019D"/>
    <w:rsid w:val="00D36E71"/>
    <w:rsid w:val="00D37D87"/>
    <w:rsid w:val="00D40B33"/>
    <w:rsid w:val="00D4318F"/>
    <w:rsid w:val="00D438BF"/>
    <w:rsid w:val="00D440F8"/>
    <w:rsid w:val="00D50F97"/>
    <w:rsid w:val="00D538F4"/>
    <w:rsid w:val="00D546FF"/>
    <w:rsid w:val="00D55AD5"/>
    <w:rsid w:val="00D576CA"/>
    <w:rsid w:val="00D61AF5"/>
    <w:rsid w:val="00D652B5"/>
    <w:rsid w:val="00D66155"/>
    <w:rsid w:val="00D708B0"/>
    <w:rsid w:val="00D74837"/>
    <w:rsid w:val="00D77B1D"/>
    <w:rsid w:val="00D8021F"/>
    <w:rsid w:val="00D80383"/>
    <w:rsid w:val="00D80D28"/>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A0"/>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0E"/>
    <w:rsid w:val="00E57565"/>
    <w:rsid w:val="00E63838"/>
    <w:rsid w:val="00E64434"/>
    <w:rsid w:val="00E660D3"/>
    <w:rsid w:val="00E67C51"/>
    <w:rsid w:val="00E72C1E"/>
    <w:rsid w:val="00E72EFC"/>
    <w:rsid w:val="00E758EC"/>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F18FE"/>
    <w:rsid w:val="00EF5787"/>
    <w:rsid w:val="00EF60D0"/>
    <w:rsid w:val="00F01FBF"/>
    <w:rsid w:val="00F0528D"/>
    <w:rsid w:val="00F06C67"/>
    <w:rsid w:val="00F06DFD"/>
    <w:rsid w:val="00F071D1"/>
    <w:rsid w:val="00F07533"/>
    <w:rsid w:val="00F10629"/>
    <w:rsid w:val="00F154BD"/>
    <w:rsid w:val="00F15FA5"/>
    <w:rsid w:val="00F17FAC"/>
    <w:rsid w:val="00F209B7"/>
    <w:rsid w:val="00F2376F"/>
    <w:rsid w:val="00F243D8"/>
    <w:rsid w:val="00F30828"/>
    <w:rsid w:val="00F313D6"/>
    <w:rsid w:val="00F40F0C"/>
    <w:rsid w:val="00F41B4E"/>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7A4"/>
    <w:rsid w:val="00F93AA9"/>
    <w:rsid w:val="00F96985"/>
    <w:rsid w:val="00F97838"/>
    <w:rsid w:val="00FA2BB3"/>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table" w:styleId="TableGrid">
    <w:name w:val="Table Grid"/>
    <w:basedOn w:val="TableNormal"/>
    <w:uiPriority w:val="59"/>
    <w:rsid w:val="00510E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4.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7.xml><?xml version="1.0" encoding="utf-8"?>
<ds:datastoreItem xmlns:ds="http://schemas.openxmlformats.org/officeDocument/2006/customXml" ds:itemID="{3DC7BA92-2F35-4FBF-BBA1-39C2CB742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339</TotalTime>
  <Pages>3</Pages>
  <Words>897</Words>
  <Characters>4757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5643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Sorour Falahati</cp:lastModifiedBy>
  <cp:revision>66</cp:revision>
  <cp:lastPrinted>2008-01-31T16:09:00Z</cp:lastPrinted>
  <dcterms:created xsi:type="dcterms:W3CDTF">2017-02-07T17:47:00Z</dcterms:created>
  <dcterms:modified xsi:type="dcterms:W3CDTF">2017-05-06T13:00:00Z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