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BCB51" w14:textId="577C0EC4" w:rsidR="009C299B" w:rsidRPr="001047B5" w:rsidRDefault="009C299B" w:rsidP="009C299B">
      <w:pPr>
        <w:pStyle w:val="Header"/>
        <w:tabs>
          <w:tab w:val="clear" w:pos="4536"/>
        </w:tabs>
        <w:rPr>
          <w:i/>
          <w:lang w:val="de-DE"/>
        </w:rPr>
      </w:pPr>
      <w:r w:rsidRPr="001047B5">
        <w:rPr>
          <w:lang w:val="de-DE"/>
        </w:rPr>
        <w:t>TSG-RAN WG1</w:t>
      </w:r>
      <w:r>
        <w:rPr>
          <w:lang w:val="de-DE"/>
        </w:rPr>
        <w:t xml:space="preserve"> Meeting#89</w:t>
      </w:r>
      <w:r w:rsidRPr="001047B5">
        <w:rPr>
          <w:lang w:val="de-DE"/>
        </w:rPr>
        <w:tab/>
        <w:t>R1-17</w:t>
      </w:r>
      <w:r w:rsidR="00C36063">
        <w:rPr>
          <w:lang w:val="de-DE"/>
        </w:rPr>
        <w:t>09104</w:t>
      </w:r>
      <w:bookmarkStart w:id="0" w:name="_GoBack"/>
      <w:bookmarkEnd w:id="0"/>
    </w:p>
    <w:p w14:paraId="2D23C0C3" w14:textId="77777777" w:rsidR="009C299B" w:rsidRPr="000833FA" w:rsidRDefault="009C299B" w:rsidP="009C299B">
      <w:pPr>
        <w:pStyle w:val="Header"/>
        <w:rPr>
          <w:color w:val="000000"/>
        </w:rPr>
      </w:pPr>
      <w:r>
        <w:t>Hangzhou, China, May 15 – 19, 2017</w:t>
      </w:r>
    </w:p>
    <w:p w14:paraId="6FA39D90" w14:textId="77777777" w:rsidR="00D754C4" w:rsidRPr="00D754C4" w:rsidRDefault="00D754C4" w:rsidP="00D754C4">
      <w:pPr>
        <w:pStyle w:val="Header"/>
        <w:rPr>
          <w:lang w:val="en-GB"/>
        </w:rPr>
      </w:pPr>
    </w:p>
    <w:p w14:paraId="72E08FCD"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2BF99A4B" w14:textId="372F9887" w:rsidR="00F618ED" w:rsidRPr="00E220C0" w:rsidRDefault="00F618ED" w:rsidP="00F618ED">
      <w:pPr>
        <w:pStyle w:val="Header"/>
        <w:tabs>
          <w:tab w:val="clear" w:pos="4536"/>
          <w:tab w:val="left" w:pos="1800"/>
        </w:tabs>
      </w:pPr>
      <w:r w:rsidRPr="0003368D">
        <w:t>Title:</w:t>
      </w:r>
      <w:bookmarkStart w:id="1" w:name="Title"/>
      <w:bookmarkEnd w:id="1"/>
      <w:r w:rsidRPr="0003368D">
        <w:tab/>
      </w:r>
      <w:r w:rsidR="00FC3DF6" w:rsidRPr="00FC3DF6">
        <w:t xml:space="preserve">On </w:t>
      </w:r>
      <w:r w:rsidR="006660F3">
        <w:t>HARQ and Soft Buffer H</w:t>
      </w:r>
      <w:r w:rsidR="00FC3DF6" w:rsidRPr="00FC3DF6">
        <w:t>andling</w:t>
      </w:r>
    </w:p>
    <w:p w14:paraId="21A0FB9A" w14:textId="3637C157" w:rsidR="00F618ED" w:rsidRPr="00E220C0" w:rsidRDefault="00F618ED" w:rsidP="00F618ED">
      <w:pPr>
        <w:pStyle w:val="Header"/>
        <w:tabs>
          <w:tab w:val="left" w:pos="1800"/>
        </w:tabs>
      </w:pPr>
      <w:r w:rsidRPr="00E220C0">
        <w:t>Agenda Item:</w:t>
      </w:r>
      <w:bookmarkStart w:id="2" w:name="Source"/>
      <w:bookmarkEnd w:id="2"/>
      <w:r w:rsidRPr="00E220C0">
        <w:tab/>
      </w:r>
      <w:r w:rsidR="00117D16">
        <w:t>7</w:t>
      </w:r>
      <w:r w:rsidR="00D754C4">
        <w:t>.1.3.3.</w:t>
      </w:r>
      <w:r w:rsidR="00117D16">
        <w:t>4</w:t>
      </w:r>
    </w:p>
    <w:p w14:paraId="37E0F9F2"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4CE178D4" w14:textId="77777777" w:rsidR="00F618ED" w:rsidRPr="002100D2" w:rsidRDefault="00F618ED" w:rsidP="00F618ED">
      <w:pPr>
        <w:pBdr>
          <w:bottom w:val="single" w:sz="4" w:space="1" w:color="auto"/>
        </w:pBdr>
        <w:tabs>
          <w:tab w:val="left" w:pos="2552"/>
        </w:tabs>
      </w:pPr>
    </w:p>
    <w:p w14:paraId="00E53489" w14:textId="15D89B05" w:rsidR="00F618ED" w:rsidRDefault="00F618ED" w:rsidP="00F618ED">
      <w:pPr>
        <w:pStyle w:val="Heading1"/>
        <w:spacing w:before="180"/>
        <w:ind w:left="562" w:hanging="562"/>
      </w:pPr>
      <w:r>
        <w:t>Introduction</w:t>
      </w:r>
    </w:p>
    <w:p w14:paraId="146C0902" w14:textId="77777777" w:rsidR="00C51999" w:rsidRDefault="002D3036" w:rsidP="0022072F">
      <w:pPr>
        <w:pStyle w:val="BodyText"/>
      </w:pPr>
      <w:r>
        <w:t xml:space="preserve">NR will support hybrid ARQ retransmissions using multiple hybrid-ARQ processes in a similar way as done for LTE. </w:t>
      </w:r>
      <w:r w:rsidR="00FC3DF6">
        <w:t>In this contribution we discuss around HARQ processes and soft buffer handling for NR</w:t>
      </w:r>
      <w:r w:rsidR="00A96D77">
        <w:t xml:space="preserve">. </w:t>
      </w:r>
    </w:p>
    <w:p w14:paraId="1D2A7B37" w14:textId="01F2B3D4" w:rsidR="004B1C8B" w:rsidRDefault="00230310" w:rsidP="00230310">
      <w:pPr>
        <w:pStyle w:val="Heading1"/>
        <w:spacing w:before="180"/>
        <w:ind w:left="562" w:hanging="562"/>
      </w:pPr>
      <w:r>
        <w:t>Discussion</w:t>
      </w:r>
    </w:p>
    <w:p w14:paraId="48741873" w14:textId="5993FDC1" w:rsidR="002D3036" w:rsidRDefault="002D3036" w:rsidP="002D3036">
      <w:pPr>
        <w:pStyle w:val="BodyText"/>
      </w:pPr>
      <w:r>
        <w:t>The amount of soft buffer memory in the UE increases with increased roundtrip time assuming the UE should be capable of soft buffering of all the transmissions. Although there is some relation to the number of hybrid-ARQ processes used, the amount of soft buffer memory could in principle be seen as a separate issue to discuss. Requiring the UE to support the highest possible data rate simultaneously with the maximum number of hybrid-ARQ processes may increase UE complexity and cost. For example, assuming a static split of the soft buffer memory across the hybrid-ARQ processes and operating at 10% initial BLER, it is not likely that all processes fail reception and needs to be soft buffered with full IR support.</w:t>
      </w:r>
    </w:p>
    <w:p w14:paraId="7C99D9A1" w14:textId="5AAB410E" w:rsidR="002D3036" w:rsidRDefault="002D3036" w:rsidP="002D3036">
      <w:pPr>
        <w:pStyle w:val="BodyText"/>
      </w:pPr>
      <w:r>
        <w:t xml:space="preserve">Instead of a semi-static split of the soft buffer memory across all hybrid-ARQ processes it is proposed to leave some freedom to the UE on how to handle the soft buffer memory management. In principle, there may not be any need to inform the UE about the number of hybrid-ARQ processes used in the downlink although the UE memory management may benefit from having this information. </w:t>
      </w:r>
      <w:r w:rsidR="007C6A4A">
        <w:t>Leaving</w:t>
      </w:r>
      <w:r>
        <w:t xml:space="preserve"> some freedom to the UE would allow operation with a larger number of processes when motivated at the cost of reduced incremental redundancy gain and benefit from full IR gain </w:t>
      </w:r>
      <w:r w:rsidR="007C6A4A">
        <w:t xml:space="preserve">with a more aggressive retransmission timeline. </w:t>
      </w:r>
      <w:r w:rsidR="00B27C2D">
        <w:t>One possibility could be to stat</w:t>
      </w:r>
      <w:r w:rsidR="00D42C77">
        <w:t>e</w:t>
      </w:r>
      <w:r w:rsidR="00B27C2D">
        <w:t xml:space="preserve"> </w:t>
      </w:r>
      <w:r w:rsidR="00D42C77">
        <w:t>the</w:t>
      </w:r>
      <w:r w:rsidR="00B27C2D">
        <w:t xml:space="preserve"> number of code bloc</w:t>
      </w:r>
      <w:r w:rsidR="00D42C77">
        <w:t>ks the UE is capable of storing.</w:t>
      </w:r>
    </w:p>
    <w:p w14:paraId="18C20FB6" w14:textId="71BF1DFE" w:rsidR="00DA7D33" w:rsidRDefault="00DA7D33" w:rsidP="00DA7D33">
      <w:pPr>
        <w:pStyle w:val="Heading1"/>
        <w:spacing w:before="180"/>
        <w:ind w:left="562" w:hanging="562"/>
      </w:pPr>
      <w:r>
        <w:t>Conclusion</w:t>
      </w:r>
    </w:p>
    <w:p w14:paraId="0D373794" w14:textId="77777777" w:rsidR="00BD030B" w:rsidRPr="00BD030B" w:rsidRDefault="00BD030B" w:rsidP="00C51999">
      <w:pPr>
        <w:pStyle w:val="BodyText"/>
        <w:rPr>
          <w:b/>
        </w:rPr>
      </w:pPr>
      <w:r w:rsidRPr="00BD030B">
        <w:rPr>
          <w:b/>
        </w:rPr>
        <w:t>Proposal:</w:t>
      </w:r>
    </w:p>
    <w:p w14:paraId="6613C440" w14:textId="0F961F30" w:rsidR="00BD030B" w:rsidRDefault="00C51999" w:rsidP="00BD030B">
      <w:pPr>
        <w:pStyle w:val="BodyText"/>
        <w:numPr>
          <w:ilvl w:val="0"/>
          <w:numId w:val="30"/>
        </w:numPr>
      </w:pPr>
      <w:r>
        <w:t xml:space="preserve">The soft buffer memory size does </w:t>
      </w:r>
      <w:r w:rsidR="00D42C77">
        <w:t>not</w:t>
      </w:r>
      <w:r>
        <w:t xml:space="preserve"> have to be designed with simultaneous support of peak rate, full IR support, and the maximum number of HARQ processes in mind.</w:t>
      </w:r>
      <w:r w:rsidR="00D42C77">
        <w:t xml:space="preserve"> </w:t>
      </w:r>
    </w:p>
    <w:p w14:paraId="4BEE9461" w14:textId="528F7F4E" w:rsidR="00C51999" w:rsidRPr="00C51999" w:rsidRDefault="00D42C77" w:rsidP="00BD030B">
      <w:pPr>
        <w:pStyle w:val="BodyText"/>
        <w:numPr>
          <w:ilvl w:val="0"/>
          <w:numId w:val="30"/>
        </w:numPr>
      </w:pPr>
      <w:r>
        <w:t>The UE should be capable of soft buffering a certain number of code</w:t>
      </w:r>
      <w:r w:rsidR="00BD030B">
        <w:t xml:space="preserve"> </w:t>
      </w:r>
      <w:r>
        <w:t>blocks (the number may depend on UE capabilities).</w:t>
      </w:r>
    </w:p>
    <w:p w14:paraId="00191750" w14:textId="77777777" w:rsidR="00292665" w:rsidRPr="00292665" w:rsidRDefault="00292665" w:rsidP="00772E80">
      <w:pPr>
        <w:pStyle w:val="BodyText"/>
      </w:pPr>
    </w:p>
    <w:sectPr w:rsidR="00292665" w:rsidRPr="00292665"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7F1B0" w14:textId="77777777" w:rsidR="004C43E7" w:rsidRDefault="004C43E7" w:rsidP="00C01A55">
      <w:r>
        <w:separator/>
      </w:r>
    </w:p>
  </w:endnote>
  <w:endnote w:type="continuationSeparator" w:id="0">
    <w:p w14:paraId="0D450D33" w14:textId="77777777" w:rsidR="004C43E7" w:rsidRDefault="004C43E7" w:rsidP="00C0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0FAA2" w14:textId="77777777" w:rsidR="004C43E7" w:rsidRDefault="004C43E7" w:rsidP="00C01A55">
      <w:r>
        <w:separator/>
      </w:r>
    </w:p>
  </w:footnote>
  <w:footnote w:type="continuationSeparator" w:id="0">
    <w:p w14:paraId="59E5F75E" w14:textId="77777777" w:rsidR="004C43E7" w:rsidRDefault="004C43E7" w:rsidP="00C01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B4FAC"/>
    <w:multiLevelType w:val="hybridMultilevel"/>
    <w:tmpl w:val="7D34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94D51"/>
    <w:multiLevelType w:val="hybridMultilevel"/>
    <w:tmpl w:val="D84A3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9A1910"/>
    <w:multiLevelType w:val="hybridMultilevel"/>
    <w:tmpl w:val="7C66F9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714F4F"/>
    <w:multiLevelType w:val="hybridMultilevel"/>
    <w:tmpl w:val="BB123C06"/>
    <w:lvl w:ilvl="0" w:tplc="041D0001">
      <w:start w:val="1"/>
      <w:numFmt w:val="bullet"/>
      <w:lvlText w:val=""/>
      <w:lvlJc w:val="left"/>
      <w:pPr>
        <w:ind w:left="825" w:hanging="360"/>
      </w:pPr>
      <w:rPr>
        <w:rFonts w:ascii="Symbol" w:hAnsi="Symbo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21"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0"/>
  </w:num>
  <w:num w:numId="4">
    <w:abstractNumId w:val="26"/>
  </w:num>
  <w:num w:numId="5">
    <w:abstractNumId w:val="23"/>
  </w:num>
  <w:num w:numId="6">
    <w:abstractNumId w:val="19"/>
  </w:num>
  <w:num w:numId="7">
    <w:abstractNumId w:val="25"/>
  </w:num>
  <w:num w:numId="8">
    <w:abstractNumId w:val="24"/>
  </w:num>
  <w:num w:numId="9">
    <w:abstractNumId w:val="9"/>
  </w:num>
  <w:num w:numId="10">
    <w:abstractNumId w:val="4"/>
  </w:num>
  <w:num w:numId="11">
    <w:abstractNumId w:val="17"/>
  </w:num>
  <w:num w:numId="12">
    <w:abstractNumId w:val="27"/>
  </w:num>
  <w:num w:numId="13">
    <w:abstractNumId w:val="1"/>
  </w:num>
  <w:num w:numId="14">
    <w:abstractNumId w:val="5"/>
  </w:num>
  <w:num w:numId="15">
    <w:abstractNumId w:val="13"/>
  </w:num>
  <w:num w:numId="16">
    <w:abstractNumId w:val="6"/>
  </w:num>
  <w:num w:numId="17">
    <w:abstractNumId w:val="26"/>
  </w:num>
  <w:num w:numId="18">
    <w:abstractNumId w:val="16"/>
  </w:num>
  <w:num w:numId="19">
    <w:abstractNumId w:val="21"/>
  </w:num>
  <w:num w:numId="20">
    <w:abstractNumId w:val="8"/>
  </w:num>
  <w:num w:numId="21">
    <w:abstractNumId w:val="7"/>
  </w:num>
  <w:num w:numId="22">
    <w:abstractNumId w:val="22"/>
  </w:num>
  <w:num w:numId="23">
    <w:abstractNumId w:val="11"/>
  </w:num>
  <w:num w:numId="24">
    <w:abstractNumId w:val="10"/>
  </w:num>
  <w:num w:numId="25">
    <w:abstractNumId w:val="14"/>
  </w:num>
  <w:num w:numId="26">
    <w:abstractNumId w:val="18"/>
  </w:num>
  <w:num w:numId="27">
    <w:abstractNumId w:val="12"/>
  </w:num>
  <w:num w:numId="28">
    <w:abstractNumId w:val="20"/>
  </w:num>
  <w:num w:numId="29">
    <w:abstractNumId w:val="3"/>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ctiveWritingStyle w:appName="MSWord" w:lang="de-DE" w:vendorID="64" w:dllVersion="131078" w:nlCheck="1" w:checkStyle="0"/>
  <w:activeWritingStyle w:appName="MSWord" w:lang="en-US" w:vendorID="64" w:dllVersion="131078" w:nlCheck="1" w:checkStyle="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13EDF"/>
    <w:rsid w:val="000208D5"/>
    <w:rsid w:val="00022B6A"/>
    <w:rsid w:val="00024F13"/>
    <w:rsid w:val="00060F67"/>
    <w:rsid w:val="0008456D"/>
    <w:rsid w:val="00093FC4"/>
    <w:rsid w:val="00106ABF"/>
    <w:rsid w:val="00117D16"/>
    <w:rsid w:val="00181E36"/>
    <w:rsid w:val="001B243C"/>
    <w:rsid w:val="001F0CAF"/>
    <w:rsid w:val="00213303"/>
    <w:rsid w:val="0022072F"/>
    <w:rsid w:val="00230310"/>
    <w:rsid w:val="00247FAB"/>
    <w:rsid w:val="0028065B"/>
    <w:rsid w:val="00286B6D"/>
    <w:rsid w:val="00292665"/>
    <w:rsid w:val="002C613C"/>
    <w:rsid w:val="002D3036"/>
    <w:rsid w:val="002E444B"/>
    <w:rsid w:val="0034475B"/>
    <w:rsid w:val="003C5838"/>
    <w:rsid w:val="003F33ED"/>
    <w:rsid w:val="00407725"/>
    <w:rsid w:val="00426E2E"/>
    <w:rsid w:val="00434CD6"/>
    <w:rsid w:val="0048093F"/>
    <w:rsid w:val="0049799A"/>
    <w:rsid w:val="004A5A0F"/>
    <w:rsid w:val="004B1C8B"/>
    <w:rsid w:val="004C43E7"/>
    <w:rsid w:val="00514E06"/>
    <w:rsid w:val="0052140E"/>
    <w:rsid w:val="00546EB1"/>
    <w:rsid w:val="00547BB3"/>
    <w:rsid w:val="005514B5"/>
    <w:rsid w:val="005838EA"/>
    <w:rsid w:val="00627565"/>
    <w:rsid w:val="00655332"/>
    <w:rsid w:val="0066079C"/>
    <w:rsid w:val="006660F3"/>
    <w:rsid w:val="006A286A"/>
    <w:rsid w:val="006B1453"/>
    <w:rsid w:val="006B481E"/>
    <w:rsid w:val="006D4A4B"/>
    <w:rsid w:val="006E7782"/>
    <w:rsid w:val="007059CD"/>
    <w:rsid w:val="00772E80"/>
    <w:rsid w:val="007A0208"/>
    <w:rsid w:val="007B42B7"/>
    <w:rsid w:val="007C6A4A"/>
    <w:rsid w:val="007C7533"/>
    <w:rsid w:val="008025CA"/>
    <w:rsid w:val="00813D98"/>
    <w:rsid w:val="00845ED1"/>
    <w:rsid w:val="008808D2"/>
    <w:rsid w:val="008A0342"/>
    <w:rsid w:val="008B1A2F"/>
    <w:rsid w:val="008D5332"/>
    <w:rsid w:val="00916E30"/>
    <w:rsid w:val="00924E96"/>
    <w:rsid w:val="00942F98"/>
    <w:rsid w:val="009867D7"/>
    <w:rsid w:val="00990B5F"/>
    <w:rsid w:val="009A0611"/>
    <w:rsid w:val="009C299B"/>
    <w:rsid w:val="009E46CD"/>
    <w:rsid w:val="00A057EA"/>
    <w:rsid w:val="00A627AF"/>
    <w:rsid w:val="00A857BB"/>
    <w:rsid w:val="00A96D77"/>
    <w:rsid w:val="00AC1F7D"/>
    <w:rsid w:val="00B03ED8"/>
    <w:rsid w:val="00B05159"/>
    <w:rsid w:val="00B27C2D"/>
    <w:rsid w:val="00B368D9"/>
    <w:rsid w:val="00BA4CC0"/>
    <w:rsid w:val="00BB2430"/>
    <w:rsid w:val="00BB7B54"/>
    <w:rsid w:val="00BC0FFC"/>
    <w:rsid w:val="00BC202A"/>
    <w:rsid w:val="00BD030B"/>
    <w:rsid w:val="00BE1F25"/>
    <w:rsid w:val="00BE4063"/>
    <w:rsid w:val="00C01A55"/>
    <w:rsid w:val="00C1560A"/>
    <w:rsid w:val="00C25EC4"/>
    <w:rsid w:val="00C36063"/>
    <w:rsid w:val="00C51999"/>
    <w:rsid w:val="00C62894"/>
    <w:rsid w:val="00C8496C"/>
    <w:rsid w:val="00CA5E5D"/>
    <w:rsid w:val="00CB3C3F"/>
    <w:rsid w:val="00CB5A40"/>
    <w:rsid w:val="00CC1CA7"/>
    <w:rsid w:val="00CC260C"/>
    <w:rsid w:val="00CE17A5"/>
    <w:rsid w:val="00CE6CB0"/>
    <w:rsid w:val="00D03072"/>
    <w:rsid w:val="00D03E47"/>
    <w:rsid w:val="00D42C77"/>
    <w:rsid w:val="00D577BB"/>
    <w:rsid w:val="00D6598B"/>
    <w:rsid w:val="00D754C4"/>
    <w:rsid w:val="00D84D5E"/>
    <w:rsid w:val="00DA7D33"/>
    <w:rsid w:val="00DB6F36"/>
    <w:rsid w:val="00DD11CB"/>
    <w:rsid w:val="00DE0D8A"/>
    <w:rsid w:val="00DE1BAA"/>
    <w:rsid w:val="00DF0BF6"/>
    <w:rsid w:val="00DF5CA9"/>
    <w:rsid w:val="00E06F73"/>
    <w:rsid w:val="00E10C1F"/>
    <w:rsid w:val="00E15BCE"/>
    <w:rsid w:val="00E20E32"/>
    <w:rsid w:val="00E87FFB"/>
    <w:rsid w:val="00EB26FB"/>
    <w:rsid w:val="00EC06DD"/>
    <w:rsid w:val="00F23E4F"/>
    <w:rsid w:val="00F33C5D"/>
    <w:rsid w:val="00F346B4"/>
    <w:rsid w:val="00F618ED"/>
    <w:rsid w:val="00F81C1C"/>
    <w:rsid w:val="00F92325"/>
    <w:rsid w:val="00F92540"/>
    <w:rsid w:val="00FC3DF6"/>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C80CD"/>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styleId="Footer">
    <w:name w:val="footer"/>
    <w:basedOn w:val="Normal"/>
    <w:link w:val="FooterChar"/>
    <w:uiPriority w:val="99"/>
    <w:unhideWhenUsed/>
    <w:rsid w:val="00C01A55"/>
    <w:pPr>
      <w:tabs>
        <w:tab w:val="center" w:pos="4680"/>
        <w:tab w:val="right" w:pos="9360"/>
      </w:tabs>
    </w:pPr>
  </w:style>
  <w:style w:type="character" w:customStyle="1" w:styleId="FooterChar">
    <w:name w:val="Footer Char"/>
    <w:basedOn w:val="DefaultParagraphFont"/>
    <w:link w:val="Footer"/>
    <w:uiPriority w:val="99"/>
    <w:rsid w:val="00C01A55"/>
    <w:rPr>
      <w:rFonts w:asci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5NUHHDQN7SK2-1-114496</_dlc_DocId>
    <TaxCatchAll xmlns="08b2df90-05d3-4030-90d4-c9feeb4a1cd9">
      <Value>2</Value>
      <Value>1</Value>
    </TaxCatchAll>
    <_dlc_DocIdUrl xmlns="08b2df90-05d3-4030-90d4-c9feeb4a1cd9">
      <Url>https://ericoll.internal.ericsson.com/sites/STAR/_layouts/DocIdRedir.aspx?ID=5NUHHDQN7SK2-1-114496</Url>
      <Description>5NUHHDQN7SK2-1-114496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F05F2-D4C5-4BE2-B76A-D8D7BCF03800}">
  <ds:schemaRefs>
    <ds:schemaRef ds:uri="http://schemas.microsoft.com/sharepoint/events"/>
  </ds:schemaRefs>
</ds:datastoreItem>
</file>

<file path=customXml/itemProps2.xml><?xml version="1.0" encoding="utf-8"?>
<ds:datastoreItem xmlns:ds="http://schemas.openxmlformats.org/officeDocument/2006/customXml" ds:itemID="{C89BE299-5DD0-491B-865E-77BCEBAA0E5D}">
  <ds:schemaRefs>
    <ds:schemaRef ds:uri="Microsoft.SharePoint.Taxonomy.ContentTypeSync"/>
  </ds:schemaRefs>
</ds:datastoreItem>
</file>

<file path=customXml/itemProps3.xml><?xml version="1.0" encoding="utf-8"?>
<ds:datastoreItem xmlns:ds="http://schemas.openxmlformats.org/officeDocument/2006/customXml" ds:itemID="{45E48A0C-D624-40BB-B32F-88DBEC02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D5430C-F9F8-47AB-94EC-855C1DB1CFAA}">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ECAFD31F-EA09-4DD7-A813-8C39E53DAE34}">
  <ds:schemaRefs>
    <ds:schemaRef ds:uri="http://schemas.microsoft.com/sharepoint/v3/contenttype/forms"/>
  </ds:schemaRefs>
</ds:datastoreItem>
</file>

<file path=customXml/itemProps6.xml><?xml version="1.0" encoding="utf-8"?>
<ds:datastoreItem xmlns:ds="http://schemas.openxmlformats.org/officeDocument/2006/customXml" ds:itemID="{DEEBACD8-33EE-4903-AE71-91084FA82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Thomas Cheng</cp:lastModifiedBy>
  <cp:revision>8</cp:revision>
  <dcterms:created xsi:type="dcterms:W3CDTF">2017-05-02T13:38:00Z</dcterms:created>
  <dcterms:modified xsi:type="dcterms:W3CDTF">2017-05-06T00:26:00Z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158c9013-ae99-4d67-a4b1-87b20884359e</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