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70CBB5" w14:textId="42278F6C" w:rsidR="00E2318A" w:rsidRPr="003B03F8" w:rsidRDefault="00E2318A" w:rsidP="00E2318A">
      <w:pPr>
        <w:pStyle w:val="3GPPHeader"/>
        <w:spacing w:after="0"/>
        <w:rPr>
          <w:sz w:val="32"/>
          <w:szCs w:val="32"/>
          <w:highlight w:val="yellow"/>
          <w:lang w:val="en-US"/>
        </w:rPr>
      </w:pPr>
      <w:bookmarkStart w:id="0" w:name="OLE_LINK1"/>
      <w:bookmarkStart w:id="1" w:name="OLE_LINK2"/>
      <w:r w:rsidRPr="003B03F8">
        <w:rPr>
          <w:lang w:val="en-US"/>
        </w:rPr>
        <w:t>3GPP TSG RAN WG1 Meeting</w:t>
      </w:r>
      <w:r>
        <w:rPr>
          <w:lang w:val="en-US"/>
        </w:rPr>
        <w:t xml:space="preserve"> #89</w:t>
      </w:r>
      <w:r w:rsidRPr="003B03F8">
        <w:rPr>
          <w:lang w:val="en-US"/>
        </w:rPr>
        <w:tab/>
      </w:r>
      <w:r>
        <w:rPr>
          <w:sz w:val="32"/>
          <w:szCs w:val="32"/>
          <w:lang w:val="en-US"/>
        </w:rPr>
        <w:t>R1-17</w:t>
      </w:r>
      <w:r w:rsidR="004901AA">
        <w:rPr>
          <w:sz w:val="32"/>
          <w:szCs w:val="32"/>
          <w:lang w:val="en-US"/>
        </w:rPr>
        <w:t>08963</w:t>
      </w:r>
    </w:p>
    <w:p w14:paraId="69438F28" w14:textId="77777777" w:rsidR="00E2318A" w:rsidRPr="00B91B06" w:rsidRDefault="00E2318A" w:rsidP="00E2318A">
      <w:pPr>
        <w:tabs>
          <w:tab w:val="center" w:pos="4536"/>
          <w:tab w:val="right" w:pos="9072"/>
        </w:tabs>
        <w:ind w:left="1440" w:hanging="1440"/>
        <w:rPr>
          <w:rFonts w:ascii="Arial" w:hAnsi="Arial"/>
          <w:b/>
          <w:sz w:val="24"/>
          <w:szCs w:val="20"/>
          <w:lang w:eastAsia="zh-CN"/>
        </w:rPr>
      </w:pPr>
      <w:r w:rsidRPr="00B91B06">
        <w:rPr>
          <w:rFonts w:ascii="Arial" w:hAnsi="Arial"/>
          <w:b/>
          <w:sz w:val="24"/>
          <w:szCs w:val="20"/>
          <w:lang w:eastAsia="zh-CN"/>
        </w:rPr>
        <w:t>Hangzhou, P.R. China 15th – 19th May 2017</w:t>
      </w:r>
    </w:p>
    <w:p w14:paraId="5FD7D868" w14:textId="77777777" w:rsidR="00E2318A" w:rsidRPr="008B59EB" w:rsidRDefault="00E2318A" w:rsidP="00E2318A">
      <w:pPr>
        <w:pStyle w:val="TdocHeader2"/>
        <w:rPr>
          <w:sz w:val="22"/>
          <w:lang w:val="en-US"/>
        </w:rPr>
      </w:pPr>
    </w:p>
    <w:p w14:paraId="460DAE45" w14:textId="77777777" w:rsidR="00E2318A" w:rsidRPr="00B657AC" w:rsidRDefault="00E2318A" w:rsidP="00E2318A">
      <w:pPr>
        <w:pStyle w:val="TdocHeader2"/>
        <w:rPr>
          <w:sz w:val="20"/>
          <w:lang w:val="en-US"/>
        </w:rPr>
      </w:pPr>
      <w:r w:rsidRPr="00B657AC">
        <w:rPr>
          <w:sz w:val="20"/>
          <w:lang w:val="en-US"/>
        </w:rPr>
        <w:t xml:space="preserve">Source: </w:t>
      </w:r>
      <w:r w:rsidRPr="00B657AC">
        <w:rPr>
          <w:sz w:val="20"/>
          <w:lang w:val="en-US"/>
        </w:rPr>
        <w:tab/>
        <w:t>Ericsson</w:t>
      </w:r>
    </w:p>
    <w:p w14:paraId="15E36782" w14:textId="77777777" w:rsidR="00E2318A" w:rsidRPr="00B657AC" w:rsidRDefault="00E2318A" w:rsidP="00E2318A">
      <w:pPr>
        <w:pStyle w:val="TdocHeader2"/>
        <w:rPr>
          <w:sz w:val="20"/>
          <w:lang w:val="en-US"/>
        </w:rPr>
      </w:pPr>
      <w:r w:rsidRPr="00B657AC">
        <w:rPr>
          <w:sz w:val="20"/>
          <w:lang w:val="en-US"/>
        </w:rPr>
        <w:t>Title:</w:t>
      </w:r>
      <w:r>
        <w:rPr>
          <w:sz w:val="20"/>
          <w:lang w:val="en-US"/>
        </w:rPr>
        <w:tab/>
      </w:r>
      <w:r w:rsidRPr="009E167D">
        <w:rPr>
          <w:sz w:val="20"/>
          <w:lang w:val="en-US"/>
        </w:rPr>
        <w:t>Autonomous UL access for LAA unlicensed cells</w:t>
      </w:r>
    </w:p>
    <w:p w14:paraId="5006A2EB" w14:textId="4A2BCAC5" w:rsidR="00E2318A" w:rsidRPr="00B657AC" w:rsidRDefault="00E2318A" w:rsidP="00E2318A">
      <w:pPr>
        <w:pStyle w:val="TdocHeader2"/>
        <w:rPr>
          <w:sz w:val="20"/>
          <w:lang w:val="en-US"/>
        </w:rPr>
      </w:pPr>
      <w:r w:rsidRPr="00B657AC">
        <w:rPr>
          <w:sz w:val="20"/>
          <w:lang w:val="en-US"/>
        </w:rPr>
        <w:t>Agenda Item:</w:t>
      </w:r>
      <w:r w:rsidRPr="00B657AC">
        <w:rPr>
          <w:sz w:val="20"/>
          <w:lang w:val="en-US"/>
        </w:rPr>
        <w:tab/>
      </w:r>
      <w:r w:rsidR="008563C7">
        <w:rPr>
          <w:bCs/>
          <w:iCs/>
          <w:sz w:val="20"/>
        </w:rPr>
        <w:t>6</w:t>
      </w:r>
      <w:r w:rsidRPr="00F12F6F">
        <w:rPr>
          <w:bCs/>
          <w:iCs/>
          <w:sz w:val="20"/>
        </w:rPr>
        <w:t>.</w:t>
      </w:r>
      <w:bookmarkStart w:id="2" w:name="_GoBack"/>
      <w:bookmarkEnd w:id="2"/>
      <w:r w:rsidRPr="00F12F6F">
        <w:rPr>
          <w:bCs/>
          <w:iCs/>
          <w:sz w:val="20"/>
        </w:rPr>
        <w:t>2.2.3</w:t>
      </w:r>
    </w:p>
    <w:p w14:paraId="29A4F028" w14:textId="77777777" w:rsidR="00E2318A" w:rsidRPr="00B657AC" w:rsidRDefault="00E2318A" w:rsidP="00E2318A">
      <w:pPr>
        <w:pStyle w:val="TdocHeader2"/>
        <w:rPr>
          <w:sz w:val="20"/>
          <w:lang w:val="en-US"/>
        </w:rPr>
      </w:pPr>
      <w:r w:rsidRPr="00B657AC">
        <w:rPr>
          <w:sz w:val="20"/>
          <w:lang w:val="en-US"/>
        </w:rPr>
        <w:t>Document for:</w:t>
      </w:r>
      <w:r w:rsidRPr="00B657AC">
        <w:rPr>
          <w:sz w:val="20"/>
          <w:lang w:val="en-US"/>
        </w:rPr>
        <w:tab/>
        <w:t>Discussion and Decision</w:t>
      </w:r>
    </w:p>
    <w:p w14:paraId="42016FB8" w14:textId="77777777" w:rsidR="00E2318A" w:rsidRDefault="00E2318A" w:rsidP="0064512D">
      <w:pPr>
        <w:pStyle w:val="3GPPHeader"/>
        <w:spacing w:after="60"/>
        <w:rPr>
          <w:lang w:val="en-US"/>
        </w:rPr>
      </w:pPr>
    </w:p>
    <w:p w14:paraId="2BE5F6F8" w14:textId="77777777" w:rsidR="00424DB8" w:rsidRDefault="00424DB8" w:rsidP="00424DB8">
      <w:pPr>
        <w:pStyle w:val="Heading1"/>
        <w:keepLines/>
        <w:pBdr>
          <w:top w:val="single" w:sz="12" w:space="0" w:color="auto"/>
        </w:pBdr>
        <w:tabs>
          <w:tab w:val="num" w:pos="432"/>
        </w:tabs>
        <w:overflowPunct w:val="0"/>
        <w:autoSpaceDE w:val="0"/>
        <w:autoSpaceDN w:val="0"/>
        <w:adjustRightInd w:val="0"/>
        <w:spacing w:after="180"/>
        <w:textAlignment w:val="baseline"/>
      </w:pPr>
      <w:bookmarkStart w:id="3" w:name="_Ref298777854"/>
      <w:bookmarkStart w:id="4" w:name="_Toc458153810"/>
      <w:bookmarkEnd w:id="0"/>
      <w:bookmarkEnd w:id="1"/>
      <w:r w:rsidRPr="00310B2F">
        <w:t>Introduction</w:t>
      </w:r>
      <w:bookmarkEnd w:id="3"/>
      <w:bookmarkEnd w:id="4"/>
    </w:p>
    <w:p w14:paraId="3040423D" w14:textId="523490A3" w:rsidR="00424DB8" w:rsidRPr="00DB13DE" w:rsidRDefault="002C5765" w:rsidP="00DB13DE">
      <w:pPr>
        <w:spacing w:after="120"/>
        <w:jc w:val="both"/>
        <w:rPr>
          <w:sz w:val="22"/>
          <w:szCs w:val="22"/>
        </w:rPr>
      </w:pPr>
      <w:r w:rsidRPr="00DB13DE">
        <w:rPr>
          <w:sz w:val="22"/>
          <w:szCs w:val="22"/>
        </w:rPr>
        <w:t>From WID:</w:t>
      </w:r>
      <w:r w:rsidR="00DB13DE" w:rsidRPr="00DB13DE">
        <w:rPr>
          <w:sz w:val="22"/>
          <w:szCs w:val="22"/>
        </w:rPr>
        <w:t xml:space="preserve"> A work item on enhancements to LTE operation in unlicensed spectrum was agreed in RAN #75 meeting to further enhance the LAA performance in Rel-15. One objective of the work item is to s</w:t>
      </w:r>
      <w:r w:rsidRPr="00DB13DE">
        <w:rPr>
          <w:sz w:val="22"/>
          <w:szCs w:val="22"/>
        </w:rPr>
        <w:t>tudy, and specify if needed, support for autonomous uplink access with Frame Structure type 3 considering solutions from the L2 latency reduction work item</w:t>
      </w:r>
      <w:r w:rsidR="00DB13DE" w:rsidRPr="00DB13DE">
        <w:rPr>
          <w:sz w:val="22"/>
          <w:szCs w:val="22"/>
        </w:rPr>
        <w:t>.</w:t>
      </w:r>
    </w:p>
    <w:p w14:paraId="459DAEE2" w14:textId="50E522D6" w:rsidR="00DB13DE" w:rsidRPr="00DB13DE" w:rsidRDefault="00DB13DE" w:rsidP="00DB13DE">
      <w:pPr>
        <w:spacing w:after="120"/>
        <w:jc w:val="both"/>
        <w:rPr>
          <w:sz w:val="22"/>
          <w:szCs w:val="22"/>
        </w:rPr>
      </w:pPr>
      <w:r w:rsidRPr="00DB13DE">
        <w:rPr>
          <w:sz w:val="22"/>
          <w:szCs w:val="22"/>
        </w:rPr>
        <w:t>In this contribution, we provide our views on supporting autonomous uplink access on LAA SCells.</w:t>
      </w:r>
    </w:p>
    <w:p w14:paraId="2C39F634" w14:textId="77777777"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5" w:name="_Toc458153811"/>
      <w:r>
        <w:t>Discussion</w:t>
      </w:r>
      <w:bookmarkEnd w:id="5"/>
    </w:p>
    <w:p w14:paraId="46A6ECC7" w14:textId="39E78C84" w:rsidR="00943844" w:rsidRPr="00DB13DE" w:rsidRDefault="00943844" w:rsidP="00943844">
      <w:pPr>
        <w:autoSpaceDE w:val="0"/>
        <w:autoSpaceDN w:val="0"/>
        <w:adjustRightInd w:val="0"/>
        <w:jc w:val="both"/>
        <w:rPr>
          <w:sz w:val="22"/>
          <w:szCs w:val="22"/>
        </w:rPr>
      </w:pPr>
      <w:r w:rsidRPr="00DB13DE">
        <w:rPr>
          <w:sz w:val="22"/>
          <w:szCs w:val="22"/>
        </w:rPr>
        <w:t>UL LAA follows the same concept as in scheduled UL LTE in combination with LBT on unlicensed bands and other regional spectrum regulations. UL LTE was primarily designed for operation in licensed carrier where eNB is in full control of the frequency/time resources. For the UE to perform UL transmission, it should first request resources from the eNB via scheduling request (SR). UE has periodic timeslots for SR transmissions (typically on a 5, 10, or 20 ms</w:t>
      </w:r>
      <w:r w:rsidRPr="00DB13DE">
        <w:rPr>
          <w:i/>
          <w:sz w:val="22"/>
          <w:szCs w:val="22"/>
        </w:rPr>
        <w:t xml:space="preserve"> </w:t>
      </w:r>
      <w:r w:rsidRPr="00DB13DE">
        <w:rPr>
          <w:sz w:val="22"/>
          <w:szCs w:val="22"/>
        </w:rPr>
        <w:t>interval). After receiving the SR, the eNB prepares UL grant for certain subframe(s) to the UE. Hardware limitation impose a minimum time for the UE to receive the grant, process it, and encode the UL packet to be transmitted. Given this constraint, the grant refers to an UL burst that can occurs minimum 3 or 4ms later. Finally, the UE can transmit in the granted subframe</w:t>
      </w:r>
      <w:r w:rsidR="00C87ED9" w:rsidRPr="00DB13DE">
        <w:rPr>
          <w:sz w:val="22"/>
          <w:szCs w:val="22"/>
        </w:rPr>
        <w:t>(</w:t>
      </w:r>
      <w:r w:rsidRPr="00DB13DE">
        <w:rPr>
          <w:sz w:val="22"/>
          <w:szCs w:val="22"/>
        </w:rPr>
        <w:t>s</w:t>
      </w:r>
      <w:r w:rsidR="00C87ED9" w:rsidRPr="00DB13DE">
        <w:rPr>
          <w:sz w:val="22"/>
          <w:szCs w:val="22"/>
        </w:rPr>
        <w:t>)</w:t>
      </w:r>
      <w:r w:rsidRPr="00DB13DE">
        <w:rPr>
          <w:sz w:val="22"/>
          <w:szCs w:val="22"/>
        </w:rPr>
        <w:t xml:space="preserve">. In many situations, the overhead in terms of control signaling on the </w:t>
      </w:r>
      <w:r w:rsidR="00C87ED9" w:rsidRPr="00DB13DE">
        <w:rPr>
          <w:sz w:val="22"/>
          <w:szCs w:val="22"/>
        </w:rPr>
        <w:t>(E)</w:t>
      </w:r>
      <w:r w:rsidRPr="00DB13DE">
        <w:rPr>
          <w:sz w:val="22"/>
          <w:szCs w:val="22"/>
        </w:rPr>
        <w:t xml:space="preserve">PDCCH is well motivated and relatively small compared to the payload on DL-SCH/UL-SCH. </w:t>
      </w:r>
    </w:p>
    <w:p w14:paraId="0CD65780" w14:textId="77777777" w:rsidR="00943844" w:rsidRPr="00DB13DE" w:rsidRDefault="00943844" w:rsidP="00943844">
      <w:pPr>
        <w:autoSpaceDE w:val="0"/>
        <w:autoSpaceDN w:val="0"/>
        <w:adjustRightInd w:val="0"/>
        <w:jc w:val="both"/>
        <w:rPr>
          <w:sz w:val="22"/>
          <w:szCs w:val="22"/>
        </w:rPr>
      </w:pPr>
    </w:p>
    <w:p w14:paraId="15E78EBD" w14:textId="38E55491" w:rsidR="00943844" w:rsidRPr="00DB13DE" w:rsidRDefault="00943844" w:rsidP="00943844">
      <w:pPr>
        <w:autoSpaceDE w:val="0"/>
        <w:autoSpaceDN w:val="0"/>
        <w:adjustRightInd w:val="0"/>
        <w:jc w:val="both"/>
        <w:rPr>
          <w:sz w:val="22"/>
          <w:szCs w:val="22"/>
        </w:rPr>
      </w:pPr>
      <w:r w:rsidRPr="00DB13DE">
        <w:rPr>
          <w:sz w:val="22"/>
          <w:szCs w:val="22"/>
        </w:rPr>
        <w:t xml:space="preserve">On unlicensed channel, the situation is different. </w:t>
      </w:r>
      <w:r w:rsidR="00C87ED9" w:rsidRPr="00DB13DE">
        <w:rPr>
          <w:sz w:val="22"/>
          <w:szCs w:val="22"/>
        </w:rPr>
        <w:t>E</w:t>
      </w:r>
      <w:r w:rsidRPr="00DB13DE">
        <w:rPr>
          <w:sz w:val="22"/>
          <w:szCs w:val="22"/>
        </w:rPr>
        <w:t>ach of those transmissions that precede the actual UL transmission required a successful LBT procedure. eNB needs to acquire the channel by means of LBT before the grant</w:t>
      </w:r>
      <w:r w:rsidR="00C87ED9" w:rsidRPr="00DB13DE">
        <w:rPr>
          <w:sz w:val="22"/>
          <w:szCs w:val="22"/>
        </w:rPr>
        <w:t>ed</w:t>
      </w:r>
      <w:r w:rsidRPr="00DB13DE">
        <w:rPr>
          <w:sz w:val="22"/>
          <w:szCs w:val="22"/>
        </w:rPr>
        <w:t xml:space="preserve"> transmission and the UE may need to also acquire the channel for UL data transmission by means of </w:t>
      </w:r>
      <w:r w:rsidR="00C87ED9" w:rsidRPr="00DB13DE">
        <w:rPr>
          <w:sz w:val="22"/>
          <w:szCs w:val="22"/>
        </w:rPr>
        <w:t xml:space="preserve">a </w:t>
      </w:r>
      <w:r w:rsidRPr="00DB13DE">
        <w:rPr>
          <w:sz w:val="22"/>
          <w:szCs w:val="22"/>
        </w:rPr>
        <w:t xml:space="preserve">second LBT. With LBT operation, the channel access is non-deterministic and depends upon the availability of the channel as well as the state of the back-off mechanism. In case a UE has received a grant for an uplink transmission, but fails the LBT associated with this transmission, it must discard the granted transmission and try again in the next granted subframe. The eNB will later detect that the expected transmission failed and re-grant the same data. </w:t>
      </w:r>
      <w:r w:rsidR="00386297" w:rsidRPr="00DB13DE">
        <w:rPr>
          <w:sz w:val="22"/>
          <w:szCs w:val="22"/>
        </w:rPr>
        <w:t xml:space="preserve">Therefore, </w:t>
      </w:r>
      <w:r w:rsidRPr="00DB13DE">
        <w:rPr>
          <w:sz w:val="22"/>
          <w:szCs w:val="22"/>
        </w:rPr>
        <w:t>LTE UL will not be competitive with other technologies that have asynchronous and autonomous UL transmission as Wi-Fi. eLAA suffers from inefficiency in terms of: First, potentially leaving the channel unused, Second, increased overhead for sending grants on unlicensed channel. Third, increased delay to get data packets transferred over the uplink. Those factors make it extremely challenging to maintain good performance.</w:t>
      </w:r>
    </w:p>
    <w:p w14:paraId="6F5B95D7" w14:textId="77777777" w:rsidR="00943844" w:rsidRPr="00DB13DE" w:rsidRDefault="00943844" w:rsidP="00795FA6">
      <w:pPr>
        <w:autoSpaceDE w:val="0"/>
        <w:autoSpaceDN w:val="0"/>
        <w:adjustRightInd w:val="0"/>
        <w:jc w:val="both"/>
        <w:rPr>
          <w:b/>
          <w:bCs/>
          <w:sz w:val="22"/>
          <w:szCs w:val="22"/>
        </w:rPr>
      </w:pPr>
    </w:p>
    <w:p w14:paraId="650A3CB0" w14:textId="1E9145E8" w:rsidR="00943844" w:rsidRPr="00DB13DE" w:rsidRDefault="00943844" w:rsidP="00795FA6">
      <w:pPr>
        <w:autoSpaceDE w:val="0"/>
        <w:autoSpaceDN w:val="0"/>
        <w:adjustRightInd w:val="0"/>
        <w:jc w:val="both"/>
        <w:rPr>
          <w:b/>
          <w:bCs/>
          <w:sz w:val="22"/>
          <w:szCs w:val="22"/>
        </w:rPr>
      </w:pPr>
      <w:r w:rsidRPr="00DB13DE">
        <w:rPr>
          <w:b/>
          <w:bCs/>
          <w:sz w:val="22"/>
          <w:szCs w:val="22"/>
        </w:rPr>
        <w:t>Observation 1: UL latency can be lower by reducing the control signaling related to scheduling that precede every UL transmission.</w:t>
      </w:r>
    </w:p>
    <w:p w14:paraId="4633AA7A" w14:textId="77777777" w:rsidR="00F12F6F" w:rsidRPr="00DB13DE" w:rsidRDefault="00F12F6F" w:rsidP="00943844">
      <w:pPr>
        <w:autoSpaceDE w:val="0"/>
        <w:autoSpaceDN w:val="0"/>
        <w:adjustRightInd w:val="0"/>
        <w:rPr>
          <w:sz w:val="22"/>
          <w:szCs w:val="22"/>
        </w:rPr>
      </w:pPr>
    </w:p>
    <w:p w14:paraId="54C70EFE" w14:textId="4F18A13C" w:rsidR="004A74D0" w:rsidRPr="00DB13DE" w:rsidRDefault="00943844" w:rsidP="004A74D0">
      <w:pPr>
        <w:autoSpaceDE w:val="0"/>
        <w:autoSpaceDN w:val="0"/>
        <w:adjustRightInd w:val="0"/>
        <w:jc w:val="both"/>
        <w:rPr>
          <w:sz w:val="22"/>
          <w:szCs w:val="22"/>
        </w:rPr>
      </w:pPr>
      <w:r w:rsidRPr="00DB13DE">
        <w:rPr>
          <w:sz w:val="22"/>
          <w:szCs w:val="22"/>
        </w:rPr>
        <w:t>To reduce the control signaling overhead, LTE provides the option to do semi-persistent scheduling</w:t>
      </w:r>
      <w:r w:rsidR="00386297" w:rsidRPr="00DB13DE">
        <w:rPr>
          <w:sz w:val="22"/>
          <w:szCs w:val="22"/>
        </w:rPr>
        <w:t xml:space="preserve"> (SPS)</w:t>
      </w:r>
      <w:r w:rsidRPr="00DB13DE">
        <w:rPr>
          <w:sz w:val="22"/>
          <w:szCs w:val="22"/>
        </w:rPr>
        <w:t>. With semi-persistent scheduling for UL, the UE is configure</w:t>
      </w:r>
      <w:r w:rsidR="00386297" w:rsidRPr="00DB13DE">
        <w:rPr>
          <w:sz w:val="22"/>
          <w:szCs w:val="22"/>
        </w:rPr>
        <w:t>d</w:t>
      </w:r>
      <w:r w:rsidRPr="00DB13DE">
        <w:rPr>
          <w:sz w:val="22"/>
          <w:szCs w:val="22"/>
        </w:rPr>
        <w:t xml:space="preserve"> to transmit on pre-allocated resources.</w:t>
      </w:r>
      <w:r w:rsidR="00795FA6" w:rsidRPr="00DB13DE">
        <w:rPr>
          <w:sz w:val="22"/>
          <w:szCs w:val="22"/>
        </w:rPr>
        <w:t xml:space="preserve"> when UL data arrives, the UE can start transmission immediately according to the SP resources without the need to send an SR or waiting for the grant.</w:t>
      </w:r>
      <w:r w:rsidRPr="00DB13DE">
        <w:rPr>
          <w:sz w:val="22"/>
          <w:szCs w:val="22"/>
        </w:rPr>
        <w:t xml:space="preserve"> </w:t>
      </w:r>
      <w:r w:rsidR="004A74D0" w:rsidRPr="00DB13DE">
        <w:rPr>
          <w:sz w:val="22"/>
          <w:szCs w:val="22"/>
        </w:rPr>
        <w:t xml:space="preserve">SPS can be configured/re-configured by RRC at any time. </w:t>
      </w:r>
      <w:r w:rsidR="00386297" w:rsidRPr="00DB13DE">
        <w:rPr>
          <w:sz w:val="22"/>
          <w:szCs w:val="22"/>
        </w:rPr>
        <w:t>T</w:t>
      </w:r>
      <w:r w:rsidR="004A74D0" w:rsidRPr="00DB13DE">
        <w:rPr>
          <w:sz w:val="22"/>
          <w:szCs w:val="22"/>
        </w:rPr>
        <w:t>he RRC configuration includes among other parameters:</w:t>
      </w:r>
    </w:p>
    <w:p w14:paraId="7397050E" w14:textId="5DC79F49" w:rsidR="004A74D0" w:rsidRPr="00DB13DE" w:rsidRDefault="00386297" w:rsidP="004A74D0">
      <w:pPr>
        <w:pStyle w:val="ListParagraph"/>
        <w:numPr>
          <w:ilvl w:val="0"/>
          <w:numId w:val="18"/>
        </w:numPr>
        <w:autoSpaceDE w:val="0"/>
        <w:autoSpaceDN w:val="0"/>
        <w:adjustRightInd w:val="0"/>
        <w:jc w:val="both"/>
        <w:rPr>
          <w:rFonts w:ascii="Times New Roman" w:eastAsia="Times New Roman" w:hAnsi="Times New Roman" w:cs="Times New Roman"/>
        </w:rPr>
      </w:pPr>
      <w:r w:rsidRPr="00DB13DE">
        <w:rPr>
          <w:rFonts w:ascii="Times New Roman" w:eastAsia="Times New Roman" w:hAnsi="Times New Roman" w:cs="Times New Roman"/>
        </w:rPr>
        <w:t>SPS</w:t>
      </w:r>
      <w:r w:rsidR="004A74D0" w:rsidRPr="00DB13DE">
        <w:rPr>
          <w:rFonts w:ascii="Times New Roman" w:eastAsia="Times New Roman" w:hAnsi="Times New Roman" w:cs="Times New Roman"/>
        </w:rPr>
        <w:t xml:space="preserve"> C-RNTI</w:t>
      </w:r>
    </w:p>
    <w:p w14:paraId="17C59E13" w14:textId="340DA0FF" w:rsidR="00795FA6" w:rsidRPr="00DB13DE" w:rsidRDefault="006907EA" w:rsidP="00795FA6">
      <w:pPr>
        <w:pStyle w:val="ListParagraph"/>
        <w:numPr>
          <w:ilvl w:val="0"/>
          <w:numId w:val="18"/>
        </w:numPr>
        <w:autoSpaceDE w:val="0"/>
        <w:autoSpaceDN w:val="0"/>
        <w:adjustRightInd w:val="0"/>
        <w:jc w:val="both"/>
        <w:rPr>
          <w:rFonts w:ascii="Times New Roman" w:eastAsia="Times New Roman" w:hAnsi="Times New Roman" w:cs="Times New Roman"/>
        </w:rPr>
      </w:pPr>
      <w:r w:rsidRPr="00DB13DE">
        <w:rPr>
          <w:rFonts w:ascii="Times New Roman" w:eastAsia="Times New Roman" w:hAnsi="Times New Roman" w:cs="Times New Roman"/>
        </w:rPr>
        <w:t>P</w:t>
      </w:r>
      <w:r w:rsidR="004A74D0" w:rsidRPr="00DB13DE">
        <w:rPr>
          <w:rFonts w:ascii="Times New Roman" w:eastAsia="Times New Roman" w:hAnsi="Times New Roman" w:cs="Times New Roman"/>
        </w:rPr>
        <w:t>eriodicity</w:t>
      </w:r>
      <w:r w:rsidRPr="00DB13DE">
        <w:rPr>
          <w:rFonts w:ascii="Times New Roman" w:eastAsia="Times New Roman" w:hAnsi="Times New Roman" w:cs="Times New Roman"/>
        </w:rPr>
        <w:t xml:space="preserve"> of the SPS per-allocated resources. </w:t>
      </w:r>
    </w:p>
    <w:p w14:paraId="2743596E" w14:textId="77777777" w:rsidR="004A74D0" w:rsidRPr="00DB13DE" w:rsidRDefault="004A74D0" w:rsidP="004A74D0">
      <w:pPr>
        <w:autoSpaceDE w:val="0"/>
        <w:autoSpaceDN w:val="0"/>
        <w:adjustRightInd w:val="0"/>
        <w:jc w:val="both"/>
        <w:rPr>
          <w:sz w:val="22"/>
          <w:szCs w:val="22"/>
        </w:rPr>
      </w:pPr>
    </w:p>
    <w:p w14:paraId="5DCA918C" w14:textId="5007CC26" w:rsidR="004A74D0" w:rsidRPr="00DB13DE" w:rsidRDefault="004A74D0" w:rsidP="006907EA">
      <w:pPr>
        <w:autoSpaceDE w:val="0"/>
        <w:autoSpaceDN w:val="0"/>
        <w:adjustRightInd w:val="0"/>
        <w:jc w:val="both"/>
        <w:rPr>
          <w:sz w:val="22"/>
          <w:szCs w:val="22"/>
        </w:rPr>
      </w:pPr>
      <w:r w:rsidRPr="00DB13DE">
        <w:rPr>
          <w:sz w:val="22"/>
          <w:szCs w:val="22"/>
        </w:rPr>
        <w:lastRenderedPageBreak/>
        <w:t>Configuration of SPS doesn’t mean that the UE can start using SPS</w:t>
      </w:r>
      <w:r w:rsidR="006907EA" w:rsidRPr="00DB13DE">
        <w:rPr>
          <w:sz w:val="22"/>
          <w:szCs w:val="22"/>
        </w:rPr>
        <w:t xml:space="preserve"> resources</w:t>
      </w:r>
      <w:r w:rsidR="00386297" w:rsidRPr="00DB13DE">
        <w:rPr>
          <w:sz w:val="22"/>
          <w:szCs w:val="22"/>
        </w:rPr>
        <w:t>.</w:t>
      </w:r>
      <w:r w:rsidRPr="00DB13DE">
        <w:rPr>
          <w:sz w:val="22"/>
          <w:szCs w:val="22"/>
        </w:rPr>
        <w:t xml:space="preserve"> </w:t>
      </w:r>
      <w:r w:rsidR="00386297" w:rsidRPr="00DB13DE">
        <w:rPr>
          <w:sz w:val="22"/>
          <w:szCs w:val="22"/>
        </w:rPr>
        <w:t>T</w:t>
      </w:r>
      <w:r w:rsidR="006907EA" w:rsidRPr="00DB13DE">
        <w:rPr>
          <w:sz w:val="22"/>
          <w:szCs w:val="22"/>
        </w:rPr>
        <w:t xml:space="preserve">he eNB needs to explicitly activate SPS on (e)PDCCH. </w:t>
      </w:r>
      <w:r w:rsidRPr="00DB13DE">
        <w:rPr>
          <w:sz w:val="22"/>
          <w:szCs w:val="22"/>
        </w:rPr>
        <w:t xml:space="preserve">First phase starts when the eNB grants the UE with an SPS activation grant which specifies the SPS frequency resources. The UE confirms the reception of the SPS grant with a MAC control element. This way the eNB is sure that the UE is configured. After enabling semi-persistent scheduling, the </w:t>
      </w:r>
      <w:r w:rsidR="00386297" w:rsidRPr="00DB13DE">
        <w:rPr>
          <w:sz w:val="22"/>
          <w:szCs w:val="22"/>
        </w:rPr>
        <w:t xml:space="preserve">UE </w:t>
      </w:r>
      <w:r w:rsidRPr="00DB13DE">
        <w:rPr>
          <w:sz w:val="22"/>
          <w:szCs w:val="22"/>
        </w:rPr>
        <w:t xml:space="preserve">continues to monitor the </w:t>
      </w:r>
      <w:r w:rsidR="00386297" w:rsidRPr="00DB13DE">
        <w:rPr>
          <w:sz w:val="22"/>
          <w:szCs w:val="22"/>
        </w:rPr>
        <w:t>(e)</w:t>
      </w:r>
      <w:r w:rsidRPr="00DB13DE">
        <w:rPr>
          <w:sz w:val="22"/>
          <w:szCs w:val="22"/>
        </w:rPr>
        <w:t>PDCCH for uplink and downlink scheduling commands. When a dynamic scheduling command is detected, it takes precedence over the semi-persistent scheduling in that particular subframe, which is useful if the semi-persistently allocated resources occasionally need to be modified</w:t>
      </w:r>
      <w:r w:rsidR="006907EA" w:rsidRPr="00DB13DE">
        <w:rPr>
          <w:sz w:val="22"/>
          <w:szCs w:val="22"/>
        </w:rPr>
        <w:t>.</w:t>
      </w:r>
    </w:p>
    <w:p w14:paraId="3F3E97BA" w14:textId="77777777" w:rsidR="004A74D0" w:rsidRPr="00DB13DE" w:rsidRDefault="004A74D0" w:rsidP="004A74D0">
      <w:pPr>
        <w:autoSpaceDE w:val="0"/>
        <w:autoSpaceDN w:val="0"/>
        <w:adjustRightInd w:val="0"/>
        <w:jc w:val="both"/>
        <w:rPr>
          <w:sz w:val="22"/>
          <w:szCs w:val="22"/>
        </w:rPr>
      </w:pPr>
    </w:p>
    <w:p w14:paraId="40869BF0" w14:textId="4A2529AB" w:rsidR="00795FA6" w:rsidRPr="00DB13DE" w:rsidRDefault="004A74D0" w:rsidP="00795FA6">
      <w:pPr>
        <w:autoSpaceDE w:val="0"/>
        <w:autoSpaceDN w:val="0"/>
        <w:adjustRightInd w:val="0"/>
        <w:jc w:val="both"/>
        <w:rPr>
          <w:sz w:val="22"/>
          <w:szCs w:val="22"/>
        </w:rPr>
      </w:pPr>
      <w:r w:rsidRPr="00DB13DE">
        <w:rPr>
          <w:sz w:val="22"/>
          <w:szCs w:val="22"/>
        </w:rPr>
        <w:t>Within the 3GPP Rel-14 work item</w:t>
      </w:r>
      <w:r w:rsidR="00795FA6" w:rsidRPr="00DB13DE">
        <w:rPr>
          <w:sz w:val="22"/>
          <w:szCs w:val="22"/>
        </w:rPr>
        <w:t xml:space="preserve"> </w:t>
      </w:r>
      <w:sdt>
        <w:sdtPr>
          <w:rPr>
            <w:sz w:val="22"/>
            <w:szCs w:val="22"/>
          </w:rPr>
          <w:id w:val="194045217"/>
          <w:citation/>
        </w:sdtPr>
        <w:sdtEndPr/>
        <w:sdtContent>
          <w:r w:rsidR="00795FA6" w:rsidRPr="00DB13DE">
            <w:rPr>
              <w:sz w:val="22"/>
              <w:szCs w:val="22"/>
            </w:rPr>
            <w:fldChar w:fldCharType="begin"/>
          </w:r>
          <w:r w:rsidR="00795FA6" w:rsidRPr="00DB13DE">
            <w:rPr>
              <w:sz w:val="22"/>
              <w:szCs w:val="22"/>
            </w:rPr>
            <w:instrText xml:space="preserve"> CITATION Eri \l 1033 </w:instrText>
          </w:r>
          <w:r w:rsidR="00795FA6" w:rsidRPr="00DB13DE">
            <w:rPr>
              <w:sz w:val="22"/>
              <w:szCs w:val="22"/>
            </w:rPr>
            <w:fldChar w:fldCharType="separate"/>
          </w:r>
          <w:r w:rsidR="00795FA6" w:rsidRPr="00DB13DE">
            <w:rPr>
              <w:noProof/>
              <w:sz w:val="22"/>
              <w:szCs w:val="22"/>
            </w:rPr>
            <w:t>[1]</w:t>
          </w:r>
          <w:r w:rsidR="00795FA6" w:rsidRPr="00DB13DE">
            <w:rPr>
              <w:sz w:val="22"/>
              <w:szCs w:val="22"/>
            </w:rPr>
            <w:fldChar w:fldCharType="end"/>
          </w:r>
        </w:sdtContent>
      </w:sdt>
      <w:r w:rsidRPr="00DB13DE">
        <w:rPr>
          <w:sz w:val="22"/>
          <w:szCs w:val="22"/>
        </w:rPr>
        <w:t xml:space="preserve"> enhanced version of the SPS feature has been standardized. The enhanced version allows an SPS period down to 1 TTI and mandate that the UE do not transmit using the grant unless there is data in buffer. </w:t>
      </w:r>
      <w:r w:rsidR="00943844" w:rsidRPr="00DB13DE">
        <w:rPr>
          <w:sz w:val="22"/>
          <w:szCs w:val="22"/>
        </w:rPr>
        <w:t xml:space="preserve">Once the UE has data to transmit, it can start immediately according to the pre-allocated resource without requesting a dedicated grant. If </w:t>
      </w:r>
      <w:r w:rsidR="00795FA6" w:rsidRPr="00DB13DE">
        <w:rPr>
          <w:sz w:val="22"/>
          <w:szCs w:val="22"/>
        </w:rPr>
        <w:t xml:space="preserve">autonomous </w:t>
      </w:r>
      <w:r w:rsidR="00943844" w:rsidRPr="00DB13DE">
        <w:rPr>
          <w:sz w:val="22"/>
          <w:szCs w:val="22"/>
        </w:rPr>
        <w:t xml:space="preserve">UL </w:t>
      </w:r>
      <w:r w:rsidR="00795FA6" w:rsidRPr="00DB13DE">
        <w:rPr>
          <w:sz w:val="22"/>
          <w:szCs w:val="22"/>
        </w:rPr>
        <w:t xml:space="preserve">transmission on pre-allocated resources </w:t>
      </w:r>
      <w:r w:rsidR="00943844" w:rsidRPr="00DB13DE">
        <w:rPr>
          <w:sz w:val="22"/>
          <w:szCs w:val="22"/>
        </w:rPr>
        <w:t>is used on unlicensed bands, two main advantages are observed: First, UL transmissions are subject to one LBT before the UL transmission. Second, SR and grant transmission overhead and delay are eliminated</w:t>
      </w:r>
      <w:r w:rsidR="006907EA" w:rsidRPr="00DB13DE">
        <w:rPr>
          <w:sz w:val="22"/>
          <w:szCs w:val="22"/>
        </w:rPr>
        <w:t>.</w:t>
      </w:r>
    </w:p>
    <w:p w14:paraId="76F2DBF5" w14:textId="77777777" w:rsidR="00795FA6" w:rsidRPr="00DB13DE" w:rsidRDefault="00795FA6" w:rsidP="00795FA6">
      <w:pPr>
        <w:autoSpaceDE w:val="0"/>
        <w:autoSpaceDN w:val="0"/>
        <w:adjustRightInd w:val="0"/>
        <w:jc w:val="both"/>
        <w:rPr>
          <w:sz w:val="22"/>
          <w:szCs w:val="22"/>
        </w:rPr>
      </w:pPr>
    </w:p>
    <w:p w14:paraId="1FA673FD" w14:textId="0D9BA9B1" w:rsidR="00795FA6" w:rsidRPr="00DB13DE" w:rsidRDefault="002C11E6" w:rsidP="00795FA6">
      <w:pPr>
        <w:autoSpaceDE w:val="0"/>
        <w:autoSpaceDN w:val="0"/>
        <w:adjustRightInd w:val="0"/>
        <w:jc w:val="both"/>
        <w:rPr>
          <w:sz w:val="22"/>
          <w:szCs w:val="22"/>
        </w:rPr>
      </w:pPr>
      <w:r w:rsidRPr="00DB13DE">
        <w:rPr>
          <w:b/>
          <w:bCs/>
          <w:sz w:val="22"/>
          <w:szCs w:val="22"/>
        </w:rPr>
        <w:t>Proposal 1</w:t>
      </w:r>
      <w:r w:rsidR="00795FA6" w:rsidRPr="00DB13DE">
        <w:rPr>
          <w:b/>
          <w:bCs/>
          <w:sz w:val="22"/>
          <w:szCs w:val="22"/>
        </w:rPr>
        <w:t xml:space="preserve">: </w:t>
      </w:r>
      <w:r w:rsidRPr="00DB13DE">
        <w:rPr>
          <w:b/>
          <w:bCs/>
          <w:sz w:val="22"/>
          <w:szCs w:val="22"/>
        </w:rPr>
        <w:t>It is beneficial to support a</w:t>
      </w:r>
      <w:r w:rsidR="00795FA6" w:rsidRPr="00DB13DE">
        <w:rPr>
          <w:b/>
          <w:bCs/>
          <w:sz w:val="22"/>
          <w:szCs w:val="22"/>
        </w:rPr>
        <w:t>utonomous data transmissions on pre-allocated resources</w:t>
      </w:r>
      <w:r w:rsidRPr="00DB13DE">
        <w:rPr>
          <w:b/>
          <w:bCs/>
          <w:sz w:val="22"/>
          <w:szCs w:val="22"/>
        </w:rPr>
        <w:t xml:space="preserve"> on LAA SCells to </w:t>
      </w:r>
      <w:r w:rsidR="00795FA6" w:rsidRPr="00DB13DE">
        <w:rPr>
          <w:b/>
          <w:bCs/>
          <w:sz w:val="22"/>
          <w:szCs w:val="22"/>
        </w:rPr>
        <w:t>reduce signaling overhead and latency.</w:t>
      </w:r>
    </w:p>
    <w:p w14:paraId="0C142546" w14:textId="334721C8" w:rsidR="00943844" w:rsidRPr="00DB13DE" w:rsidRDefault="00943844" w:rsidP="00795FA6">
      <w:pPr>
        <w:autoSpaceDE w:val="0"/>
        <w:autoSpaceDN w:val="0"/>
        <w:adjustRightInd w:val="0"/>
        <w:jc w:val="both"/>
        <w:rPr>
          <w:sz w:val="22"/>
          <w:szCs w:val="22"/>
        </w:rPr>
      </w:pPr>
    </w:p>
    <w:p w14:paraId="5D228D51" w14:textId="101BC8D8" w:rsidR="00943844" w:rsidRPr="00DB13DE" w:rsidRDefault="00943844" w:rsidP="002C11E6">
      <w:pPr>
        <w:pStyle w:val="BodyText"/>
        <w:rPr>
          <w:rFonts w:eastAsia="Times New Roman"/>
          <w:szCs w:val="22"/>
        </w:rPr>
      </w:pPr>
      <w:r w:rsidRPr="00DB13DE">
        <w:rPr>
          <w:rFonts w:eastAsia="Times New Roman"/>
          <w:szCs w:val="22"/>
        </w:rPr>
        <w:t xml:space="preserve">Similar to the dynamic scheduling, SPS was primarily designed for licensed operation. Some adjustments are needed to provide efficient operation on unlicensed bands. For instance, current Rel-14 SPS is only supported on the primary component carrier and any transmission on a secondary component carrier must be dynamically scheduled. Besides, </w:t>
      </w:r>
      <w:r w:rsidR="00B71566" w:rsidRPr="00DB13DE">
        <w:rPr>
          <w:rFonts w:eastAsia="Times New Roman"/>
          <w:szCs w:val="22"/>
        </w:rPr>
        <w:t>a</w:t>
      </w:r>
      <w:r w:rsidRPr="00DB13DE">
        <w:rPr>
          <w:rFonts w:eastAsia="Times New Roman"/>
          <w:szCs w:val="22"/>
        </w:rPr>
        <w:t xml:space="preserve">ctivation (and deactivation) is done using the PDCCH DCI Format 0 using the </w:t>
      </w:r>
      <w:r w:rsidR="00B71566" w:rsidRPr="00DB13DE">
        <w:rPr>
          <w:rFonts w:eastAsia="Times New Roman"/>
          <w:szCs w:val="22"/>
        </w:rPr>
        <w:t xml:space="preserve">SPS </w:t>
      </w:r>
      <w:r w:rsidRPr="00DB13DE">
        <w:rPr>
          <w:rFonts w:eastAsia="Times New Roman"/>
          <w:szCs w:val="22"/>
        </w:rPr>
        <w:t xml:space="preserve">C-RNTI. This makes it not applicable to </w:t>
      </w:r>
      <w:r w:rsidR="00B71566" w:rsidRPr="00DB13DE">
        <w:rPr>
          <w:rFonts w:eastAsia="Times New Roman"/>
          <w:szCs w:val="22"/>
        </w:rPr>
        <w:t>be used</w:t>
      </w:r>
      <w:r w:rsidRPr="00DB13DE">
        <w:rPr>
          <w:rFonts w:eastAsia="Times New Roman"/>
          <w:szCs w:val="22"/>
        </w:rPr>
        <w:t xml:space="preserve"> on the LAA SCell.</w:t>
      </w:r>
    </w:p>
    <w:p w14:paraId="14F4C723" w14:textId="77777777" w:rsidR="002C11E6" w:rsidRPr="00DB13DE" w:rsidRDefault="002C11E6" w:rsidP="002C11E6">
      <w:pPr>
        <w:pStyle w:val="BodyText"/>
        <w:rPr>
          <w:rFonts w:eastAsia="Times New Roman"/>
          <w:szCs w:val="22"/>
        </w:rPr>
      </w:pPr>
    </w:p>
    <w:p w14:paraId="1194524B" w14:textId="764DC539" w:rsidR="00943844" w:rsidRPr="00DB13DE" w:rsidRDefault="00943844" w:rsidP="00C06DA7">
      <w:pPr>
        <w:pStyle w:val="Proposal"/>
        <w:numPr>
          <w:ilvl w:val="0"/>
          <w:numId w:val="0"/>
        </w:numPr>
        <w:ind w:left="1304" w:hanging="1304"/>
        <w:rPr>
          <w:rFonts w:asciiTheme="majorBidi" w:hAnsiTheme="majorBidi" w:cstheme="majorBidi"/>
          <w:sz w:val="22"/>
          <w:szCs w:val="22"/>
          <w:lang w:val="en-US"/>
        </w:rPr>
      </w:pPr>
      <w:r w:rsidRPr="00DB13DE">
        <w:rPr>
          <w:rFonts w:asciiTheme="majorBidi" w:hAnsiTheme="majorBidi" w:cstheme="majorBidi"/>
          <w:sz w:val="22"/>
          <w:szCs w:val="22"/>
          <w:lang w:val="en-US"/>
        </w:rPr>
        <w:t>P</w:t>
      </w:r>
      <w:r w:rsidR="002C11E6" w:rsidRPr="00DB13DE">
        <w:rPr>
          <w:rFonts w:asciiTheme="majorBidi" w:hAnsiTheme="majorBidi" w:cstheme="majorBidi"/>
          <w:sz w:val="22"/>
          <w:szCs w:val="22"/>
          <w:lang w:val="en-US"/>
        </w:rPr>
        <w:t>roposal 2</w:t>
      </w:r>
      <w:r w:rsidRPr="00DB13DE">
        <w:rPr>
          <w:rFonts w:asciiTheme="majorBidi" w:hAnsiTheme="majorBidi" w:cstheme="majorBidi"/>
          <w:sz w:val="22"/>
          <w:szCs w:val="22"/>
          <w:lang w:val="en-US"/>
        </w:rPr>
        <w:t xml:space="preserve">: </w:t>
      </w:r>
      <w:r w:rsidRPr="00DB13DE">
        <w:rPr>
          <w:rFonts w:asciiTheme="majorBidi" w:hAnsiTheme="majorBidi" w:cstheme="majorBidi"/>
          <w:sz w:val="22"/>
          <w:szCs w:val="22"/>
        </w:rPr>
        <w:t xml:space="preserve">The </w:t>
      </w:r>
      <w:r w:rsidR="002C11E6" w:rsidRPr="00DB13DE">
        <w:rPr>
          <w:rFonts w:asciiTheme="majorBidi" w:hAnsiTheme="majorBidi" w:cstheme="majorBidi"/>
          <w:sz w:val="22"/>
          <w:szCs w:val="22"/>
        </w:rPr>
        <w:t>autonomous</w:t>
      </w:r>
      <w:r w:rsidRPr="00DB13DE">
        <w:rPr>
          <w:rFonts w:asciiTheme="majorBidi" w:hAnsiTheme="majorBidi" w:cstheme="majorBidi"/>
          <w:sz w:val="22"/>
          <w:szCs w:val="22"/>
        </w:rPr>
        <w:t xml:space="preserve"> UL functionality can be achieved by using existing LTE Rel-14 SPS feature with some additional enhancements. </w:t>
      </w:r>
      <w:r w:rsidRPr="00DB13DE">
        <w:rPr>
          <w:rFonts w:asciiTheme="majorBidi" w:hAnsiTheme="majorBidi" w:cstheme="majorBidi"/>
          <w:sz w:val="22"/>
          <w:szCs w:val="22"/>
          <w:lang w:val="en-US"/>
        </w:rPr>
        <w:t xml:space="preserve"> </w:t>
      </w:r>
    </w:p>
    <w:p w14:paraId="475269A7" w14:textId="4423F412" w:rsidR="0028360F" w:rsidRPr="00DB13DE" w:rsidRDefault="0028360F" w:rsidP="0028360F">
      <w:pPr>
        <w:pStyle w:val="Proposal"/>
        <w:numPr>
          <w:ilvl w:val="1"/>
          <w:numId w:val="19"/>
        </w:numPr>
        <w:rPr>
          <w:rFonts w:asciiTheme="majorBidi" w:hAnsiTheme="majorBidi" w:cstheme="majorBidi"/>
          <w:sz w:val="22"/>
          <w:szCs w:val="22"/>
        </w:rPr>
      </w:pPr>
      <w:r w:rsidRPr="00DB13DE">
        <w:rPr>
          <w:rFonts w:asciiTheme="majorBidi" w:hAnsiTheme="majorBidi" w:cstheme="majorBidi"/>
          <w:sz w:val="22"/>
          <w:szCs w:val="22"/>
        </w:rPr>
        <w:t xml:space="preserve">RRC based configuration used for </w:t>
      </w:r>
      <w:r w:rsidR="002C11E6" w:rsidRPr="00DB13DE">
        <w:rPr>
          <w:rFonts w:asciiTheme="majorBidi" w:hAnsiTheme="majorBidi" w:cstheme="majorBidi"/>
          <w:sz w:val="22"/>
          <w:szCs w:val="22"/>
        </w:rPr>
        <w:t xml:space="preserve">autonomous </w:t>
      </w:r>
      <w:r w:rsidRPr="00DB13DE">
        <w:rPr>
          <w:rFonts w:asciiTheme="majorBidi" w:hAnsiTheme="majorBidi" w:cstheme="majorBidi"/>
          <w:sz w:val="22"/>
          <w:szCs w:val="22"/>
        </w:rPr>
        <w:t>UL</w:t>
      </w:r>
    </w:p>
    <w:p w14:paraId="13D11D8E" w14:textId="28F2C805" w:rsidR="000A6EA5" w:rsidRPr="00DB13DE" w:rsidRDefault="0028360F" w:rsidP="0028360F">
      <w:pPr>
        <w:pStyle w:val="Proposal"/>
        <w:numPr>
          <w:ilvl w:val="1"/>
          <w:numId w:val="19"/>
        </w:numPr>
        <w:rPr>
          <w:rFonts w:asciiTheme="majorBidi" w:hAnsiTheme="majorBidi" w:cstheme="majorBidi"/>
          <w:sz w:val="22"/>
          <w:szCs w:val="22"/>
        </w:rPr>
      </w:pPr>
      <w:r w:rsidRPr="00DB13DE">
        <w:rPr>
          <w:rFonts w:asciiTheme="majorBidi" w:hAnsiTheme="majorBidi" w:cstheme="majorBidi"/>
          <w:sz w:val="22"/>
          <w:szCs w:val="22"/>
          <w:lang w:val="en-US"/>
        </w:rPr>
        <w:t>SPS based DCI for activation/re-activation/release</w:t>
      </w:r>
    </w:p>
    <w:p w14:paraId="0225B003" w14:textId="77777777" w:rsidR="00943844" w:rsidRPr="00DB13DE" w:rsidRDefault="00943844" w:rsidP="00C06DA7">
      <w:pPr>
        <w:pStyle w:val="Proposal"/>
        <w:numPr>
          <w:ilvl w:val="0"/>
          <w:numId w:val="0"/>
        </w:numPr>
        <w:ind w:left="1304" w:hanging="1304"/>
        <w:rPr>
          <w:sz w:val="22"/>
          <w:szCs w:val="22"/>
          <w:lang w:val="en-US"/>
        </w:rPr>
      </w:pPr>
    </w:p>
    <w:p w14:paraId="7ADE0F5F" w14:textId="77777777"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6" w:name="_Toc458153812"/>
      <w:r>
        <w:t>Conclusion</w:t>
      </w:r>
      <w:bookmarkEnd w:id="6"/>
    </w:p>
    <w:p w14:paraId="340096C4" w14:textId="6F8D5C9C" w:rsidR="00022DEC" w:rsidRPr="00DB13DE" w:rsidRDefault="006907EA" w:rsidP="00424DB8">
      <w:pPr>
        <w:rPr>
          <w:sz w:val="22"/>
          <w:szCs w:val="22"/>
        </w:rPr>
      </w:pPr>
      <w:r w:rsidRPr="00DB13DE">
        <w:rPr>
          <w:sz w:val="22"/>
          <w:szCs w:val="22"/>
        </w:rPr>
        <w:t xml:space="preserve">In this paper, we discuss the limitations of the scheduled UL on unlicensed bands, and propose reducing the control signaling overhead preceding UL transmissions by enabling </w:t>
      </w:r>
      <w:r w:rsidR="002C11E6" w:rsidRPr="00DB13DE">
        <w:rPr>
          <w:sz w:val="22"/>
          <w:szCs w:val="22"/>
        </w:rPr>
        <w:t>autonomous</w:t>
      </w:r>
      <w:r w:rsidRPr="00DB13DE">
        <w:rPr>
          <w:sz w:val="22"/>
          <w:szCs w:val="22"/>
        </w:rPr>
        <w:t xml:space="preserve"> uplink support based on SPS framework. </w:t>
      </w:r>
    </w:p>
    <w:p w14:paraId="15A4B34C" w14:textId="77777777" w:rsidR="006907EA" w:rsidRPr="00DB13DE" w:rsidRDefault="006907EA" w:rsidP="006907EA">
      <w:pPr>
        <w:pStyle w:val="BodyText"/>
        <w:rPr>
          <w:rFonts w:eastAsia="Times New Roman"/>
          <w:szCs w:val="22"/>
        </w:rPr>
      </w:pPr>
    </w:p>
    <w:p w14:paraId="37108A0F" w14:textId="42B232A8" w:rsidR="002C11E6" w:rsidRPr="00DB13DE" w:rsidRDefault="002C11E6" w:rsidP="002C11E6">
      <w:pPr>
        <w:autoSpaceDE w:val="0"/>
        <w:autoSpaceDN w:val="0"/>
        <w:adjustRightInd w:val="0"/>
        <w:jc w:val="both"/>
        <w:rPr>
          <w:b/>
          <w:bCs/>
          <w:sz w:val="22"/>
          <w:szCs w:val="22"/>
        </w:rPr>
      </w:pPr>
      <w:r w:rsidRPr="00DB13DE">
        <w:rPr>
          <w:b/>
          <w:bCs/>
          <w:sz w:val="22"/>
          <w:szCs w:val="22"/>
        </w:rPr>
        <w:t>Observation 1: UL latency can be lower by reducing the control signaling related to scheduling that precede every UL transmission.</w:t>
      </w:r>
    </w:p>
    <w:p w14:paraId="75E38704" w14:textId="77777777" w:rsidR="002C11E6" w:rsidRPr="00DB13DE" w:rsidRDefault="002C11E6" w:rsidP="002C11E6">
      <w:pPr>
        <w:autoSpaceDE w:val="0"/>
        <w:autoSpaceDN w:val="0"/>
        <w:adjustRightInd w:val="0"/>
        <w:jc w:val="both"/>
        <w:rPr>
          <w:b/>
          <w:bCs/>
          <w:sz w:val="22"/>
          <w:szCs w:val="22"/>
        </w:rPr>
      </w:pPr>
    </w:p>
    <w:p w14:paraId="6BD201C4" w14:textId="469F3747" w:rsidR="002C11E6" w:rsidRPr="00DB13DE" w:rsidRDefault="002C11E6" w:rsidP="002C11E6">
      <w:pPr>
        <w:autoSpaceDE w:val="0"/>
        <w:autoSpaceDN w:val="0"/>
        <w:adjustRightInd w:val="0"/>
        <w:jc w:val="both"/>
        <w:rPr>
          <w:b/>
          <w:bCs/>
          <w:sz w:val="22"/>
          <w:szCs w:val="22"/>
        </w:rPr>
      </w:pPr>
      <w:r w:rsidRPr="00DB13DE">
        <w:rPr>
          <w:b/>
          <w:bCs/>
          <w:sz w:val="22"/>
          <w:szCs w:val="22"/>
        </w:rPr>
        <w:t>Proposal 1: It is beneficial to support autonomous data transmissions on pre-allocated resources on LAA SCells to reduce signaling overhead and latency.</w:t>
      </w:r>
    </w:p>
    <w:p w14:paraId="7AFCCF27" w14:textId="77777777" w:rsidR="002C11E6" w:rsidRPr="00DB13DE" w:rsidRDefault="002C11E6" w:rsidP="006907EA">
      <w:pPr>
        <w:pStyle w:val="Proposal"/>
        <w:numPr>
          <w:ilvl w:val="0"/>
          <w:numId w:val="0"/>
        </w:numPr>
        <w:ind w:left="1304" w:hanging="1304"/>
        <w:rPr>
          <w:rFonts w:ascii="Times New Roman" w:hAnsi="Times New Roman"/>
          <w:sz w:val="22"/>
          <w:szCs w:val="22"/>
          <w:lang w:val="en-US" w:eastAsia="en-US"/>
        </w:rPr>
      </w:pPr>
    </w:p>
    <w:p w14:paraId="6A7F3922" w14:textId="30F194FE" w:rsidR="006907EA" w:rsidRPr="00DB13DE" w:rsidRDefault="002C11E6" w:rsidP="006907EA">
      <w:pPr>
        <w:pStyle w:val="Proposal"/>
        <w:numPr>
          <w:ilvl w:val="0"/>
          <w:numId w:val="0"/>
        </w:numPr>
        <w:ind w:left="1304" w:hanging="1304"/>
        <w:rPr>
          <w:rFonts w:ascii="Times New Roman" w:hAnsi="Times New Roman"/>
          <w:sz w:val="22"/>
          <w:szCs w:val="22"/>
          <w:lang w:val="en-US" w:eastAsia="en-US"/>
        </w:rPr>
      </w:pPr>
      <w:r w:rsidRPr="00DB13DE">
        <w:rPr>
          <w:rFonts w:ascii="Times New Roman" w:hAnsi="Times New Roman"/>
          <w:sz w:val="22"/>
          <w:szCs w:val="22"/>
          <w:lang w:val="en-US" w:eastAsia="en-US"/>
        </w:rPr>
        <w:t>Proposal 2</w:t>
      </w:r>
      <w:r w:rsidR="006907EA" w:rsidRPr="00DB13DE">
        <w:rPr>
          <w:rFonts w:ascii="Times New Roman" w:hAnsi="Times New Roman"/>
          <w:sz w:val="22"/>
          <w:szCs w:val="22"/>
          <w:lang w:val="en-US" w:eastAsia="en-US"/>
        </w:rPr>
        <w:t xml:space="preserve">: The </w:t>
      </w:r>
      <w:r w:rsidRPr="00DB13DE">
        <w:rPr>
          <w:rFonts w:ascii="Times New Roman" w:hAnsi="Times New Roman"/>
          <w:sz w:val="22"/>
          <w:szCs w:val="22"/>
          <w:lang w:val="en-US" w:eastAsia="en-US"/>
        </w:rPr>
        <w:t xml:space="preserve">autonomous </w:t>
      </w:r>
      <w:r w:rsidR="006907EA" w:rsidRPr="00DB13DE">
        <w:rPr>
          <w:rFonts w:ascii="Times New Roman" w:hAnsi="Times New Roman"/>
          <w:sz w:val="22"/>
          <w:szCs w:val="22"/>
          <w:lang w:val="en-US" w:eastAsia="en-US"/>
        </w:rPr>
        <w:t xml:space="preserve">UL functionality can be achieved by using existing LTE Rel-14 SPS feature with some additional enhancements.  </w:t>
      </w:r>
    </w:p>
    <w:p w14:paraId="2F279ED6" w14:textId="7BFDCB1B" w:rsidR="0028360F" w:rsidRPr="00DB13DE" w:rsidRDefault="0028360F" w:rsidP="0028360F">
      <w:pPr>
        <w:pStyle w:val="Proposal"/>
        <w:numPr>
          <w:ilvl w:val="1"/>
          <w:numId w:val="19"/>
        </w:numPr>
        <w:rPr>
          <w:rFonts w:ascii="Times New Roman" w:hAnsi="Times New Roman"/>
          <w:sz w:val="22"/>
          <w:szCs w:val="22"/>
          <w:lang w:val="en-US" w:eastAsia="en-US"/>
        </w:rPr>
      </w:pPr>
      <w:r w:rsidRPr="00DB13DE">
        <w:rPr>
          <w:rFonts w:ascii="Times New Roman" w:hAnsi="Times New Roman"/>
          <w:sz w:val="22"/>
          <w:szCs w:val="22"/>
          <w:lang w:val="en-US" w:eastAsia="en-US"/>
        </w:rPr>
        <w:t xml:space="preserve">RRC based configuration used for </w:t>
      </w:r>
      <w:r w:rsidR="002C11E6" w:rsidRPr="00DB13DE">
        <w:rPr>
          <w:rFonts w:ascii="Times New Roman" w:hAnsi="Times New Roman"/>
          <w:sz w:val="22"/>
          <w:szCs w:val="22"/>
          <w:lang w:val="en-US" w:eastAsia="en-US"/>
        </w:rPr>
        <w:t xml:space="preserve">autonomous </w:t>
      </w:r>
      <w:r w:rsidRPr="00DB13DE">
        <w:rPr>
          <w:rFonts w:ascii="Times New Roman" w:hAnsi="Times New Roman"/>
          <w:sz w:val="22"/>
          <w:szCs w:val="22"/>
          <w:lang w:val="en-US" w:eastAsia="en-US"/>
        </w:rPr>
        <w:t>UL</w:t>
      </w:r>
    </w:p>
    <w:p w14:paraId="1E05424C" w14:textId="77777777" w:rsidR="0028360F" w:rsidRPr="00DB13DE" w:rsidRDefault="0028360F" w:rsidP="0028360F">
      <w:pPr>
        <w:pStyle w:val="Proposal"/>
        <w:numPr>
          <w:ilvl w:val="1"/>
          <w:numId w:val="19"/>
        </w:numPr>
        <w:rPr>
          <w:rFonts w:ascii="Times New Roman" w:hAnsi="Times New Roman"/>
          <w:sz w:val="22"/>
          <w:szCs w:val="22"/>
          <w:lang w:val="en-US" w:eastAsia="en-US"/>
        </w:rPr>
      </w:pPr>
      <w:r w:rsidRPr="00DB13DE">
        <w:rPr>
          <w:rFonts w:ascii="Times New Roman" w:hAnsi="Times New Roman"/>
          <w:sz w:val="22"/>
          <w:szCs w:val="22"/>
          <w:lang w:val="en-US" w:eastAsia="en-US"/>
        </w:rPr>
        <w:t>SPS based DCI for activation/re-activation/release</w:t>
      </w:r>
    </w:p>
    <w:p w14:paraId="355F7415" w14:textId="77777777" w:rsidR="00DB13DE" w:rsidRPr="00DB13DE" w:rsidRDefault="00DB13DE" w:rsidP="00DB13DE">
      <w:pPr>
        <w:pStyle w:val="Proposal"/>
        <w:numPr>
          <w:ilvl w:val="0"/>
          <w:numId w:val="0"/>
        </w:numPr>
        <w:pBdr>
          <w:bottom w:val="single" w:sz="6" w:space="1" w:color="auto"/>
        </w:pBdr>
        <w:ind w:left="1304" w:hanging="1304"/>
        <w:rPr>
          <w:sz w:val="22"/>
          <w:szCs w:val="22"/>
          <w:lang w:val="en-US"/>
        </w:rPr>
      </w:pPr>
    </w:p>
    <w:sdt>
      <w:sdtPr>
        <w:rPr>
          <w:rFonts w:eastAsia="Times New Roman"/>
          <w:sz w:val="20"/>
        </w:rPr>
        <w:id w:val="-1211022416"/>
        <w:docPartObj>
          <w:docPartGallery w:val="Bibliographies"/>
          <w:docPartUnique/>
        </w:docPartObj>
      </w:sdtPr>
      <w:sdtEndPr/>
      <w:sdtContent>
        <w:p w14:paraId="7F95E754" w14:textId="70F6B9F9" w:rsidR="00DB13DE" w:rsidRPr="00DB13DE" w:rsidRDefault="00DB13DE" w:rsidP="00DB13DE">
          <w:pPr>
            <w:pStyle w:val="BodyText"/>
          </w:pPr>
        </w:p>
        <w:p w14:paraId="041CF70A" w14:textId="3F0CAF1A" w:rsidR="00DB13DE" w:rsidRDefault="00DB13DE">
          <w:pPr>
            <w:pStyle w:val="Heading1"/>
          </w:pPr>
          <w:r>
            <w:lastRenderedPageBreak/>
            <w:t>References</w:t>
          </w:r>
        </w:p>
        <w:sdt>
          <w:sdtPr>
            <w:id w:val="-573587230"/>
            <w:bibliography/>
          </w:sdtPr>
          <w:sdtEndPr/>
          <w:sdtContent>
            <w:p w14:paraId="5F8D265C" w14:textId="77777777" w:rsidR="00DB13DE" w:rsidRDefault="00DB13DE">
              <w:pPr>
                <w:rPr>
                  <w:noProof/>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420"/>
              </w:tblGrid>
              <w:tr w:rsidR="00DB13DE" w14:paraId="2FFF4BE3" w14:textId="77777777">
                <w:trPr>
                  <w:divId w:val="1100567181"/>
                  <w:tblCellSpacing w:w="15" w:type="dxa"/>
                </w:trPr>
                <w:tc>
                  <w:tcPr>
                    <w:tcW w:w="50" w:type="pct"/>
                    <w:hideMark/>
                  </w:tcPr>
                  <w:p w14:paraId="033607D3" w14:textId="0E90AEC3" w:rsidR="00DB13DE" w:rsidRDefault="00DB13DE">
                    <w:pPr>
                      <w:pStyle w:val="Bibliography"/>
                      <w:rPr>
                        <w:noProof/>
                        <w:sz w:val="24"/>
                      </w:rPr>
                    </w:pPr>
                    <w:r>
                      <w:rPr>
                        <w:noProof/>
                      </w:rPr>
                      <w:t xml:space="preserve">[1] </w:t>
                    </w:r>
                  </w:p>
                </w:tc>
                <w:tc>
                  <w:tcPr>
                    <w:tcW w:w="0" w:type="auto"/>
                    <w:hideMark/>
                  </w:tcPr>
                  <w:p w14:paraId="4AD6DD94" w14:textId="77777777" w:rsidR="00DB13DE" w:rsidRDefault="00DB13DE">
                    <w:pPr>
                      <w:pStyle w:val="Bibliography"/>
                      <w:rPr>
                        <w:noProof/>
                      </w:rPr>
                    </w:pPr>
                    <w:r>
                      <w:rPr>
                        <w:noProof/>
                      </w:rPr>
                      <w:t>Ericsson, "RP-160667 WI: L2 latency reduction techniques for LTE".</w:t>
                    </w:r>
                  </w:p>
                </w:tc>
              </w:tr>
            </w:tbl>
            <w:p w14:paraId="700F1B21" w14:textId="77777777" w:rsidR="00DB13DE" w:rsidRDefault="00DB13DE">
              <w:pPr>
                <w:divId w:val="1100567181"/>
                <w:rPr>
                  <w:noProof/>
                </w:rPr>
              </w:pPr>
            </w:p>
            <w:p w14:paraId="663DDFCC" w14:textId="6A2169F8" w:rsidR="00DB13DE" w:rsidRDefault="00DB13DE">
              <w:r>
                <w:rPr>
                  <w:b/>
                  <w:bCs/>
                  <w:noProof/>
                </w:rPr>
                <w:fldChar w:fldCharType="end"/>
              </w:r>
            </w:p>
          </w:sdtContent>
        </w:sdt>
      </w:sdtContent>
    </w:sdt>
    <w:p w14:paraId="2DBFB4FB" w14:textId="77777777" w:rsidR="006907EA" w:rsidRPr="00424DB8" w:rsidRDefault="006907EA" w:rsidP="0028360F"/>
    <w:sectPr w:rsidR="006907EA" w:rsidRPr="00424DB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57116" w14:textId="77777777" w:rsidR="007624AA" w:rsidRDefault="007624AA">
      <w:r>
        <w:separator/>
      </w:r>
    </w:p>
  </w:endnote>
  <w:endnote w:type="continuationSeparator" w:id="0">
    <w:p w14:paraId="354F88AD" w14:textId="77777777" w:rsidR="007624AA" w:rsidRDefault="007624AA">
      <w:r>
        <w:continuationSeparator/>
      </w:r>
    </w:p>
  </w:endnote>
  <w:endnote w:type="continuationNotice" w:id="1">
    <w:p w14:paraId="4407ECC8" w14:textId="77777777" w:rsidR="007624AA" w:rsidRDefault="007624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panose1 w:val="02000503000000020004"/>
    <w:charset w:val="00"/>
    <w:family w:val="auto"/>
    <w:pitch w:val="variable"/>
    <w:sig w:usb0="800002A7" w:usb1="4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B5098" w14:textId="76C5A3C5"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8563C7">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563C7">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ED3F09" w14:textId="77777777" w:rsidR="007624AA" w:rsidRDefault="007624AA">
      <w:r>
        <w:separator/>
      </w:r>
    </w:p>
  </w:footnote>
  <w:footnote w:type="continuationSeparator" w:id="0">
    <w:p w14:paraId="07E85E19" w14:textId="77777777" w:rsidR="007624AA" w:rsidRDefault="007624AA">
      <w:r>
        <w:continuationSeparator/>
      </w:r>
    </w:p>
  </w:footnote>
  <w:footnote w:type="continuationNotice" w:id="1">
    <w:p w14:paraId="4524A007" w14:textId="77777777" w:rsidR="007624AA" w:rsidRDefault="007624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91B3B" w14:textId="77777777"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70657"/>
    <w:multiLevelType w:val="hybridMultilevel"/>
    <w:tmpl w:val="3E5CC934"/>
    <w:lvl w:ilvl="0" w:tplc="D460F6EC">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E50CD"/>
    <w:multiLevelType w:val="hybridMultilevel"/>
    <w:tmpl w:val="2D84A7E0"/>
    <w:lvl w:ilvl="0" w:tplc="2892BCF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260" w:hanging="36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FB0ADB"/>
    <w:multiLevelType w:val="hybridMultilevel"/>
    <w:tmpl w:val="51BCFF00"/>
    <w:lvl w:ilvl="0" w:tplc="3B06D1E6">
      <w:start w:val="1"/>
      <w:numFmt w:val="bullet"/>
      <w:lvlText w:val="–"/>
      <w:lvlJc w:val="left"/>
      <w:pPr>
        <w:tabs>
          <w:tab w:val="num" w:pos="720"/>
        </w:tabs>
        <w:ind w:left="720" w:hanging="360"/>
      </w:pPr>
      <w:rPr>
        <w:rFonts w:ascii="Ericsson Capital TT" w:hAnsi="Ericsson Capital TT" w:hint="default"/>
      </w:rPr>
    </w:lvl>
    <w:lvl w:ilvl="1" w:tplc="E940C4AC">
      <w:start w:val="1"/>
      <w:numFmt w:val="bullet"/>
      <w:lvlText w:val="–"/>
      <w:lvlJc w:val="left"/>
      <w:pPr>
        <w:tabs>
          <w:tab w:val="num" w:pos="1440"/>
        </w:tabs>
        <w:ind w:left="1440" w:hanging="360"/>
      </w:pPr>
      <w:rPr>
        <w:rFonts w:ascii="Ericsson Capital TT" w:hAnsi="Ericsson Capital TT" w:hint="default"/>
      </w:rPr>
    </w:lvl>
    <w:lvl w:ilvl="2" w:tplc="99EC5D12" w:tentative="1">
      <w:start w:val="1"/>
      <w:numFmt w:val="bullet"/>
      <w:lvlText w:val="–"/>
      <w:lvlJc w:val="left"/>
      <w:pPr>
        <w:tabs>
          <w:tab w:val="num" w:pos="2160"/>
        </w:tabs>
        <w:ind w:left="2160" w:hanging="360"/>
      </w:pPr>
      <w:rPr>
        <w:rFonts w:ascii="Ericsson Capital TT" w:hAnsi="Ericsson Capital TT" w:hint="default"/>
      </w:rPr>
    </w:lvl>
    <w:lvl w:ilvl="3" w:tplc="DF204E5E" w:tentative="1">
      <w:start w:val="1"/>
      <w:numFmt w:val="bullet"/>
      <w:lvlText w:val="–"/>
      <w:lvlJc w:val="left"/>
      <w:pPr>
        <w:tabs>
          <w:tab w:val="num" w:pos="2880"/>
        </w:tabs>
        <w:ind w:left="2880" w:hanging="360"/>
      </w:pPr>
      <w:rPr>
        <w:rFonts w:ascii="Ericsson Capital TT" w:hAnsi="Ericsson Capital TT" w:hint="default"/>
      </w:rPr>
    </w:lvl>
    <w:lvl w:ilvl="4" w:tplc="D8D4D536" w:tentative="1">
      <w:start w:val="1"/>
      <w:numFmt w:val="bullet"/>
      <w:lvlText w:val="–"/>
      <w:lvlJc w:val="left"/>
      <w:pPr>
        <w:tabs>
          <w:tab w:val="num" w:pos="3600"/>
        </w:tabs>
        <w:ind w:left="3600" w:hanging="360"/>
      </w:pPr>
      <w:rPr>
        <w:rFonts w:ascii="Ericsson Capital TT" w:hAnsi="Ericsson Capital TT" w:hint="default"/>
      </w:rPr>
    </w:lvl>
    <w:lvl w:ilvl="5" w:tplc="29AE7172" w:tentative="1">
      <w:start w:val="1"/>
      <w:numFmt w:val="bullet"/>
      <w:lvlText w:val="–"/>
      <w:lvlJc w:val="left"/>
      <w:pPr>
        <w:tabs>
          <w:tab w:val="num" w:pos="4320"/>
        </w:tabs>
        <w:ind w:left="4320" w:hanging="360"/>
      </w:pPr>
      <w:rPr>
        <w:rFonts w:ascii="Ericsson Capital TT" w:hAnsi="Ericsson Capital TT" w:hint="default"/>
      </w:rPr>
    </w:lvl>
    <w:lvl w:ilvl="6" w:tplc="B1AEF686" w:tentative="1">
      <w:start w:val="1"/>
      <w:numFmt w:val="bullet"/>
      <w:lvlText w:val="–"/>
      <w:lvlJc w:val="left"/>
      <w:pPr>
        <w:tabs>
          <w:tab w:val="num" w:pos="5040"/>
        </w:tabs>
        <w:ind w:left="5040" w:hanging="360"/>
      </w:pPr>
      <w:rPr>
        <w:rFonts w:ascii="Ericsson Capital TT" w:hAnsi="Ericsson Capital TT" w:hint="default"/>
      </w:rPr>
    </w:lvl>
    <w:lvl w:ilvl="7" w:tplc="3B9C302A" w:tentative="1">
      <w:start w:val="1"/>
      <w:numFmt w:val="bullet"/>
      <w:lvlText w:val="–"/>
      <w:lvlJc w:val="left"/>
      <w:pPr>
        <w:tabs>
          <w:tab w:val="num" w:pos="5760"/>
        </w:tabs>
        <w:ind w:left="5760" w:hanging="360"/>
      </w:pPr>
      <w:rPr>
        <w:rFonts w:ascii="Ericsson Capital TT" w:hAnsi="Ericsson Capital TT" w:hint="default"/>
      </w:rPr>
    </w:lvl>
    <w:lvl w:ilvl="8" w:tplc="08A6185C" w:tentative="1">
      <w:start w:val="1"/>
      <w:numFmt w:val="bullet"/>
      <w:lvlText w:val="–"/>
      <w:lvlJc w:val="left"/>
      <w:pPr>
        <w:tabs>
          <w:tab w:val="num" w:pos="6480"/>
        </w:tabs>
        <w:ind w:left="6480" w:hanging="360"/>
      </w:pPr>
      <w:rPr>
        <w:rFonts w:ascii="Ericsson Capital TT" w:hAnsi="Ericsson Capital TT" w:hint="default"/>
      </w:rPr>
    </w:lvl>
  </w:abstractNum>
  <w:abstractNum w:abstractNumId="3" w15:restartNumberingAfterBreak="0">
    <w:nsid w:val="1898458B"/>
    <w:multiLevelType w:val="hybridMultilevel"/>
    <w:tmpl w:val="36108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C1153CE"/>
    <w:multiLevelType w:val="hybridMultilevel"/>
    <w:tmpl w:val="DA962D9E"/>
    <w:lvl w:ilvl="0" w:tplc="2892BCF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4BCE5211"/>
    <w:multiLevelType w:val="hybridMultilevel"/>
    <w:tmpl w:val="4AC48ED8"/>
    <w:lvl w:ilvl="0" w:tplc="2356F606">
      <w:start w:val="1"/>
      <w:numFmt w:val="bullet"/>
      <w:lvlText w:val="›"/>
      <w:lvlJc w:val="left"/>
      <w:pPr>
        <w:tabs>
          <w:tab w:val="num" w:pos="720"/>
        </w:tabs>
        <w:ind w:left="720" w:hanging="360"/>
      </w:pPr>
      <w:rPr>
        <w:rFonts w:ascii="Arial" w:hAnsi="Arial" w:hint="default"/>
      </w:rPr>
    </w:lvl>
    <w:lvl w:ilvl="1" w:tplc="D1AE8694">
      <w:start w:val="1"/>
      <w:numFmt w:val="bullet"/>
      <w:lvlText w:val="›"/>
      <w:lvlJc w:val="left"/>
      <w:pPr>
        <w:tabs>
          <w:tab w:val="num" w:pos="450"/>
        </w:tabs>
        <w:ind w:left="450" w:hanging="360"/>
      </w:pPr>
      <w:rPr>
        <w:rFonts w:ascii="Arial" w:hAnsi="Arial" w:hint="default"/>
      </w:rPr>
    </w:lvl>
    <w:lvl w:ilvl="2" w:tplc="6616F712">
      <w:start w:val="1"/>
      <w:numFmt w:val="bullet"/>
      <w:lvlText w:val="›"/>
      <w:lvlJc w:val="left"/>
      <w:pPr>
        <w:tabs>
          <w:tab w:val="num" w:pos="2160"/>
        </w:tabs>
        <w:ind w:left="2160" w:hanging="360"/>
      </w:pPr>
      <w:rPr>
        <w:rFonts w:ascii="Arial" w:hAnsi="Arial" w:hint="default"/>
      </w:rPr>
    </w:lvl>
    <w:lvl w:ilvl="3" w:tplc="FF10AF10" w:tentative="1">
      <w:start w:val="1"/>
      <w:numFmt w:val="bullet"/>
      <w:lvlText w:val="›"/>
      <w:lvlJc w:val="left"/>
      <w:pPr>
        <w:tabs>
          <w:tab w:val="num" w:pos="2880"/>
        </w:tabs>
        <w:ind w:left="2880" w:hanging="360"/>
      </w:pPr>
      <w:rPr>
        <w:rFonts w:ascii="Arial" w:hAnsi="Arial" w:hint="default"/>
      </w:rPr>
    </w:lvl>
    <w:lvl w:ilvl="4" w:tplc="97D69CD2" w:tentative="1">
      <w:start w:val="1"/>
      <w:numFmt w:val="bullet"/>
      <w:lvlText w:val="›"/>
      <w:lvlJc w:val="left"/>
      <w:pPr>
        <w:tabs>
          <w:tab w:val="num" w:pos="3600"/>
        </w:tabs>
        <w:ind w:left="3600" w:hanging="360"/>
      </w:pPr>
      <w:rPr>
        <w:rFonts w:ascii="Arial" w:hAnsi="Arial" w:hint="default"/>
      </w:rPr>
    </w:lvl>
    <w:lvl w:ilvl="5" w:tplc="BA6A2656" w:tentative="1">
      <w:start w:val="1"/>
      <w:numFmt w:val="bullet"/>
      <w:lvlText w:val="›"/>
      <w:lvlJc w:val="left"/>
      <w:pPr>
        <w:tabs>
          <w:tab w:val="num" w:pos="4320"/>
        </w:tabs>
        <w:ind w:left="4320" w:hanging="360"/>
      </w:pPr>
      <w:rPr>
        <w:rFonts w:ascii="Arial" w:hAnsi="Arial" w:hint="default"/>
      </w:rPr>
    </w:lvl>
    <w:lvl w:ilvl="6" w:tplc="2A2C2E84" w:tentative="1">
      <w:start w:val="1"/>
      <w:numFmt w:val="bullet"/>
      <w:lvlText w:val="›"/>
      <w:lvlJc w:val="left"/>
      <w:pPr>
        <w:tabs>
          <w:tab w:val="num" w:pos="5040"/>
        </w:tabs>
        <w:ind w:left="5040" w:hanging="360"/>
      </w:pPr>
      <w:rPr>
        <w:rFonts w:ascii="Arial" w:hAnsi="Arial" w:hint="default"/>
      </w:rPr>
    </w:lvl>
    <w:lvl w:ilvl="7" w:tplc="EEB06592" w:tentative="1">
      <w:start w:val="1"/>
      <w:numFmt w:val="bullet"/>
      <w:lvlText w:val="›"/>
      <w:lvlJc w:val="left"/>
      <w:pPr>
        <w:tabs>
          <w:tab w:val="num" w:pos="5760"/>
        </w:tabs>
        <w:ind w:left="5760" w:hanging="360"/>
      </w:pPr>
      <w:rPr>
        <w:rFonts w:ascii="Arial" w:hAnsi="Arial" w:hint="default"/>
      </w:rPr>
    </w:lvl>
    <w:lvl w:ilvl="8" w:tplc="01FA45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7CC7973"/>
    <w:multiLevelType w:val="hybridMultilevel"/>
    <w:tmpl w:val="F29CD3D8"/>
    <w:lvl w:ilvl="0" w:tplc="84FAFD40">
      <w:start w:val="1"/>
      <w:numFmt w:val="bullet"/>
      <w:lvlText w:val="–"/>
      <w:lvlJc w:val="left"/>
      <w:pPr>
        <w:tabs>
          <w:tab w:val="num" w:pos="720"/>
        </w:tabs>
        <w:ind w:left="720" w:hanging="360"/>
      </w:pPr>
      <w:rPr>
        <w:rFonts w:ascii="Ericsson Capital TT" w:hAnsi="Ericsson Capital TT" w:hint="default"/>
      </w:rPr>
    </w:lvl>
    <w:lvl w:ilvl="1" w:tplc="1CAE91F2">
      <w:start w:val="1"/>
      <w:numFmt w:val="bullet"/>
      <w:lvlText w:val="–"/>
      <w:lvlJc w:val="left"/>
      <w:pPr>
        <w:tabs>
          <w:tab w:val="num" w:pos="1440"/>
        </w:tabs>
        <w:ind w:left="1440" w:hanging="360"/>
      </w:pPr>
      <w:rPr>
        <w:rFonts w:ascii="Ericsson Capital TT" w:hAnsi="Ericsson Capital TT" w:hint="default"/>
      </w:rPr>
    </w:lvl>
    <w:lvl w:ilvl="2" w:tplc="6AB4F030" w:tentative="1">
      <w:start w:val="1"/>
      <w:numFmt w:val="bullet"/>
      <w:lvlText w:val="–"/>
      <w:lvlJc w:val="left"/>
      <w:pPr>
        <w:tabs>
          <w:tab w:val="num" w:pos="2160"/>
        </w:tabs>
        <w:ind w:left="2160" w:hanging="360"/>
      </w:pPr>
      <w:rPr>
        <w:rFonts w:ascii="Ericsson Capital TT" w:hAnsi="Ericsson Capital TT" w:hint="default"/>
      </w:rPr>
    </w:lvl>
    <w:lvl w:ilvl="3" w:tplc="FB92B938" w:tentative="1">
      <w:start w:val="1"/>
      <w:numFmt w:val="bullet"/>
      <w:lvlText w:val="–"/>
      <w:lvlJc w:val="left"/>
      <w:pPr>
        <w:tabs>
          <w:tab w:val="num" w:pos="2880"/>
        </w:tabs>
        <w:ind w:left="2880" w:hanging="360"/>
      </w:pPr>
      <w:rPr>
        <w:rFonts w:ascii="Ericsson Capital TT" w:hAnsi="Ericsson Capital TT" w:hint="default"/>
      </w:rPr>
    </w:lvl>
    <w:lvl w:ilvl="4" w:tplc="2FBA51CE" w:tentative="1">
      <w:start w:val="1"/>
      <w:numFmt w:val="bullet"/>
      <w:lvlText w:val="–"/>
      <w:lvlJc w:val="left"/>
      <w:pPr>
        <w:tabs>
          <w:tab w:val="num" w:pos="3600"/>
        </w:tabs>
        <w:ind w:left="3600" w:hanging="360"/>
      </w:pPr>
      <w:rPr>
        <w:rFonts w:ascii="Ericsson Capital TT" w:hAnsi="Ericsson Capital TT" w:hint="default"/>
      </w:rPr>
    </w:lvl>
    <w:lvl w:ilvl="5" w:tplc="D046BF0E" w:tentative="1">
      <w:start w:val="1"/>
      <w:numFmt w:val="bullet"/>
      <w:lvlText w:val="–"/>
      <w:lvlJc w:val="left"/>
      <w:pPr>
        <w:tabs>
          <w:tab w:val="num" w:pos="4320"/>
        </w:tabs>
        <w:ind w:left="4320" w:hanging="360"/>
      </w:pPr>
      <w:rPr>
        <w:rFonts w:ascii="Ericsson Capital TT" w:hAnsi="Ericsson Capital TT" w:hint="default"/>
      </w:rPr>
    </w:lvl>
    <w:lvl w:ilvl="6" w:tplc="277C4D64" w:tentative="1">
      <w:start w:val="1"/>
      <w:numFmt w:val="bullet"/>
      <w:lvlText w:val="–"/>
      <w:lvlJc w:val="left"/>
      <w:pPr>
        <w:tabs>
          <w:tab w:val="num" w:pos="5040"/>
        </w:tabs>
        <w:ind w:left="5040" w:hanging="360"/>
      </w:pPr>
      <w:rPr>
        <w:rFonts w:ascii="Ericsson Capital TT" w:hAnsi="Ericsson Capital TT" w:hint="default"/>
      </w:rPr>
    </w:lvl>
    <w:lvl w:ilvl="7" w:tplc="5620932A" w:tentative="1">
      <w:start w:val="1"/>
      <w:numFmt w:val="bullet"/>
      <w:lvlText w:val="–"/>
      <w:lvlJc w:val="left"/>
      <w:pPr>
        <w:tabs>
          <w:tab w:val="num" w:pos="5760"/>
        </w:tabs>
        <w:ind w:left="5760" w:hanging="360"/>
      </w:pPr>
      <w:rPr>
        <w:rFonts w:ascii="Ericsson Capital TT" w:hAnsi="Ericsson Capital TT" w:hint="default"/>
      </w:rPr>
    </w:lvl>
    <w:lvl w:ilvl="8" w:tplc="2F0C505A"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A69EF"/>
    <w:multiLevelType w:val="hybridMultilevel"/>
    <w:tmpl w:val="94621520"/>
    <w:lvl w:ilvl="0" w:tplc="A02EB69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1"/>
  </w:num>
  <w:num w:numId="2">
    <w:abstractNumId w:val="18"/>
  </w:num>
  <w:num w:numId="3">
    <w:abstractNumId w:val="7"/>
  </w:num>
  <w:num w:numId="4">
    <w:abstractNumId w:val="4"/>
  </w:num>
  <w:num w:numId="5">
    <w:abstractNumId w:val="19"/>
  </w:num>
  <w:num w:numId="6">
    <w:abstractNumId w:val="16"/>
  </w:num>
  <w:num w:numId="7">
    <w:abstractNumId w:val="15"/>
  </w:num>
  <w:num w:numId="8">
    <w:abstractNumId w:val="17"/>
  </w:num>
  <w:num w:numId="9">
    <w:abstractNumId w:val="9"/>
  </w:num>
  <w:num w:numId="10">
    <w:abstractNumId w:val="6"/>
  </w:num>
  <w:num w:numId="11">
    <w:abstractNumId w:val="13"/>
  </w:num>
  <w:num w:numId="12">
    <w:abstractNumId w:val="10"/>
  </w:num>
  <w:num w:numId="13">
    <w:abstractNumId w:val="1"/>
  </w:num>
  <w:num w:numId="14">
    <w:abstractNumId w:val="5"/>
  </w:num>
  <w:num w:numId="15">
    <w:abstractNumId w:val="14"/>
  </w:num>
  <w:num w:numId="16">
    <w:abstractNumId w:val="8"/>
  </w:num>
  <w:num w:numId="17">
    <w:abstractNumId w:val="3"/>
  </w:num>
  <w:num w:numId="18">
    <w:abstractNumId w:val="0"/>
  </w:num>
  <w:num w:numId="19">
    <w:abstractNumId w:val="12"/>
  </w:num>
  <w:num w:numId="20">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363"/>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7F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4BE"/>
    <w:rsid w:val="000A378F"/>
    <w:rsid w:val="000A398B"/>
    <w:rsid w:val="000A3AC9"/>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EA5"/>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D7D0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17"/>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623"/>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9C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1F7E7D"/>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B5"/>
    <w:rsid w:val="00245AD3"/>
    <w:rsid w:val="00245D93"/>
    <w:rsid w:val="00245F88"/>
    <w:rsid w:val="00247888"/>
    <w:rsid w:val="00247B97"/>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0F"/>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7AA"/>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1E6"/>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5765"/>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7D1"/>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57F26"/>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297"/>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4DB8"/>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B00"/>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1AA"/>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4D0"/>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78C"/>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44B0"/>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9BD"/>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6EAA"/>
    <w:rsid w:val="005D77DA"/>
    <w:rsid w:val="005D7B26"/>
    <w:rsid w:val="005D7EA8"/>
    <w:rsid w:val="005E0000"/>
    <w:rsid w:val="005E00F5"/>
    <w:rsid w:val="005E08B7"/>
    <w:rsid w:val="005E0F5D"/>
    <w:rsid w:val="005E196D"/>
    <w:rsid w:val="005E1E60"/>
    <w:rsid w:val="005E20FD"/>
    <w:rsid w:val="005E2536"/>
    <w:rsid w:val="005E2A6E"/>
    <w:rsid w:val="005E2FC1"/>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3F8C"/>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3F5"/>
    <w:rsid w:val="00635454"/>
    <w:rsid w:val="0063620A"/>
    <w:rsid w:val="006365C8"/>
    <w:rsid w:val="006369B1"/>
    <w:rsid w:val="00636D80"/>
    <w:rsid w:val="006373E0"/>
    <w:rsid w:val="0063745B"/>
    <w:rsid w:val="006377D0"/>
    <w:rsid w:val="00637B75"/>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12D"/>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7EA"/>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022"/>
    <w:rsid w:val="006A6333"/>
    <w:rsid w:val="006A657D"/>
    <w:rsid w:val="006A6642"/>
    <w:rsid w:val="006A72D5"/>
    <w:rsid w:val="006A7429"/>
    <w:rsid w:val="006A7F50"/>
    <w:rsid w:val="006B0A09"/>
    <w:rsid w:val="006B0ACF"/>
    <w:rsid w:val="006B0DDD"/>
    <w:rsid w:val="006B122E"/>
    <w:rsid w:val="006B13E4"/>
    <w:rsid w:val="006B1D68"/>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4BE2"/>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4AA"/>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D52"/>
    <w:rsid w:val="00776EF9"/>
    <w:rsid w:val="007771B0"/>
    <w:rsid w:val="00777725"/>
    <w:rsid w:val="00777E65"/>
    <w:rsid w:val="00777EB2"/>
    <w:rsid w:val="007800B0"/>
    <w:rsid w:val="00780179"/>
    <w:rsid w:val="00780B4D"/>
    <w:rsid w:val="00780C2B"/>
    <w:rsid w:val="00780D37"/>
    <w:rsid w:val="00780DCB"/>
    <w:rsid w:val="00781396"/>
    <w:rsid w:val="00781670"/>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5FA6"/>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63"/>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3F4"/>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5AB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89"/>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3C7"/>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56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6B3"/>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844"/>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9EE"/>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975B5"/>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67D"/>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429"/>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C3"/>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2"/>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AB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598"/>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0C4A"/>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7AC"/>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1566"/>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4B8"/>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2E0"/>
    <w:rsid w:val="00BF1A6C"/>
    <w:rsid w:val="00BF1B98"/>
    <w:rsid w:val="00BF1D9A"/>
    <w:rsid w:val="00BF281D"/>
    <w:rsid w:val="00BF2A42"/>
    <w:rsid w:val="00BF2AC0"/>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648C"/>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78A"/>
    <w:rsid w:val="00C03BE8"/>
    <w:rsid w:val="00C03E08"/>
    <w:rsid w:val="00C049E0"/>
    <w:rsid w:val="00C050BC"/>
    <w:rsid w:val="00C050D0"/>
    <w:rsid w:val="00C05AD4"/>
    <w:rsid w:val="00C05D5C"/>
    <w:rsid w:val="00C0693A"/>
    <w:rsid w:val="00C069E8"/>
    <w:rsid w:val="00C06D68"/>
    <w:rsid w:val="00C06DA7"/>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0FF7"/>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ED9"/>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1CF"/>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47F"/>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19C"/>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3DE"/>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6E66"/>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2DE6"/>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E43"/>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18A"/>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647"/>
    <w:rsid w:val="00E67CEC"/>
    <w:rsid w:val="00E67FD8"/>
    <w:rsid w:val="00E700AC"/>
    <w:rsid w:val="00E70825"/>
    <w:rsid w:val="00E71685"/>
    <w:rsid w:val="00E71F36"/>
    <w:rsid w:val="00E7264B"/>
    <w:rsid w:val="00E726D1"/>
    <w:rsid w:val="00E736A7"/>
    <w:rsid w:val="00E73BC9"/>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2F6F"/>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5D"/>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2F1E"/>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790"/>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9D96D"/>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uiPriority w:val="9"/>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rsid w:val="001953BE"/>
    <w:rPr>
      <w:b/>
      <w:bCs/>
      <w:sz w:val="22"/>
      <w:szCs w:val="22"/>
      <w:lang w:val="en-GB"/>
    </w:rPr>
  </w:style>
  <w:style w:type="character" w:customStyle="1" w:styleId="Heading7Char">
    <w:name w:val="Heading 7 Char"/>
    <w:link w:val="Heading7"/>
    <w:rsid w:val="001953BE"/>
    <w:rPr>
      <w:rFonts w:eastAsia="Batang"/>
      <w:sz w:val="24"/>
      <w:szCs w:val="24"/>
      <w:lang w:val="en-GB"/>
    </w:rPr>
  </w:style>
  <w:style w:type="character" w:customStyle="1" w:styleId="Heading8Char">
    <w:name w:val="Heading 8 Char"/>
    <w:link w:val="Heading8"/>
    <w:rsid w:val="001953BE"/>
    <w:rPr>
      <w:rFonts w:eastAsia="Batang"/>
      <w:i/>
      <w:iCs/>
      <w:sz w:val="24"/>
      <w:szCs w:val="24"/>
      <w:lang w:val="en-GB"/>
    </w:rPr>
  </w:style>
  <w:style w:type="character" w:customStyle="1" w:styleId="Heading9Char">
    <w:name w:val="Heading 9 Char"/>
    <w:link w:val="Heading9"/>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8"/>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11"/>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9"/>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10"/>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12"/>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657AC"/>
    <w:rPr>
      <w:rFonts w:ascii="Arial" w:eastAsia="MS Mincho" w:hAnsi="Arial"/>
      <w:b/>
      <w:szCs w:val="24"/>
    </w:rPr>
  </w:style>
  <w:style w:type="paragraph" w:customStyle="1" w:styleId="CRCoverPage">
    <w:name w:val="CR Cover Page"/>
    <w:rsid w:val="00776D52"/>
    <w:pPr>
      <w:spacing w:after="120"/>
    </w:pPr>
    <w:rPr>
      <w:rFonts w:ascii="Arial" w:hAnsi="Arial"/>
      <w:lang w:val="en-GB"/>
    </w:rPr>
  </w:style>
  <w:style w:type="paragraph" w:customStyle="1" w:styleId="3GPPHeader">
    <w:name w:val="3GPP_Header"/>
    <w:basedOn w:val="Normal"/>
    <w:rsid w:val="0064512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apple-converted-space">
    <w:name w:val="apple-converted-space"/>
    <w:basedOn w:val="DefaultParagraphFont"/>
    <w:rsid w:val="00DD6E66"/>
  </w:style>
  <w:style w:type="table" w:styleId="GridTable1Light">
    <w:name w:val="Grid Table 1 Light"/>
    <w:basedOn w:val="TableNormal"/>
    <w:uiPriority w:val="46"/>
    <w:rsid w:val="009036B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37629689">
      <w:bodyDiv w:val="1"/>
      <w:marLeft w:val="0"/>
      <w:marRight w:val="0"/>
      <w:marTop w:val="0"/>
      <w:marBottom w:val="0"/>
      <w:divBdr>
        <w:top w:val="none" w:sz="0" w:space="0" w:color="auto"/>
        <w:left w:val="none" w:sz="0" w:space="0" w:color="auto"/>
        <w:bottom w:val="none" w:sz="0" w:space="0" w:color="auto"/>
        <w:right w:val="none" w:sz="0" w:space="0" w:color="auto"/>
      </w:divBdr>
      <w:divsChild>
        <w:div w:id="195777715">
          <w:marLeft w:val="835"/>
          <w:marRight w:val="0"/>
          <w:marTop w:val="96"/>
          <w:marBottom w:val="0"/>
          <w:divBdr>
            <w:top w:val="none" w:sz="0" w:space="0" w:color="auto"/>
            <w:left w:val="none" w:sz="0" w:space="0" w:color="auto"/>
            <w:bottom w:val="none" w:sz="0" w:space="0" w:color="auto"/>
            <w:right w:val="none" w:sz="0" w:space="0" w:color="auto"/>
          </w:divBdr>
        </w:div>
      </w:divsChild>
    </w:div>
    <w:div w:id="132329816">
      <w:bodyDiv w:val="1"/>
      <w:marLeft w:val="0"/>
      <w:marRight w:val="0"/>
      <w:marTop w:val="0"/>
      <w:marBottom w:val="0"/>
      <w:divBdr>
        <w:top w:val="none" w:sz="0" w:space="0" w:color="auto"/>
        <w:left w:val="none" w:sz="0" w:space="0" w:color="auto"/>
        <w:bottom w:val="none" w:sz="0" w:space="0" w:color="auto"/>
        <w:right w:val="none" w:sz="0" w:space="0" w:color="auto"/>
      </w:divBdr>
      <w:divsChild>
        <w:div w:id="1568950417">
          <w:marLeft w:val="274"/>
          <w:marRight w:val="0"/>
          <w:marTop w:val="115"/>
          <w:marBottom w:val="0"/>
          <w:divBdr>
            <w:top w:val="none" w:sz="0" w:space="0" w:color="auto"/>
            <w:left w:val="none" w:sz="0" w:space="0" w:color="auto"/>
            <w:bottom w:val="none" w:sz="0" w:space="0" w:color="auto"/>
            <w:right w:val="none" w:sz="0" w:space="0" w:color="auto"/>
          </w:divBdr>
        </w:div>
      </w:divsChild>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40912476">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29103374">
      <w:bodyDiv w:val="1"/>
      <w:marLeft w:val="0"/>
      <w:marRight w:val="0"/>
      <w:marTop w:val="0"/>
      <w:marBottom w:val="0"/>
      <w:divBdr>
        <w:top w:val="none" w:sz="0" w:space="0" w:color="auto"/>
        <w:left w:val="none" w:sz="0" w:space="0" w:color="auto"/>
        <w:bottom w:val="none" w:sz="0" w:space="0" w:color="auto"/>
        <w:right w:val="none" w:sz="0" w:space="0" w:color="auto"/>
      </w:divBdr>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17985374">
      <w:bodyDiv w:val="1"/>
      <w:marLeft w:val="0"/>
      <w:marRight w:val="0"/>
      <w:marTop w:val="0"/>
      <w:marBottom w:val="0"/>
      <w:divBdr>
        <w:top w:val="none" w:sz="0" w:space="0" w:color="auto"/>
        <w:left w:val="none" w:sz="0" w:space="0" w:color="auto"/>
        <w:bottom w:val="none" w:sz="0" w:space="0" w:color="auto"/>
        <w:right w:val="none" w:sz="0" w:space="0" w:color="auto"/>
      </w:divBdr>
      <w:divsChild>
        <w:div w:id="1357119729">
          <w:marLeft w:val="835"/>
          <w:marRight w:val="0"/>
          <w:marTop w:val="96"/>
          <w:marBottom w:val="0"/>
          <w:divBdr>
            <w:top w:val="none" w:sz="0" w:space="0" w:color="auto"/>
            <w:left w:val="none" w:sz="0" w:space="0" w:color="auto"/>
            <w:bottom w:val="none" w:sz="0" w:space="0" w:color="auto"/>
            <w:right w:val="none" w:sz="0" w:space="0" w:color="auto"/>
          </w:divBdr>
        </w:div>
      </w:divsChild>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0567181">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944212">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30933979">
      <w:bodyDiv w:val="1"/>
      <w:marLeft w:val="0"/>
      <w:marRight w:val="0"/>
      <w:marTop w:val="0"/>
      <w:marBottom w:val="0"/>
      <w:divBdr>
        <w:top w:val="none" w:sz="0" w:space="0" w:color="auto"/>
        <w:left w:val="none" w:sz="0" w:space="0" w:color="auto"/>
        <w:bottom w:val="none" w:sz="0" w:space="0" w:color="auto"/>
        <w:right w:val="none" w:sz="0" w:space="0" w:color="auto"/>
      </w:divBdr>
      <w:divsChild>
        <w:div w:id="330641937">
          <w:marLeft w:val="0"/>
          <w:marRight w:val="0"/>
          <w:marTop w:val="0"/>
          <w:marBottom w:val="0"/>
          <w:divBdr>
            <w:top w:val="none" w:sz="0" w:space="0" w:color="auto"/>
            <w:left w:val="none" w:sz="0" w:space="0" w:color="auto"/>
            <w:bottom w:val="none" w:sz="0" w:space="0" w:color="auto"/>
            <w:right w:val="none" w:sz="0" w:space="0" w:color="auto"/>
          </w:divBdr>
        </w:div>
        <w:div w:id="1284996704">
          <w:marLeft w:val="0"/>
          <w:marRight w:val="0"/>
          <w:marTop w:val="0"/>
          <w:marBottom w:val="0"/>
          <w:divBdr>
            <w:top w:val="none" w:sz="0" w:space="0" w:color="auto"/>
            <w:left w:val="none" w:sz="0" w:space="0" w:color="auto"/>
            <w:bottom w:val="none" w:sz="0" w:space="0" w:color="auto"/>
            <w:right w:val="none" w:sz="0" w:space="0" w:color="auto"/>
          </w:divBdr>
        </w:div>
      </w:divsChild>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07893944">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1984962977">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673388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21676311">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5NUHHDQN7SK2-1-112765</_dlc_DocId>
    <TaxCatchAll xmlns="08b2df90-05d3-4030-90d4-c9feeb4a1cd9">
      <Value>2</Value>
      <Value>1</Value>
    </TaxCatchAll>
    <_dlc_DocIdUrl xmlns="08b2df90-05d3-4030-90d4-c9feeb4a1cd9">
      <Url>https://ericoll.internal.ericsson.com/sites/STAR/_layouts/DocIdRedir.aspx?ID=5NUHHDQN7SK2-1-112765</Url>
      <Description>5NUHHDQN7SK2-1-112765</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IEEE2006OfficeOnline.xsl" StyleName="IEEE" Version="2006">
  <b:Source>
    <b:Tag>Eri</b:Tag>
    <b:SourceType>Report</b:SourceType>
    <b:Guid>{CC7C2F69-EE1F-41C1-8B7E-5A24857CEE0B}</b:Guid>
    <b:Author>
      <b:Author>
        <b:Corporate>Ericsson</b:Corporate>
      </b:Author>
    </b:Author>
    <b:Title>RP-160667 WI: L2 latency reduction techniques for LTE</b:Title>
    <b:RefOrder>1</b:RefOrder>
  </b:Source>
</b:Sources>
</file>

<file path=customXml/itemProps1.xml><?xml version="1.0" encoding="utf-8"?>
<ds:datastoreItem xmlns:ds="http://schemas.openxmlformats.org/officeDocument/2006/customXml" ds:itemID="{218D5D38-8341-4445-BA11-2578075BECC8}">
  <ds:schemaRefs>
    <ds:schemaRef ds:uri="http://schemas.microsoft.com/sharepoint/events"/>
  </ds:schemaRefs>
</ds:datastoreItem>
</file>

<file path=customXml/itemProps2.xml><?xml version="1.0" encoding="utf-8"?>
<ds:datastoreItem xmlns:ds="http://schemas.openxmlformats.org/officeDocument/2006/customXml" ds:itemID="{F1A93A96-1BC7-410F-9BB8-B23B34EA29B1}">
  <ds:schemaRefs>
    <ds:schemaRef ds:uri="Microsoft.SharePoint.Taxonomy.ContentTypeSync"/>
  </ds:schemaRefs>
</ds:datastoreItem>
</file>

<file path=customXml/itemProps3.xml><?xml version="1.0" encoding="utf-8"?>
<ds:datastoreItem xmlns:ds="http://schemas.openxmlformats.org/officeDocument/2006/customXml" ds:itemID="{49B83A80-65DD-47D5-9713-31335DD7C1F3}">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26ABEB1F-B344-46B4-B7FC-EC2D25FCB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ACB6F5-1D8C-40B7-AF3C-AF17A920761A}">
  <ds:schemaRefs>
    <ds:schemaRef ds:uri="http://schemas.microsoft.com/sharepoint/v3/contenttype/forms"/>
  </ds:schemaRefs>
</ds:datastoreItem>
</file>

<file path=customXml/itemProps6.xml><?xml version="1.0" encoding="utf-8"?>
<ds:datastoreItem xmlns:ds="http://schemas.openxmlformats.org/officeDocument/2006/customXml" ds:itemID="{F9214C38-4EAE-4BB8-B719-9B18304BD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1068</Words>
  <Characters>5662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Yu Yang A</cp:lastModifiedBy>
  <cp:revision>3</cp:revision>
  <dcterms:created xsi:type="dcterms:W3CDTF">2017-05-05T12:58:00Z</dcterms:created>
  <dcterms:modified xsi:type="dcterms:W3CDTF">2017-05-05T13:04:00Z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b7ec8a7e-ec86-4723-946c-3a5a2a615afb</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