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14845" w14:textId="077C2941" w:rsidR="000A0A9C" w:rsidRPr="006C4B73" w:rsidRDefault="000A0A9C" w:rsidP="000A0A9C">
      <w:pPr>
        <w:pStyle w:val="a7"/>
        <w:rPr>
          <w:sz w:val="24"/>
          <w:lang w:val="en-US" w:eastAsia="ja-JP"/>
        </w:rPr>
      </w:pPr>
      <w:bookmarkStart w:id="0" w:name="OLE_LINK3"/>
      <w:r>
        <w:rPr>
          <w:sz w:val="24"/>
          <w:lang w:val="en-US"/>
        </w:rPr>
        <w:t>3GPP TSG RAN WG1 Meeting #8</w:t>
      </w:r>
      <w:r w:rsidR="007D5DF9">
        <w:rPr>
          <w:sz w:val="24"/>
          <w:lang w:val="en-US"/>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96003F">
        <w:rPr>
          <w:sz w:val="24"/>
          <w:lang w:val="en-US"/>
        </w:rPr>
        <w:t>R1-17</w:t>
      </w:r>
      <w:r w:rsidR="00444FA5">
        <w:rPr>
          <w:rFonts w:hint="eastAsia"/>
          <w:sz w:val="24"/>
          <w:lang w:val="en-US" w:eastAsia="ja-JP"/>
        </w:rPr>
        <w:t>08487</w:t>
      </w:r>
    </w:p>
    <w:p w14:paraId="33DE6DF6" w14:textId="10AC4F15" w:rsidR="000A0A9C" w:rsidRDefault="007D5DF9" w:rsidP="000A0A9C">
      <w:pPr>
        <w:pStyle w:val="a7"/>
        <w:rPr>
          <w:sz w:val="24"/>
          <w:lang w:val="en-US"/>
        </w:rPr>
      </w:pPr>
      <w:r>
        <w:rPr>
          <w:sz w:val="24"/>
          <w:lang w:val="en-US"/>
        </w:rPr>
        <w:t>Hangzhou, P.R. China, 15th – 19th May 2017</w:t>
      </w:r>
    </w:p>
    <w:p w14:paraId="097926AE" w14:textId="77777777" w:rsidR="002123E7" w:rsidRPr="007D5DF9"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5391702"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14E36">
        <w:rPr>
          <w:sz w:val="24"/>
          <w:lang w:val="en-US" w:eastAsia="ja-JP"/>
        </w:rPr>
        <w:t>Scheduling and HARQ for CA and DC</w:t>
      </w:r>
    </w:p>
    <w:bookmarkEnd w:id="1"/>
    <w:bookmarkEnd w:id="2"/>
    <w:bookmarkEnd w:id="3"/>
    <w:bookmarkEnd w:id="4"/>
    <w:p w14:paraId="02FF14B3" w14:textId="409855DD"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7D5DF9">
        <w:rPr>
          <w:sz w:val="24"/>
          <w:lang w:val="en-US" w:eastAsia="ja-JP"/>
        </w:rPr>
        <w:t>7</w:t>
      </w:r>
      <w:r w:rsidR="00623BA4">
        <w:rPr>
          <w:sz w:val="24"/>
          <w:lang w:val="en-US" w:eastAsia="ja-JP"/>
        </w:rPr>
        <w:t>.1.3.</w:t>
      </w:r>
      <w:r w:rsidR="00814E36">
        <w:rPr>
          <w:rFonts w:hint="eastAsia"/>
          <w:sz w:val="24"/>
          <w:lang w:val="en-US" w:eastAsia="ja-JP"/>
        </w:rPr>
        <w:t>4</w:t>
      </w:r>
      <w:bookmarkStart w:id="6" w:name="_GoBack"/>
      <w:bookmarkEnd w:id="6"/>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E3A5988" w14:textId="475D40D7" w:rsidR="007D5DF9" w:rsidRDefault="007D5DF9" w:rsidP="006537BD">
      <w:pPr>
        <w:spacing w:afterLines="50" w:after="120"/>
        <w:jc w:val="both"/>
        <w:rPr>
          <w:rFonts w:eastAsia="ＭＳ 明朝"/>
          <w:sz w:val="22"/>
          <w:lang w:val="en-US"/>
        </w:rPr>
      </w:pPr>
      <w:r>
        <w:rPr>
          <w:rFonts w:eastAsia="ＭＳ 明朝" w:hint="eastAsia"/>
          <w:sz w:val="22"/>
          <w:lang w:val="en-US"/>
        </w:rPr>
        <w:t>At the RAN1#88bis meeting, following agreements were achieved</w:t>
      </w:r>
      <w:r>
        <w:rPr>
          <w:rFonts w:eastAsia="ＭＳ 明朝"/>
          <w:sz w:val="22"/>
          <w:lang w:val="en-US"/>
        </w:rPr>
        <w:t xml:space="preserve"> [1]</w:t>
      </w:r>
      <w:r>
        <w:rPr>
          <w:rFonts w:eastAsia="ＭＳ 明朝" w:hint="eastAsia"/>
          <w:sz w:val="22"/>
          <w:lang w:val="en-US"/>
        </w:rPr>
        <w:t>:</w:t>
      </w:r>
    </w:p>
    <w:tbl>
      <w:tblPr>
        <w:tblStyle w:val="afa"/>
        <w:tblW w:w="0" w:type="auto"/>
        <w:tblLook w:val="04A0" w:firstRow="1" w:lastRow="0" w:firstColumn="1" w:lastColumn="0" w:noHBand="0" w:noVBand="1"/>
      </w:tblPr>
      <w:tblGrid>
        <w:gridCol w:w="9962"/>
      </w:tblGrid>
      <w:tr w:rsidR="007D5DF9" w14:paraId="0C2B5B18" w14:textId="77777777" w:rsidTr="007D5DF9">
        <w:tc>
          <w:tcPr>
            <w:tcW w:w="9962" w:type="dxa"/>
          </w:tcPr>
          <w:p w14:paraId="3B0237C9" w14:textId="77777777" w:rsidR="007D5DF9" w:rsidRPr="007D5DF9" w:rsidRDefault="007D5DF9" w:rsidP="007D5DF9">
            <w:pPr>
              <w:spacing w:after="0"/>
              <w:jc w:val="both"/>
              <w:rPr>
                <w:rFonts w:eastAsia="ＭＳ 明朝"/>
                <w:b/>
                <w:iCs/>
                <w:sz w:val="22"/>
                <w:u w:val="single"/>
                <w:lang w:val="en-US"/>
              </w:rPr>
            </w:pPr>
            <w:r w:rsidRPr="007D5DF9">
              <w:rPr>
                <w:rFonts w:eastAsia="ＭＳ 明朝" w:hint="eastAsia"/>
                <w:b/>
                <w:iCs/>
                <w:sz w:val="22"/>
                <w:highlight w:val="green"/>
                <w:u w:val="single"/>
                <w:lang w:val="en-US"/>
              </w:rPr>
              <w:t>Agreements:</w:t>
            </w:r>
          </w:p>
          <w:p w14:paraId="5F22FEA6" w14:textId="77777777" w:rsidR="007D5DF9" w:rsidRPr="007D5DF9" w:rsidRDefault="007D5DF9" w:rsidP="007D5DF9">
            <w:pPr>
              <w:numPr>
                <w:ilvl w:val="0"/>
                <w:numId w:val="46"/>
              </w:numPr>
              <w:spacing w:after="0"/>
              <w:jc w:val="both"/>
              <w:rPr>
                <w:rFonts w:eastAsia="ＭＳ 明朝"/>
                <w:iCs/>
                <w:sz w:val="22"/>
                <w:lang w:val="en-US"/>
              </w:rPr>
            </w:pPr>
            <w:r w:rsidRPr="007D5DF9">
              <w:rPr>
                <w:rFonts w:eastAsia="ＭＳ 明朝"/>
                <w:iCs/>
                <w:sz w:val="22"/>
                <w:lang w:val="en-US"/>
              </w:rPr>
              <w:t>For NR CA, at least CA deployment scenarios 1 – 4 of TS 36.300 Section J.1 are supported with equal priority.</w:t>
            </w:r>
          </w:p>
          <w:p w14:paraId="5C8FFDF8" w14:textId="77777777" w:rsidR="007D5DF9" w:rsidRPr="007D5DF9" w:rsidRDefault="007D5DF9" w:rsidP="007D5DF9">
            <w:pPr>
              <w:numPr>
                <w:ilvl w:val="0"/>
                <w:numId w:val="46"/>
              </w:numPr>
              <w:spacing w:after="0"/>
              <w:jc w:val="both"/>
              <w:rPr>
                <w:rFonts w:eastAsia="ＭＳ 明朝"/>
                <w:iCs/>
                <w:sz w:val="22"/>
                <w:lang w:val="en-US"/>
              </w:rPr>
            </w:pPr>
            <w:r w:rsidRPr="007D5DF9">
              <w:rPr>
                <w:rFonts w:eastAsia="ＭＳ 明朝"/>
                <w:iCs/>
                <w:sz w:val="22"/>
                <w:lang w:val="en-US"/>
              </w:rPr>
              <w:t xml:space="preserve">Carrier aggregation across duplexing schemes </w:t>
            </w:r>
            <w:r w:rsidRPr="007D5DF9">
              <w:rPr>
                <w:rFonts w:eastAsia="ＭＳ 明朝" w:hint="eastAsia"/>
                <w:iCs/>
                <w:sz w:val="22"/>
                <w:lang w:val="en-US"/>
              </w:rPr>
              <w:t xml:space="preserve">between carriers </w:t>
            </w:r>
            <w:r w:rsidRPr="007D5DF9">
              <w:rPr>
                <w:rFonts w:eastAsia="ＭＳ 明朝"/>
                <w:iCs/>
                <w:sz w:val="22"/>
                <w:lang w:val="en-US"/>
              </w:rPr>
              <w:t>is supported</w:t>
            </w:r>
          </w:p>
          <w:p w14:paraId="6BC0E1A9" w14:textId="6B2B8AA5" w:rsidR="007D5DF9" w:rsidRDefault="007D5DF9" w:rsidP="007D5DF9">
            <w:pPr>
              <w:spacing w:after="0"/>
              <w:jc w:val="both"/>
              <w:rPr>
                <w:rFonts w:eastAsia="ＭＳ 明朝"/>
                <w:sz w:val="22"/>
                <w:lang w:val="en-US"/>
              </w:rPr>
            </w:pPr>
          </w:p>
          <w:p w14:paraId="3410B080" w14:textId="77777777" w:rsidR="00856924" w:rsidRPr="00856924" w:rsidRDefault="00856924" w:rsidP="00856924">
            <w:pPr>
              <w:spacing w:after="0"/>
              <w:jc w:val="both"/>
              <w:rPr>
                <w:rFonts w:eastAsia="ＭＳ 明朝"/>
                <w:b/>
                <w:iCs/>
                <w:sz w:val="22"/>
                <w:u w:val="single"/>
                <w:lang w:val="en-US"/>
              </w:rPr>
            </w:pPr>
            <w:r w:rsidRPr="00856924">
              <w:rPr>
                <w:rFonts w:eastAsia="ＭＳ 明朝"/>
                <w:b/>
                <w:iCs/>
                <w:sz w:val="22"/>
                <w:highlight w:val="green"/>
                <w:u w:val="single"/>
                <w:lang w:val="en-US"/>
              </w:rPr>
              <w:t>Agreements:</w:t>
            </w:r>
          </w:p>
          <w:p w14:paraId="7F4FF770" w14:textId="77777777" w:rsidR="00856924" w:rsidRPr="00856924" w:rsidRDefault="00856924" w:rsidP="00856924">
            <w:pPr>
              <w:numPr>
                <w:ilvl w:val="0"/>
                <w:numId w:val="47"/>
              </w:numPr>
              <w:spacing w:after="0"/>
              <w:jc w:val="both"/>
              <w:rPr>
                <w:rFonts w:eastAsia="ＭＳ 明朝"/>
                <w:iCs/>
                <w:sz w:val="22"/>
                <w:lang w:val="en-US"/>
              </w:rPr>
            </w:pPr>
            <w:r w:rsidRPr="00856924">
              <w:rPr>
                <w:rFonts w:eastAsia="ＭＳ 明朝"/>
                <w:iCs/>
                <w:sz w:val="22"/>
                <w:lang w:val="en-US"/>
              </w:rPr>
              <w:t>For carrier aggregation, multiple timing-advance groups are supported</w:t>
            </w:r>
          </w:p>
          <w:p w14:paraId="39D474D4" w14:textId="77777777" w:rsidR="00856924" w:rsidRPr="00856924" w:rsidRDefault="00856924" w:rsidP="00856924">
            <w:pPr>
              <w:numPr>
                <w:ilvl w:val="1"/>
                <w:numId w:val="47"/>
              </w:numPr>
              <w:spacing w:after="0"/>
              <w:jc w:val="both"/>
              <w:rPr>
                <w:rFonts w:eastAsia="ＭＳ 明朝"/>
                <w:iCs/>
                <w:sz w:val="22"/>
                <w:lang w:val="en-US"/>
              </w:rPr>
            </w:pPr>
            <w:r w:rsidRPr="00856924">
              <w:rPr>
                <w:rFonts w:eastAsia="ＭＳ 明朝"/>
                <w:iCs/>
                <w:sz w:val="22"/>
                <w:lang w:val="en-US"/>
              </w:rPr>
              <w:t>FFS: The number of timing advance groups</w:t>
            </w:r>
          </w:p>
          <w:p w14:paraId="2692CDA5" w14:textId="77777777" w:rsidR="00856924" w:rsidRPr="00856924" w:rsidRDefault="00856924" w:rsidP="00856924">
            <w:pPr>
              <w:numPr>
                <w:ilvl w:val="0"/>
                <w:numId w:val="47"/>
              </w:numPr>
              <w:spacing w:after="0"/>
              <w:jc w:val="both"/>
              <w:rPr>
                <w:rFonts w:eastAsia="ＭＳ 明朝"/>
                <w:iCs/>
                <w:sz w:val="22"/>
                <w:lang w:val="en-US"/>
              </w:rPr>
            </w:pPr>
            <w:r w:rsidRPr="00856924">
              <w:rPr>
                <w:rFonts w:eastAsia="ＭＳ 明朝"/>
                <w:iCs/>
                <w:sz w:val="22"/>
                <w:lang w:val="en-US"/>
              </w:rPr>
              <w:t xml:space="preserve">For </w:t>
            </w:r>
            <w:r w:rsidRPr="00856924">
              <w:rPr>
                <w:rFonts w:eastAsia="ＭＳ 明朝" w:hint="eastAsia"/>
                <w:iCs/>
                <w:sz w:val="22"/>
                <w:lang w:val="en-US"/>
              </w:rPr>
              <w:t>LTE-NR DC,</w:t>
            </w:r>
            <w:r w:rsidRPr="00856924">
              <w:rPr>
                <w:rFonts w:eastAsia="ＭＳ 明朝"/>
                <w:iCs/>
                <w:sz w:val="22"/>
                <w:lang w:val="en-US"/>
              </w:rPr>
              <w:t xml:space="preserve"> from UE perspective,</w:t>
            </w:r>
          </w:p>
          <w:p w14:paraId="68E80A9B" w14:textId="77777777" w:rsidR="00856924" w:rsidRPr="00856924" w:rsidRDefault="00856924" w:rsidP="00856924">
            <w:pPr>
              <w:numPr>
                <w:ilvl w:val="1"/>
                <w:numId w:val="47"/>
              </w:numPr>
              <w:spacing w:after="0"/>
              <w:jc w:val="both"/>
              <w:rPr>
                <w:rFonts w:eastAsia="ＭＳ 明朝"/>
                <w:iCs/>
                <w:sz w:val="22"/>
                <w:lang w:val="en-US"/>
              </w:rPr>
            </w:pPr>
            <w:r w:rsidRPr="00856924">
              <w:rPr>
                <w:rFonts w:eastAsia="ＭＳ 明朝"/>
                <w:iCs/>
                <w:sz w:val="22"/>
                <w:lang w:val="en-US"/>
              </w:rPr>
              <w:t>The deployment scenario that LTE eNB are not synchronized with NR gNB when operating on different and non-overlapping carrier frequencies is supported.</w:t>
            </w:r>
          </w:p>
          <w:p w14:paraId="28EBCA15" w14:textId="77777777" w:rsidR="00856924" w:rsidRPr="00856924" w:rsidRDefault="00856924" w:rsidP="00856924">
            <w:pPr>
              <w:numPr>
                <w:ilvl w:val="1"/>
                <w:numId w:val="47"/>
              </w:numPr>
              <w:spacing w:after="0"/>
              <w:jc w:val="both"/>
              <w:rPr>
                <w:rFonts w:eastAsia="ＭＳ 明朝"/>
                <w:iCs/>
                <w:sz w:val="22"/>
                <w:lang w:val="en-US"/>
              </w:rPr>
            </w:pPr>
            <w:r w:rsidRPr="00856924">
              <w:rPr>
                <w:rFonts w:eastAsia="ＭＳ 明朝"/>
                <w:iCs/>
                <w:sz w:val="22"/>
                <w:lang w:val="en-US"/>
              </w:rPr>
              <w:t>The deployment scenario that LTE eNB are synchronized with NR gNB is supported when operating on different and non-overlapping carrier frequencies is supported.</w:t>
            </w:r>
          </w:p>
          <w:p w14:paraId="78B43F13" w14:textId="77777777" w:rsidR="00856924" w:rsidRPr="00856924" w:rsidRDefault="00856924" w:rsidP="00856924">
            <w:pPr>
              <w:numPr>
                <w:ilvl w:val="0"/>
                <w:numId w:val="47"/>
              </w:numPr>
              <w:spacing w:after="0"/>
              <w:jc w:val="both"/>
              <w:rPr>
                <w:rFonts w:eastAsia="ＭＳ 明朝"/>
                <w:iCs/>
                <w:sz w:val="22"/>
                <w:lang w:val="en-US"/>
              </w:rPr>
            </w:pPr>
            <w:r w:rsidRPr="00856924">
              <w:rPr>
                <w:rFonts w:eastAsia="ＭＳ 明朝"/>
                <w:iCs/>
                <w:sz w:val="22"/>
                <w:lang w:val="en-US"/>
              </w:rPr>
              <w:t>For NR-NR DC,</w:t>
            </w:r>
            <w:r w:rsidRPr="00856924">
              <w:rPr>
                <w:rFonts w:eastAsia="ＭＳ 明朝" w:hint="eastAsia"/>
                <w:iCs/>
                <w:sz w:val="22"/>
                <w:lang w:val="en-US"/>
              </w:rPr>
              <w:t xml:space="preserve"> </w:t>
            </w:r>
            <w:r w:rsidRPr="00856924">
              <w:rPr>
                <w:rFonts w:eastAsia="ＭＳ 明朝"/>
                <w:iCs/>
                <w:sz w:val="22"/>
                <w:lang w:val="en-US"/>
              </w:rPr>
              <w:t>from UE perspective,</w:t>
            </w:r>
          </w:p>
          <w:p w14:paraId="35E4A5A1" w14:textId="77777777" w:rsidR="00856924" w:rsidRPr="00856924" w:rsidRDefault="00856924" w:rsidP="00856924">
            <w:pPr>
              <w:numPr>
                <w:ilvl w:val="1"/>
                <w:numId w:val="47"/>
              </w:numPr>
              <w:spacing w:after="0"/>
              <w:jc w:val="both"/>
              <w:rPr>
                <w:rFonts w:eastAsia="ＭＳ 明朝"/>
                <w:iCs/>
                <w:sz w:val="22"/>
                <w:lang w:val="en-US"/>
              </w:rPr>
            </w:pPr>
            <w:r w:rsidRPr="00856924">
              <w:rPr>
                <w:rFonts w:eastAsia="ＭＳ 明朝"/>
                <w:iCs/>
                <w:sz w:val="22"/>
                <w:lang w:val="en-US"/>
              </w:rPr>
              <w:t>The deployment scenario that one NR gNB are not synchronized with another NR gNB for different cell-groups at least when operating on different and non-overlapping carrier frequencies is supported.</w:t>
            </w:r>
          </w:p>
          <w:p w14:paraId="1FB2D05B" w14:textId="77777777" w:rsidR="00856924" w:rsidRPr="00856924" w:rsidRDefault="00856924" w:rsidP="00856924">
            <w:pPr>
              <w:numPr>
                <w:ilvl w:val="1"/>
                <w:numId w:val="47"/>
              </w:numPr>
              <w:spacing w:after="0"/>
              <w:jc w:val="both"/>
              <w:rPr>
                <w:rFonts w:eastAsia="ＭＳ 明朝"/>
                <w:iCs/>
                <w:sz w:val="22"/>
                <w:lang w:val="en-US"/>
              </w:rPr>
            </w:pPr>
            <w:r w:rsidRPr="00856924">
              <w:rPr>
                <w:rFonts w:eastAsia="ＭＳ 明朝"/>
                <w:iCs/>
                <w:sz w:val="22"/>
                <w:lang w:val="en-US"/>
              </w:rPr>
              <w:t>The deployment scenario that one NR gNB are synchronized with another NR gNB for different cell-groups at least when operating on different and non-overlapping carrier frequencies is supported.</w:t>
            </w:r>
          </w:p>
          <w:p w14:paraId="29EFF5BF" w14:textId="77777777" w:rsidR="00856924" w:rsidRPr="00856924" w:rsidRDefault="00856924" w:rsidP="00856924">
            <w:pPr>
              <w:numPr>
                <w:ilvl w:val="0"/>
                <w:numId w:val="47"/>
              </w:numPr>
              <w:spacing w:after="0"/>
              <w:jc w:val="both"/>
              <w:rPr>
                <w:rFonts w:eastAsia="ＭＳ 明朝"/>
                <w:iCs/>
                <w:sz w:val="22"/>
                <w:lang w:val="en-US"/>
              </w:rPr>
            </w:pPr>
            <w:r w:rsidRPr="00856924">
              <w:rPr>
                <w:rFonts w:eastAsia="ＭＳ 明朝"/>
                <w:iCs/>
                <w:sz w:val="22"/>
                <w:lang w:val="en-US"/>
              </w:rPr>
              <w:t>FFS: exact definition of synchronous</w:t>
            </w:r>
          </w:p>
          <w:p w14:paraId="0A26C39F" w14:textId="5C07423D" w:rsidR="007D5DF9" w:rsidRPr="00856924" w:rsidRDefault="00856924" w:rsidP="00856924">
            <w:pPr>
              <w:numPr>
                <w:ilvl w:val="0"/>
                <w:numId w:val="47"/>
              </w:numPr>
              <w:spacing w:after="0"/>
              <w:jc w:val="both"/>
              <w:rPr>
                <w:rFonts w:eastAsia="ＭＳ 明朝"/>
                <w:iCs/>
                <w:sz w:val="22"/>
                <w:lang w:val="en-US"/>
              </w:rPr>
            </w:pPr>
            <w:r w:rsidRPr="00856924">
              <w:rPr>
                <w:rFonts w:eastAsia="ＭＳ 明朝"/>
                <w:iCs/>
                <w:sz w:val="22"/>
                <w:lang w:val="en-US"/>
              </w:rPr>
              <w:t xml:space="preserve">For LTE-NR/NR-NR DC, </w:t>
            </w:r>
            <w:r w:rsidRPr="00856924">
              <w:rPr>
                <w:rFonts w:eastAsia="ＭＳ 明朝"/>
                <w:iCs/>
                <w:sz w:val="22"/>
              </w:rPr>
              <w:t>scheduling and HARQ mechanisms/procedures between cell-groups are independent.</w:t>
            </w:r>
          </w:p>
        </w:tc>
      </w:tr>
    </w:tbl>
    <w:p w14:paraId="2DA8BA91" w14:textId="72F26307" w:rsidR="007D5DF9" w:rsidRPr="00CD12EB" w:rsidRDefault="007D5DF9" w:rsidP="006537BD">
      <w:pPr>
        <w:spacing w:afterLines="50" w:after="120"/>
        <w:jc w:val="both"/>
        <w:rPr>
          <w:rFonts w:eastAsia="ＭＳ 明朝"/>
          <w:sz w:val="22"/>
          <w:lang w:val="en-US"/>
        </w:rPr>
      </w:pPr>
    </w:p>
    <w:p w14:paraId="489C1FD8" w14:textId="66F05D5B" w:rsidR="005250D1" w:rsidRDefault="00876BA5" w:rsidP="006537B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t>
      </w:r>
      <w:r w:rsidR="00814E36">
        <w:rPr>
          <w:rFonts w:eastAsia="ＭＳ 明朝"/>
          <w:sz w:val="22"/>
          <w:lang w:val="en-US"/>
        </w:rPr>
        <w:t xml:space="preserve">we </w:t>
      </w:r>
      <w:r w:rsidR="000C6D16">
        <w:rPr>
          <w:rFonts w:eastAsia="ＭＳ 明朝"/>
          <w:sz w:val="22"/>
          <w:lang w:val="en-US"/>
        </w:rPr>
        <w:t>present our initial views on</w:t>
      </w:r>
      <w:r w:rsidR="00814E36">
        <w:rPr>
          <w:rFonts w:eastAsia="ＭＳ 明朝"/>
          <w:sz w:val="22"/>
          <w:lang w:val="en-US"/>
        </w:rPr>
        <w:t xml:space="preserve"> scheduling and HARQ aspects for carrier aggregation and dual connectivity.</w:t>
      </w:r>
    </w:p>
    <w:p w14:paraId="19B603EA" w14:textId="37F34AF6" w:rsidR="00E20B1D" w:rsidRDefault="00E4104E" w:rsidP="00E20B1D">
      <w:pPr>
        <w:pStyle w:val="1"/>
        <w:numPr>
          <w:ilvl w:val="0"/>
          <w:numId w:val="6"/>
        </w:numPr>
        <w:spacing w:after="120"/>
        <w:jc w:val="both"/>
        <w:rPr>
          <w:rFonts w:eastAsia="DengXian"/>
          <w:b/>
          <w:lang w:val="en-US" w:eastAsia="zh-CN"/>
        </w:rPr>
      </w:pPr>
      <w:r>
        <w:rPr>
          <w:rFonts w:eastAsia="DengXian"/>
          <w:b/>
          <w:lang w:val="en-US" w:eastAsia="zh-CN"/>
        </w:rPr>
        <w:t>NR carrier aggregation</w:t>
      </w:r>
    </w:p>
    <w:p w14:paraId="73674061" w14:textId="20C5DE55" w:rsidR="00E4104E" w:rsidRDefault="006631D9" w:rsidP="006537BD">
      <w:pPr>
        <w:spacing w:afterLines="50" w:after="120"/>
        <w:jc w:val="both"/>
        <w:rPr>
          <w:rFonts w:eastAsia="ＭＳ 明朝"/>
          <w:sz w:val="22"/>
          <w:lang w:val="en-US"/>
        </w:rPr>
      </w:pPr>
      <w:r>
        <w:rPr>
          <w:rFonts w:eastAsia="ＭＳ 明朝"/>
          <w:sz w:val="22"/>
          <w:lang w:val="en-US"/>
        </w:rPr>
        <w:t>The baseline mechanisms of NR carrier aggregation could be quite similar to LTE carrier aggregation. Further enhancements can be considered if benefits are found. One necessary enhancement (compared to LTE) is to support aggregating NR carriers in which the UE accesses using different numerologies and/or TTI lengths. This is essential to realize carrier a</w:t>
      </w:r>
      <w:r w:rsidR="00046062">
        <w:rPr>
          <w:rFonts w:eastAsia="ＭＳ 明朝"/>
          <w:sz w:val="22"/>
          <w:lang w:val="en-US"/>
        </w:rPr>
        <w:t xml:space="preserve">ggregation using, e.g., carrier frequencies of, e.g., 4GHz and 30GHz, and would be useful to other scenarios. </w:t>
      </w:r>
      <w:r w:rsidR="00E52B86">
        <w:rPr>
          <w:rFonts w:eastAsia="ＭＳ 明朝"/>
          <w:sz w:val="22"/>
          <w:lang w:val="en-US"/>
        </w:rPr>
        <w:t>Two options can be considered from scheduling and HARQ point of view:</w:t>
      </w:r>
    </w:p>
    <w:p w14:paraId="61EF37EC" w14:textId="600A8251" w:rsidR="00E52B86" w:rsidRPr="00E52B86" w:rsidRDefault="00E52B86" w:rsidP="00E52B86">
      <w:pPr>
        <w:spacing w:afterLines="50" w:after="120"/>
        <w:jc w:val="both"/>
        <w:rPr>
          <w:rFonts w:eastAsia="ＭＳ 明朝"/>
          <w:sz w:val="22"/>
          <w:u w:val="single"/>
          <w:lang w:val="en-US"/>
        </w:rPr>
      </w:pPr>
      <w:r>
        <w:rPr>
          <w:rFonts w:eastAsia="ＭＳ 明朝" w:hint="eastAsia"/>
          <w:sz w:val="22"/>
          <w:u w:val="single"/>
          <w:lang w:val="en-US"/>
        </w:rPr>
        <w:t>Option 1: Scheduling/</w:t>
      </w:r>
      <w:r w:rsidRPr="00E52B86">
        <w:rPr>
          <w:rFonts w:eastAsia="ＭＳ 明朝" w:hint="eastAsia"/>
          <w:sz w:val="22"/>
          <w:u w:val="single"/>
          <w:lang w:val="en-US"/>
        </w:rPr>
        <w:t>HARQ is performed within a CC-group configured with the same numerol</w:t>
      </w:r>
      <w:r>
        <w:rPr>
          <w:rFonts w:eastAsia="ＭＳ 明朝"/>
          <w:sz w:val="22"/>
          <w:u w:val="single"/>
          <w:lang w:val="en-US"/>
        </w:rPr>
        <w:t>o</w:t>
      </w:r>
      <w:r w:rsidRPr="00E52B86">
        <w:rPr>
          <w:rFonts w:eastAsia="ＭＳ 明朝"/>
          <w:sz w:val="22"/>
          <w:u w:val="single"/>
          <w:lang w:val="en-US"/>
        </w:rPr>
        <w:t>g</w:t>
      </w:r>
      <w:r w:rsidRPr="00E52B86">
        <w:rPr>
          <w:rFonts w:eastAsia="ＭＳ 明朝" w:hint="eastAsia"/>
          <w:sz w:val="22"/>
          <w:u w:val="single"/>
          <w:lang w:val="en-US"/>
        </w:rPr>
        <w:t>y/TTI length</w:t>
      </w:r>
    </w:p>
    <w:p w14:paraId="337A2207" w14:textId="2FB0E5FE" w:rsidR="00E52B86" w:rsidRDefault="00E52B86" w:rsidP="00E52B86">
      <w:pPr>
        <w:spacing w:afterLines="50" w:after="120"/>
        <w:jc w:val="both"/>
        <w:rPr>
          <w:rFonts w:eastAsia="ＭＳ 明朝"/>
          <w:sz w:val="22"/>
          <w:lang w:val="en-US"/>
        </w:rPr>
      </w:pPr>
      <w:r>
        <w:rPr>
          <w:rFonts w:eastAsia="ＭＳ 明朝" w:hint="eastAsia"/>
          <w:sz w:val="22"/>
          <w:lang w:val="en-US"/>
        </w:rPr>
        <w:t xml:space="preserve">Similar to </w:t>
      </w:r>
      <w:r>
        <w:rPr>
          <w:rFonts w:eastAsia="ＭＳ 明朝"/>
          <w:sz w:val="22"/>
          <w:lang w:val="en-US"/>
        </w:rPr>
        <w:t xml:space="preserve">LTE </w:t>
      </w:r>
      <w:r>
        <w:rPr>
          <w:rFonts w:eastAsia="ＭＳ 明朝" w:hint="eastAsia"/>
          <w:sz w:val="22"/>
          <w:lang w:val="en-US"/>
        </w:rPr>
        <w:t>dual connectivity</w:t>
      </w:r>
      <w:r>
        <w:rPr>
          <w:rFonts w:eastAsia="ＭＳ 明朝"/>
          <w:sz w:val="22"/>
          <w:lang w:val="en-US"/>
        </w:rPr>
        <w:t xml:space="preserve"> and PUCCH on SCell</w:t>
      </w:r>
      <w:r>
        <w:rPr>
          <w:rFonts w:eastAsia="ＭＳ 明朝" w:hint="eastAsia"/>
          <w:sz w:val="22"/>
          <w:lang w:val="en-US"/>
        </w:rPr>
        <w:t xml:space="preserve">, CCs are grouped into one CC-group in which the numerology and TTI </w:t>
      </w:r>
      <w:r>
        <w:rPr>
          <w:rFonts w:eastAsia="ＭＳ 明朝"/>
          <w:sz w:val="22"/>
          <w:lang w:val="en-US"/>
        </w:rPr>
        <w:t>length are aligned. Scheduling/HARQ is performed within the CC-group. For example, sub-6GHz carriers using TTI length of 1ms form one CC-group, and above-6GHz carriers using TTI length of 0.25ms form another CC-group. Then, UCI feedback for each CC-group is carried within the CC-group. Cross-carrier scheduling across CC-groups is not supported.</w:t>
      </w:r>
    </w:p>
    <w:p w14:paraId="3BB0B7E6" w14:textId="2B078CC7" w:rsidR="00E52B86" w:rsidRPr="00E52B86" w:rsidRDefault="00E52B86" w:rsidP="00E52B86">
      <w:pPr>
        <w:spacing w:afterLines="50" w:after="120"/>
        <w:jc w:val="both"/>
        <w:rPr>
          <w:rFonts w:eastAsia="ＭＳ 明朝"/>
          <w:sz w:val="22"/>
          <w:u w:val="single"/>
          <w:lang w:val="en-US"/>
        </w:rPr>
      </w:pPr>
      <w:r>
        <w:rPr>
          <w:rFonts w:eastAsia="ＭＳ 明朝" w:hint="eastAsia"/>
          <w:sz w:val="22"/>
          <w:u w:val="single"/>
          <w:lang w:val="en-US"/>
        </w:rPr>
        <w:t>Option 2: Scheduling/</w:t>
      </w:r>
      <w:r w:rsidRPr="00E52B86">
        <w:rPr>
          <w:rFonts w:eastAsia="ＭＳ 明朝" w:hint="eastAsia"/>
          <w:sz w:val="22"/>
          <w:u w:val="single"/>
          <w:lang w:val="en-US"/>
        </w:rPr>
        <w:t xml:space="preserve">HARQ is performed </w:t>
      </w:r>
      <w:r>
        <w:rPr>
          <w:rFonts w:eastAsia="ＭＳ 明朝"/>
          <w:sz w:val="22"/>
          <w:u w:val="single"/>
          <w:lang w:val="en-US"/>
        </w:rPr>
        <w:t xml:space="preserve">across carriers </w:t>
      </w:r>
      <w:r w:rsidR="007457F6">
        <w:rPr>
          <w:rFonts w:eastAsia="ＭＳ 明朝"/>
          <w:sz w:val="22"/>
          <w:u w:val="single"/>
          <w:lang w:val="en-US"/>
        </w:rPr>
        <w:t xml:space="preserve">with </w:t>
      </w:r>
      <w:r>
        <w:rPr>
          <w:rFonts w:eastAsia="ＭＳ 明朝"/>
          <w:sz w:val="22"/>
          <w:u w:val="single"/>
          <w:lang w:val="en-US"/>
        </w:rPr>
        <w:t>different</w:t>
      </w:r>
      <w:r w:rsidRPr="00E52B86">
        <w:rPr>
          <w:rFonts w:eastAsia="ＭＳ 明朝" w:hint="eastAsia"/>
          <w:sz w:val="22"/>
          <w:u w:val="single"/>
          <w:lang w:val="en-US"/>
        </w:rPr>
        <w:t xml:space="preserve"> numerol</w:t>
      </w:r>
      <w:r>
        <w:rPr>
          <w:rFonts w:eastAsia="ＭＳ 明朝"/>
          <w:sz w:val="22"/>
          <w:u w:val="single"/>
          <w:lang w:val="en-US"/>
        </w:rPr>
        <w:t>o</w:t>
      </w:r>
      <w:r w:rsidRPr="00E52B86">
        <w:rPr>
          <w:rFonts w:eastAsia="ＭＳ 明朝"/>
          <w:sz w:val="22"/>
          <w:u w:val="single"/>
          <w:lang w:val="en-US"/>
        </w:rPr>
        <w:t>g</w:t>
      </w:r>
      <w:r>
        <w:rPr>
          <w:rFonts w:eastAsia="ＭＳ 明朝" w:hint="eastAsia"/>
          <w:sz w:val="22"/>
          <w:u w:val="single"/>
          <w:lang w:val="en-US"/>
        </w:rPr>
        <w:t>ies</w:t>
      </w:r>
      <w:r w:rsidRPr="00E52B86">
        <w:rPr>
          <w:rFonts w:eastAsia="ＭＳ 明朝" w:hint="eastAsia"/>
          <w:sz w:val="22"/>
          <w:u w:val="single"/>
          <w:lang w:val="en-US"/>
        </w:rPr>
        <w:t>/TTI length</w:t>
      </w:r>
      <w:r>
        <w:rPr>
          <w:rFonts w:eastAsia="ＭＳ 明朝"/>
          <w:sz w:val="22"/>
          <w:u w:val="single"/>
          <w:lang w:val="en-US"/>
        </w:rPr>
        <w:t>s</w:t>
      </w:r>
    </w:p>
    <w:p w14:paraId="4380E32D" w14:textId="47C1C6DB" w:rsidR="00E52B86" w:rsidRDefault="007457F6" w:rsidP="00E52B86">
      <w:pPr>
        <w:spacing w:afterLines="50" w:after="120"/>
        <w:jc w:val="both"/>
        <w:rPr>
          <w:rFonts w:eastAsia="ＭＳ 明朝"/>
          <w:sz w:val="22"/>
          <w:lang w:val="en-US"/>
        </w:rPr>
      </w:pPr>
      <w:r>
        <w:rPr>
          <w:rFonts w:eastAsia="ＭＳ 明朝" w:hint="eastAsia"/>
          <w:sz w:val="22"/>
          <w:lang w:val="en-US"/>
        </w:rPr>
        <w:lastRenderedPageBreak/>
        <w:t xml:space="preserve">For example, DL data with SCS = 60kHz </w:t>
      </w:r>
      <w:r>
        <w:rPr>
          <w:rFonts w:eastAsia="ＭＳ 明朝"/>
          <w:sz w:val="22"/>
          <w:lang w:val="en-US"/>
        </w:rPr>
        <w:t>at a CC can be cross-carrier scheduled by DL control with SCS = 15kHz at another CC. Or, HARQ-ACK feedback for DL data with SCS = 60kHz at a CC can be transmitted by UL control with SCS = 15kHz at another CC.</w:t>
      </w:r>
    </w:p>
    <w:p w14:paraId="6497CE99" w14:textId="112B4C56" w:rsidR="00E52B86" w:rsidRPr="00FD7FD7" w:rsidRDefault="007457F6" w:rsidP="00E52B86">
      <w:pPr>
        <w:spacing w:afterLines="50" w:after="120"/>
        <w:jc w:val="both"/>
        <w:rPr>
          <w:rFonts w:eastAsia="ＭＳ 明朝"/>
          <w:sz w:val="22"/>
          <w:lang w:val="en-US"/>
        </w:rPr>
      </w:pPr>
      <w:r>
        <w:rPr>
          <w:rFonts w:eastAsia="ＭＳ 明朝"/>
          <w:sz w:val="22"/>
          <w:lang w:val="en-US"/>
        </w:rPr>
        <w:t>Option 1 simplifies the specification while option 2 enables reliable operation of mmwave carriers requiring higher SCS.</w:t>
      </w:r>
      <w:r w:rsidR="007563BE">
        <w:rPr>
          <w:rFonts w:eastAsia="ＭＳ 明朝"/>
          <w:sz w:val="22"/>
          <w:lang w:val="en-US"/>
        </w:rPr>
        <w:t xml:space="preserve"> O</w:t>
      </w:r>
      <w:r w:rsidR="00FD7FD7">
        <w:rPr>
          <w:rFonts w:eastAsia="ＭＳ 明朝"/>
          <w:sz w:val="22"/>
          <w:lang w:val="en-US"/>
        </w:rPr>
        <w:t>ne of typical deployment of mmwave carriers is to be aggregated with sub-6GHz carriers</w:t>
      </w:r>
      <w:r w:rsidR="007563BE">
        <w:rPr>
          <w:rFonts w:eastAsia="ＭＳ 明朝"/>
          <w:sz w:val="22"/>
          <w:lang w:val="en-US"/>
        </w:rPr>
        <w:t xml:space="preserve">. </w:t>
      </w:r>
      <w:r w:rsidR="007563BE">
        <w:rPr>
          <w:rFonts w:eastAsia="ＭＳ 明朝" w:hint="eastAsia"/>
          <w:sz w:val="22"/>
          <w:lang w:val="en-US"/>
        </w:rPr>
        <w:t xml:space="preserve">For carrier aggregation between sub-6GHz and </w:t>
      </w:r>
      <w:r w:rsidR="007563BE">
        <w:rPr>
          <w:rFonts w:eastAsia="ＭＳ 明朝"/>
          <w:sz w:val="22"/>
          <w:lang w:val="en-US"/>
        </w:rPr>
        <w:t xml:space="preserve">above-6GHz, not only numerologies and/or TTI lengths, but also operating mechanisms would be completely different. For example, sub-6GHz carrier is operated with higher-order MIMO/MCS with limited bandwidth to improve the spectral efficiency, while above-6GHz carrier is operated with lower-order MIMO/MCS with beam-forming with wider bandwidth to improve the area spectral utilization ratio. Considering that achieving coverage using sub-6GHz is relatively easier, </w:t>
      </w:r>
      <w:r w:rsidR="00FD7FD7">
        <w:rPr>
          <w:rFonts w:eastAsia="ＭＳ 明朝"/>
          <w:sz w:val="22"/>
          <w:lang w:val="en-US"/>
        </w:rPr>
        <w:t>making use of sub-6GHz for achieving higher reliability is quite useful. Therefore, we propose to consid</w:t>
      </w:r>
      <w:r w:rsidR="007563BE">
        <w:rPr>
          <w:rFonts w:eastAsia="ＭＳ 明朝"/>
          <w:sz w:val="22"/>
          <w:lang w:val="en-US"/>
        </w:rPr>
        <w:t>er option 2</w:t>
      </w:r>
      <w:r w:rsidR="00FD7FD7">
        <w:rPr>
          <w:rFonts w:eastAsia="ＭＳ 明朝"/>
          <w:sz w:val="22"/>
          <w:lang w:val="en-US"/>
        </w:rPr>
        <w:t xml:space="preserve"> for NR carrier aggregation.</w:t>
      </w:r>
    </w:p>
    <w:p w14:paraId="48610DAB" w14:textId="35F30B04" w:rsidR="00046062" w:rsidRPr="00046062" w:rsidRDefault="00046062" w:rsidP="006537BD">
      <w:pPr>
        <w:spacing w:afterLines="50" w:after="120"/>
        <w:jc w:val="both"/>
        <w:rPr>
          <w:rFonts w:eastAsia="ＭＳ 明朝"/>
          <w:b/>
          <w:sz w:val="22"/>
          <w:u w:val="single"/>
          <w:lang w:val="en-US"/>
        </w:rPr>
      </w:pPr>
      <w:r w:rsidRPr="00046062">
        <w:rPr>
          <w:rFonts w:eastAsia="ＭＳ 明朝" w:hint="eastAsia"/>
          <w:b/>
          <w:sz w:val="22"/>
          <w:u w:val="single"/>
          <w:lang w:val="en-US"/>
        </w:rPr>
        <w:t>Prop</w:t>
      </w:r>
      <w:r w:rsidR="00CD12EB">
        <w:rPr>
          <w:rFonts w:eastAsia="ＭＳ 明朝" w:hint="eastAsia"/>
          <w:b/>
          <w:sz w:val="22"/>
          <w:u w:val="single"/>
          <w:lang w:val="en-US"/>
        </w:rPr>
        <w:t>osal 1</w:t>
      </w:r>
      <w:r w:rsidRPr="00046062">
        <w:rPr>
          <w:rFonts w:eastAsia="ＭＳ 明朝" w:hint="eastAsia"/>
          <w:b/>
          <w:sz w:val="22"/>
          <w:u w:val="single"/>
          <w:lang w:val="en-US"/>
        </w:rPr>
        <w:t>:</w:t>
      </w:r>
    </w:p>
    <w:p w14:paraId="5EE04C2D" w14:textId="2863733B" w:rsidR="00046062" w:rsidRPr="00046062" w:rsidRDefault="00046062" w:rsidP="00046062">
      <w:pPr>
        <w:pStyle w:val="afc"/>
        <w:numPr>
          <w:ilvl w:val="0"/>
          <w:numId w:val="44"/>
        </w:numPr>
        <w:spacing w:afterLines="50" w:after="120"/>
        <w:ind w:leftChars="0"/>
        <w:jc w:val="both"/>
        <w:rPr>
          <w:rFonts w:eastAsia="ＭＳ 明朝"/>
          <w:i/>
          <w:sz w:val="22"/>
          <w:lang w:val="en-US"/>
        </w:rPr>
      </w:pPr>
      <w:r w:rsidRPr="00046062">
        <w:rPr>
          <w:rFonts w:eastAsia="ＭＳ 明朝" w:hint="eastAsia"/>
          <w:i/>
          <w:sz w:val="22"/>
          <w:lang w:val="en-US"/>
        </w:rPr>
        <w:t xml:space="preserve">Consider LTE carrier aggregation as </w:t>
      </w:r>
      <w:r w:rsidR="00763E06">
        <w:rPr>
          <w:rFonts w:eastAsia="ＭＳ 明朝"/>
          <w:i/>
          <w:sz w:val="22"/>
          <w:lang w:val="en-US"/>
        </w:rPr>
        <w:t xml:space="preserve">a </w:t>
      </w:r>
      <w:r w:rsidRPr="00046062">
        <w:rPr>
          <w:rFonts w:eastAsia="ＭＳ 明朝" w:hint="eastAsia"/>
          <w:i/>
          <w:sz w:val="22"/>
          <w:lang w:val="en-US"/>
        </w:rPr>
        <w:t>starting point.</w:t>
      </w:r>
    </w:p>
    <w:p w14:paraId="1FCAC793" w14:textId="04DE6074" w:rsidR="00046062" w:rsidRPr="00046062" w:rsidRDefault="00046062" w:rsidP="00046062">
      <w:pPr>
        <w:pStyle w:val="afc"/>
        <w:numPr>
          <w:ilvl w:val="1"/>
          <w:numId w:val="44"/>
        </w:numPr>
        <w:spacing w:afterLines="50" w:after="120"/>
        <w:ind w:leftChars="0"/>
        <w:jc w:val="both"/>
        <w:rPr>
          <w:rFonts w:eastAsia="ＭＳ 明朝"/>
          <w:i/>
          <w:sz w:val="22"/>
          <w:lang w:val="en-US"/>
        </w:rPr>
      </w:pPr>
      <w:r w:rsidRPr="00046062">
        <w:rPr>
          <w:rFonts w:eastAsia="ＭＳ 明朝"/>
          <w:i/>
          <w:sz w:val="22"/>
          <w:lang w:val="en-US"/>
        </w:rPr>
        <w:t>Primary component carrier (PCC) and secondary CC (SCC) are defined.</w:t>
      </w:r>
    </w:p>
    <w:p w14:paraId="62270653" w14:textId="14D6B157" w:rsidR="00046062" w:rsidRPr="00046062" w:rsidRDefault="00046062" w:rsidP="00046062">
      <w:pPr>
        <w:pStyle w:val="afc"/>
        <w:numPr>
          <w:ilvl w:val="2"/>
          <w:numId w:val="44"/>
        </w:numPr>
        <w:spacing w:afterLines="50" w:after="120"/>
        <w:ind w:leftChars="0"/>
        <w:jc w:val="both"/>
        <w:rPr>
          <w:rFonts w:eastAsia="ＭＳ 明朝"/>
          <w:i/>
          <w:sz w:val="22"/>
          <w:lang w:val="en-US"/>
        </w:rPr>
      </w:pPr>
      <w:r w:rsidRPr="00046062">
        <w:rPr>
          <w:rFonts w:eastAsia="ＭＳ 明朝"/>
          <w:i/>
          <w:sz w:val="22"/>
          <w:lang w:val="en-US"/>
        </w:rPr>
        <w:t>PCC is always active.</w:t>
      </w:r>
    </w:p>
    <w:p w14:paraId="0B5E0224" w14:textId="61BE27A5" w:rsidR="00046062" w:rsidRPr="00046062" w:rsidRDefault="00046062" w:rsidP="00046062">
      <w:pPr>
        <w:pStyle w:val="afc"/>
        <w:numPr>
          <w:ilvl w:val="2"/>
          <w:numId w:val="44"/>
        </w:numPr>
        <w:spacing w:afterLines="50" w:after="120"/>
        <w:ind w:leftChars="0"/>
        <w:jc w:val="both"/>
        <w:rPr>
          <w:rFonts w:eastAsia="ＭＳ 明朝"/>
          <w:i/>
          <w:sz w:val="22"/>
          <w:lang w:val="en-US"/>
        </w:rPr>
      </w:pPr>
      <w:r w:rsidRPr="00046062">
        <w:rPr>
          <w:rFonts w:eastAsia="ＭＳ 明朝"/>
          <w:i/>
          <w:sz w:val="22"/>
          <w:lang w:val="en-US"/>
        </w:rPr>
        <w:t>SCC is activated according to gNB indication.</w:t>
      </w:r>
    </w:p>
    <w:p w14:paraId="5087B23F" w14:textId="3EB44A4F" w:rsidR="00046062" w:rsidRPr="00046062" w:rsidRDefault="00046062" w:rsidP="00046062">
      <w:pPr>
        <w:pStyle w:val="afc"/>
        <w:numPr>
          <w:ilvl w:val="2"/>
          <w:numId w:val="44"/>
        </w:numPr>
        <w:spacing w:afterLines="50" w:after="120"/>
        <w:ind w:leftChars="0"/>
        <w:jc w:val="both"/>
        <w:rPr>
          <w:rFonts w:eastAsia="ＭＳ 明朝"/>
          <w:i/>
          <w:sz w:val="22"/>
          <w:lang w:val="en-US"/>
        </w:rPr>
      </w:pPr>
      <w:r w:rsidRPr="00046062">
        <w:rPr>
          <w:rFonts w:eastAsia="ＭＳ 明朝"/>
          <w:i/>
          <w:sz w:val="22"/>
          <w:lang w:val="en-US"/>
        </w:rPr>
        <w:t>SCC is de-activated according to gNB indication and UE timer expiration.</w:t>
      </w:r>
    </w:p>
    <w:p w14:paraId="25938B46" w14:textId="1AE49690" w:rsidR="00046062" w:rsidRPr="00046062" w:rsidRDefault="00046062" w:rsidP="00046062">
      <w:pPr>
        <w:pStyle w:val="afc"/>
        <w:numPr>
          <w:ilvl w:val="1"/>
          <w:numId w:val="44"/>
        </w:numPr>
        <w:spacing w:afterLines="50" w:after="120"/>
        <w:ind w:leftChars="0"/>
        <w:jc w:val="both"/>
        <w:rPr>
          <w:rFonts w:eastAsia="ＭＳ 明朝"/>
          <w:i/>
          <w:sz w:val="22"/>
          <w:lang w:val="en-US"/>
        </w:rPr>
      </w:pPr>
      <w:r w:rsidRPr="00046062">
        <w:rPr>
          <w:rFonts w:eastAsia="ＭＳ 明朝"/>
          <w:i/>
          <w:sz w:val="22"/>
          <w:lang w:val="en-US"/>
        </w:rPr>
        <w:t>DL/UL data scheduling is per CC.</w:t>
      </w:r>
    </w:p>
    <w:p w14:paraId="64FAD110" w14:textId="0DBBBF4D" w:rsidR="00046062" w:rsidRPr="00046062" w:rsidRDefault="00046062" w:rsidP="00046062">
      <w:pPr>
        <w:pStyle w:val="afc"/>
        <w:numPr>
          <w:ilvl w:val="1"/>
          <w:numId w:val="44"/>
        </w:numPr>
        <w:spacing w:afterLines="50" w:after="120"/>
        <w:ind w:leftChars="0"/>
        <w:jc w:val="both"/>
        <w:rPr>
          <w:rFonts w:eastAsia="ＭＳ 明朝"/>
          <w:i/>
          <w:sz w:val="22"/>
          <w:lang w:val="en-US"/>
        </w:rPr>
      </w:pPr>
      <w:r w:rsidRPr="00046062">
        <w:rPr>
          <w:rFonts w:eastAsia="ＭＳ 明朝"/>
          <w:i/>
          <w:sz w:val="22"/>
          <w:lang w:val="en-US"/>
        </w:rPr>
        <w:t>UCI feedback is per CC or per CC-group.</w:t>
      </w:r>
    </w:p>
    <w:p w14:paraId="76A6967B" w14:textId="487227EE" w:rsidR="00046062" w:rsidRPr="00046062" w:rsidRDefault="00046062" w:rsidP="00046062">
      <w:pPr>
        <w:pStyle w:val="afc"/>
        <w:numPr>
          <w:ilvl w:val="2"/>
          <w:numId w:val="44"/>
        </w:numPr>
        <w:spacing w:afterLines="50" w:after="120"/>
        <w:ind w:leftChars="0"/>
        <w:jc w:val="both"/>
        <w:rPr>
          <w:rFonts w:eastAsia="ＭＳ 明朝"/>
          <w:i/>
          <w:sz w:val="22"/>
          <w:lang w:val="en-US"/>
        </w:rPr>
      </w:pPr>
      <w:r w:rsidRPr="00046062">
        <w:rPr>
          <w:rFonts w:eastAsia="ＭＳ 明朝" w:hint="eastAsia"/>
          <w:i/>
          <w:sz w:val="22"/>
          <w:lang w:val="en-US"/>
        </w:rPr>
        <w:t>Both UCI on one CC and UCI on multiple CCs are supported.</w:t>
      </w:r>
    </w:p>
    <w:p w14:paraId="5E72B452" w14:textId="62CD0F48" w:rsidR="00046062" w:rsidRDefault="00046062" w:rsidP="00046062">
      <w:pPr>
        <w:pStyle w:val="afc"/>
        <w:numPr>
          <w:ilvl w:val="0"/>
          <w:numId w:val="44"/>
        </w:numPr>
        <w:spacing w:afterLines="50" w:after="120"/>
        <w:ind w:leftChars="0"/>
        <w:jc w:val="both"/>
        <w:rPr>
          <w:rFonts w:eastAsia="ＭＳ 明朝"/>
          <w:i/>
          <w:sz w:val="22"/>
          <w:lang w:val="en-US"/>
        </w:rPr>
      </w:pPr>
      <w:r w:rsidRPr="00046062">
        <w:rPr>
          <w:rFonts w:eastAsia="ＭＳ 明朝"/>
          <w:i/>
          <w:sz w:val="22"/>
          <w:lang w:val="en-US"/>
        </w:rPr>
        <w:t>Support CA using CCs with different TTI lengths and/or different numerologies.</w:t>
      </w:r>
    </w:p>
    <w:p w14:paraId="6FD02980" w14:textId="1A57B578" w:rsidR="00E52B86" w:rsidRPr="00046062" w:rsidRDefault="007457F6" w:rsidP="00E52B86">
      <w:pPr>
        <w:pStyle w:val="afc"/>
        <w:numPr>
          <w:ilvl w:val="1"/>
          <w:numId w:val="44"/>
        </w:numPr>
        <w:spacing w:afterLines="50" w:after="120"/>
        <w:ind w:leftChars="0"/>
        <w:jc w:val="both"/>
        <w:rPr>
          <w:rFonts w:eastAsia="ＭＳ 明朝"/>
          <w:i/>
          <w:sz w:val="22"/>
          <w:lang w:val="en-US"/>
        </w:rPr>
      </w:pPr>
      <w:r>
        <w:rPr>
          <w:rFonts w:eastAsia="ＭＳ 明朝" w:hint="eastAsia"/>
          <w:i/>
          <w:sz w:val="22"/>
          <w:lang w:val="en-US"/>
        </w:rPr>
        <w:t xml:space="preserve">Consider </w:t>
      </w:r>
      <w:r>
        <w:rPr>
          <w:rFonts w:eastAsia="ＭＳ 明朝"/>
          <w:i/>
          <w:sz w:val="22"/>
          <w:lang w:val="en-US"/>
        </w:rPr>
        <w:t xml:space="preserve">cross-carrier </w:t>
      </w:r>
      <w:r>
        <w:rPr>
          <w:rFonts w:eastAsia="ＭＳ 明朝" w:hint="eastAsia"/>
          <w:i/>
          <w:sz w:val="22"/>
          <w:lang w:val="en-US"/>
        </w:rPr>
        <w:t>scheduling/HARQ</w:t>
      </w:r>
      <w:r>
        <w:rPr>
          <w:rFonts w:eastAsia="ＭＳ 明朝"/>
          <w:i/>
          <w:sz w:val="22"/>
          <w:lang w:val="en-US"/>
        </w:rPr>
        <w:t xml:space="preserve"> feedback across CCs with different TTI lengths/numerologies.</w:t>
      </w:r>
    </w:p>
    <w:p w14:paraId="6A386D19" w14:textId="1456A71D" w:rsidR="003E7596" w:rsidRPr="007457F6" w:rsidRDefault="003E7596" w:rsidP="003E7596">
      <w:pPr>
        <w:spacing w:afterLines="50" w:after="120"/>
        <w:jc w:val="both"/>
        <w:rPr>
          <w:rFonts w:eastAsia="ＭＳ 明朝"/>
          <w:sz w:val="22"/>
          <w:lang w:val="en-US"/>
        </w:rPr>
      </w:pPr>
    </w:p>
    <w:p w14:paraId="5B55C3AC" w14:textId="2EB54388" w:rsidR="003E7596" w:rsidRDefault="003E7596" w:rsidP="007563BE">
      <w:pPr>
        <w:spacing w:afterLines="50" w:after="120"/>
        <w:jc w:val="both"/>
        <w:rPr>
          <w:rFonts w:eastAsia="ＭＳ 明朝"/>
          <w:sz w:val="22"/>
          <w:lang w:val="en-US"/>
        </w:rPr>
      </w:pPr>
      <w:r>
        <w:rPr>
          <w:rFonts w:eastAsia="ＭＳ 明朝" w:hint="eastAsia"/>
          <w:sz w:val="22"/>
          <w:lang w:val="en-US"/>
        </w:rPr>
        <w:t xml:space="preserve">For carrier aggregation between sub-6GHz and </w:t>
      </w:r>
      <w:r>
        <w:rPr>
          <w:rFonts w:eastAsia="ＭＳ 明朝"/>
          <w:sz w:val="22"/>
          <w:lang w:val="en-US"/>
        </w:rPr>
        <w:t>above-6GHz</w:t>
      </w:r>
      <w:r w:rsidR="007563BE">
        <w:rPr>
          <w:rFonts w:eastAsia="ＭＳ 明朝"/>
          <w:sz w:val="22"/>
          <w:lang w:val="en-US"/>
        </w:rPr>
        <w:t xml:space="preserve">, in order to further rely on sub-6GHz to ensure the reliability, HARQ process sharing across CCs would be useful. In this operation, once the data scheduled on above-6GHz carrier is failed, the re-transmission </w:t>
      </w:r>
      <w:r w:rsidR="00F268F7">
        <w:rPr>
          <w:rFonts w:eastAsia="ＭＳ 明朝"/>
          <w:sz w:val="22"/>
          <w:lang w:val="en-US"/>
        </w:rPr>
        <w:t>can be scheduled on a sub-6GHz carrier. From RAN1 point of view, as long as carrier indication field (CIF) and HARQ process number indication field are included in the DCI, it is possible to move a HARQ process of one CC to the other CC for the re-transmission. RAN1 should further consider what specification impact is expected for the cross-CC HARQ operations.</w:t>
      </w:r>
    </w:p>
    <w:p w14:paraId="7AEC917E" w14:textId="0054E585" w:rsidR="00C03302" w:rsidRDefault="00C03302" w:rsidP="007563BE">
      <w:pPr>
        <w:spacing w:afterLines="50" w:after="120"/>
        <w:jc w:val="both"/>
        <w:rPr>
          <w:rFonts w:eastAsia="ＭＳ 明朝"/>
          <w:sz w:val="22"/>
          <w:lang w:val="en-US"/>
        </w:rPr>
      </w:pPr>
      <w:r>
        <w:rPr>
          <w:rFonts w:eastAsia="ＭＳ 明朝"/>
          <w:sz w:val="22"/>
          <w:lang w:val="en-US"/>
        </w:rPr>
        <w:t xml:space="preserve">Note that RAN1 agreed to support CA with up to 16 CCs for NR. Therefore, the size of the CIF field in a DCI can be at least up to 4 bits. </w:t>
      </w:r>
    </w:p>
    <w:p w14:paraId="75B4A6AC" w14:textId="5B0D6DD8" w:rsidR="003E7596" w:rsidRPr="00F268F7" w:rsidRDefault="00F268F7" w:rsidP="003E7596">
      <w:pPr>
        <w:spacing w:afterLines="50" w:after="120"/>
        <w:jc w:val="both"/>
        <w:rPr>
          <w:rFonts w:eastAsia="ＭＳ 明朝"/>
          <w:b/>
          <w:sz w:val="22"/>
          <w:u w:val="single"/>
          <w:lang w:val="en-US"/>
        </w:rPr>
      </w:pPr>
      <w:r w:rsidRPr="00F268F7">
        <w:rPr>
          <w:rFonts w:eastAsia="ＭＳ 明朝"/>
          <w:b/>
          <w:sz w:val="22"/>
          <w:u w:val="single"/>
          <w:lang w:val="en-US"/>
        </w:rPr>
        <w:t>Proposal 2:</w:t>
      </w:r>
    </w:p>
    <w:p w14:paraId="4667C8CF" w14:textId="2A5CE0AF" w:rsidR="00046062" w:rsidRPr="00046062" w:rsidRDefault="007563BE" w:rsidP="007563BE">
      <w:pPr>
        <w:pStyle w:val="afc"/>
        <w:numPr>
          <w:ilvl w:val="0"/>
          <w:numId w:val="44"/>
        </w:numPr>
        <w:spacing w:afterLines="50" w:after="120"/>
        <w:ind w:leftChars="0"/>
        <w:jc w:val="both"/>
        <w:rPr>
          <w:rFonts w:eastAsia="ＭＳ 明朝"/>
          <w:i/>
          <w:sz w:val="22"/>
          <w:lang w:val="en-US"/>
        </w:rPr>
      </w:pPr>
      <w:r>
        <w:rPr>
          <w:rFonts w:eastAsia="ＭＳ 明朝"/>
          <w:i/>
          <w:sz w:val="22"/>
          <w:lang w:val="en-US"/>
        </w:rPr>
        <w:t>Consider c</w:t>
      </w:r>
      <w:r w:rsidR="00046062" w:rsidRPr="00046062">
        <w:rPr>
          <w:rFonts w:eastAsia="ＭＳ 明朝"/>
          <w:i/>
          <w:sz w:val="22"/>
          <w:lang w:val="en-US"/>
        </w:rPr>
        <w:t>ross-CC HARQ (HARQ process sharing between CCs) together with cross-CC scheduling.</w:t>
      </w:r>
    </w:p>
    <w:p w14:paraId="66112038" w14:textId="77777777" w:rsidR="00046062" w:rsidRPr="00046062" w:rsidRDefault="00046062" w:rsidP="00046062">
      <w:pPr>
        <w:spacing w:afterLines="50" w:after="120"/>
        <w:jc w:val="both"/>
        <w:rPr>
          <w:rFonts w:eastAsia="ＭＳ 明朝"/>
          <w:sz w:val="22"/>
          <w:lang w:val="en-US"/>
        </w:rPr>
      </w:pPr>
    </w:p>
    <w:p w14:paraId="0FA8B3BB" w14:textId="719FE0D7" w:rsidR="005250D1" w:rsidRDefault="00046062" w:rsidP="005250D1">
      <w:pPr>
        <w:pStyle w:val="1"/>
        <w:numPr>
          <w:ilvl w:val="0"/>
          <w:numId w:val="6"/>
        </w:numPr>
        <w:spacing w:after="120"/>
        <w:jc w:val="both"/>
        <w:rPr>
          <w:rFonts w:eastAsia="DengXian"/>
          <w:b/>
          <w:lang w:val="en-US" w:eastAsia="zh-CN"/>
        </w:rPr>
      </w:pPr>
      <w:r>
        <w:rPr>
          <w:rFonts w:eastAsia="DengXian"/>
          <w:b/>
          <w:lang w:val="en-US" w:eastAsia="zh-CN"/>
        </w:rPr>
        <w:t>LTE-NR/NR-NR dual connectivity</w:t>
      </w:r>
    </w:p>
    <w:p w14:paraId="0FBD4BDF" w14:textId="2F22DE38" w:rsidR="003E6B15" w:rsidRPr="003E6B15" w:rsidRDefault="003E6B15" w:rsidP="003E6B15">
      <w:pPr>
        <w:spacing w:afterLines="50" w:after="120"/>
        <w:jc w:val="both"/>
        <w:rPr>
          <w:rFonts w:eastAsia="ＭＳ 明朝"/>
          <w:sz w:val="22"/>
          <w:lang w:val="en-US"/>
        </w:rPr>
      </w:pPr>
      <w:r>
        <w:rPr>
          <w:rFonts w:eastAsia="ＭＳ 明朝"/>
          <w:sz w:val="22"/>
          <w:lang w:val="en-US"/>
        </w:rPr>
        <w:t xml:space="preserve">Agreements made at the RAN1#88bis meeting </w:t>
      </w:r>
      <w:r w:rsidR="00AC02FB">
        <w:rPr>
          <w:rFonts w:eastAsia="ＭＳ 明朝"/>
          <w:sz w:val="22"/>
          <w:lang w:val="en-US"/>
        </w:rPr>
        <w:t xml:space="preserve">imply </w:t>
      </w:r>
      <w:r>
        <w:rPr>
          <w:rFonts w:eastAsia="ＭＳ 明朝"/>
          <w:sz w:val="22"/>
          <w:lang w:val="en-US"/>
        </w:rPr>
        <w:t xml:space="preserve">that the cell-group concept will be supported for dual connectivity. The remaining big issue from RAN1 point of view is whether/how to support power-control. </w:t>
      </w:r>
      <w:r>
        <w:rPr>
          <w:rFonts w:eastAsiaTheme="minorEastAsia"/>
          <w:sz w:val="22"/>
          <w:lang w:val="en-US"/>
        </w:rPr>
        <w:t>It was agreed that scheduling and HARQ mechanisms and procedures between cell-groups are independent. Therefore, same as for LTE dual connectivity, UE power-control is independent between transmissions across cell-groups. In order to meet the regulatory requirement, UE shall scale the transmit power such that the output power does not exceed the defined value, at least for below 6 GHz. It is not yet clear how regulatory requirements will be made for above 6 GHz.</w:t>
      </w:r>
    </w:p>
    <w:p w14:paraId="2AE890ED" w14:textId="3A46CCDB" w:rsidR="003E6B15" w:rsidRDefault="003E6B15" w:rsidP="003E6B15">
      <w:pPr>
        <w:spacing w:afterLines="50" w:after="120"/>
        <w:jc w:val="both"/>
        <w:rPr>
          <w:rFonts w:eastAsiaTheme="minorEastAsia"/>
          <w:sz w:val="22"/>
          <w:lang w:val="en-US"/>
        </w:rPr>
      </w:pPr>
      <w:r>
        <w:rPr>
          <w:rFonts w:eastAsiaTheme="minorEastAsia" w:hint="eastAsia"/>
          <w:sz w:val="22"/>
          <w:lang w:val="en-US"/>
        </w:rPr>
        <w:t>At Rel.</w:t>
      </w:r>
      <w:r>
        <w:rPr>
          <w:rFonts w:eastAsiaTheme="minorEastAsia"/>
          <w:sz w:val="22"/>
          <w:lang w:val="en-US"/>
        </w:rPr>
        <w:t xml:space="preserve"> 12,</w:t>
      </w:r>
      <w:r>
        <w:rPr>
          <w:rFonts w:eastAsiaTheme="minorEastAsia" w:hint="eastAsia"/>
          <w:sz w:val="22"/>
          <w:lang w:val="en-US"/>
        </w:rPr>
        <w:t xml:space="preserve"> </w:t>
      </w:r>
      <w:r>
        <w:rPr>
          <w:rFonts w:eastAsiaTheme="minorEastAsia"/>
          <w:sz w:val="22"/>
          <w:lang w:val="en-US"/>
        </w:rPr>
        <w:t xml:space="preserve">as a key feature of </w:t>
      </w:r>
      <w:r>
        <w:rPr>
          <w:rFonts w:eastAsiaTheme="minorEastAsia" w:hint="eastAsia"/>
          <w:sz w:val="22"/>
          <w:lang w:val="en-US"/>
        </w:rPr>
        <w:t>power-control</w:t>
      </w:r>
      <w:r>
        <w:rPr>
          <w:rFonts w:eastAsiaTheme="minorEastAsia"/>
          <w:sz w:val="22"/>
          <w:lang w:val="en-US"/>
        </w:rPr>
        <w:t xml:space="preserve"> for</w:t>
      </w:r>
      <w:r w:rsidR="00AC02FB">
        <w:rPr>
          <w:rFonts w:eastAsiaTheme="minorEastAsia"/>
          <w:sz w:val="22"/>
          <w:lang w:val="en-US"/>
        </w:rPr>
        <w:t xml:space="preserve"> asynchronous </w:t>
      </w:r>
      <w:r>
        <w:rPr>
          <w:rFonts w:eastAsiaTheme="minorEastAsia"/>
          <w:sz w:val="22"/>
          <w:lang w:val="en-US"/>
        </w:rPr>
        <w:t xml:space="preserve">dual connectivity, guaranteed power was introduced. It is configured by higher-layer for the cell-group, and the UE shall guarantee the transmit power allocation at least </w:t>
      </w:r>
      <w:r>
        <w:rPr>
          <w:rFonts w:eastAsiaTheme="minorEastAsia"/>
          <w:sz w:val="22"/>
          <w:lang w:val="en-US"/>
        </w:rPr>
        <w:lastRenderedPageBreak/>
        <w:t>up to the guaranteed power. Whether/when/how to allocate the transmit power exceeding the guaranteed power is up to UE implementation. Note that the UE maximum output power shall not be exceed</w:t>
      </w:r>
      <w:r w:rsidR="00AC02FB">
        <w:rPr>
          <w:rFonts w:eastAsiaTheme="minorEastAsia"/>
          <w:sz w:val="22"/>
          <w:lang w:val="en-US"/>
        </w:rPr>
        <w:t>ed</w:t>
      </w:r>
      <w:r>
        <w:rPr>
          <w:rFonts w:eastAsiaTheme="minorEastAsia"/>
          <w:sz w:val="22"/>
          <w:lang w:val="en-US"/>
        </w:rPr>
        <w:t xml:space="preserve"> with any conditions. </w:t>
      </w:r>
    </w:p>
    <w:p w14:paraId="779CF9DB" w14:textId="0A8EBBA4" w:rsidR="003E6B15" w:rsidRPr="00535580" w:rsidRDefault="003E6B15" w:rsidP="003E6B15">
      <w:pPr>
        <w:spacing w:afterLines="50" w:after="120"/>
        <w:jc w:val="both"/>
        <w:rPr>
          <w:rFonts w:eastAsiaTheme="minorEastAsia"/>
          <w:sz w:val="22"/>
          <w:lang w:val="en-US"/>
        </w:rPr>
      </w:pPr>
      <w:r>
        <w:rPr>
          <w:rFonts w:eastAsiaTheme="minorEastAsia"/>
          <w:sz w:val="22"/>
          <w:lang w:val="en-US"/>
        </w:rPr>
        <w:t xml:space="preserve">For LTE-NR dual connectivity power-control, the same concept can be applied, no matter whether they are asynchronous, using different subcarrier-spacing, etc. </w:t>
      </w:r>
    </w:p>
    <w:p w14:paraId="5C2A33A7" w14:textId="2D12C234" w:rsidR="003E6B15" w:rsidRPr="00D9626F" w:rsidRDefault="00535580" w:rsidP="003E6B15">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Pr>
          <w:rFonts w:eastAsiaTheme="minorEastAsia"/>
          <w:b/>
          <w:sz w:val="22"/>
          <w:u w:val="single"/>
          <w:lang w:val="en-US"/>
        </w:rPr>
        <w:t>3</w:t>
      </w:r>
      <w:r w:rsidR="003E6B15" w:rsidRPr="00D9626F">
        <w:rPr>
          <w:rFonts w:eastAsiaTheme="minorEastAsia" w:hint="eastAsia"/>
          <w:b/>
          <w:sz w:val="22"/>
          <w:u w:val="single"/>
          <w:lang w:val="en-US"/>
        </w:rPr>
        <w:t>:</w:t>
      </w:r>
    </w:p>
    <w:p w14:paraId="5A0C797D" w14:textId="77777777" w:rsidR="003E6B15" w:rsidRDefault="003E6B15" w:rsidP="003E6B15">
      <w:pPr>
        <w:pStyle w:val="afc"/>
        <w:numPr>
          <w:ilvl w:val="0"/>
          <w:numId w:val="49"/>
        </w:numPr>
        <w:spacing w:afterLines="50" w:after="120"/>
        <w:ind w:leftChars="0"/>
        <w:jc w:val="both"/>
        <w:rPr>
          <w:rFonts w:eastAsiaTheme="minorEastAsia"/>
          <w:i/>
          <w:sz w:val="22"/>
          <w:lang w:val="en-US"/>
        </w:rPr>
      </w:pPr>
      <w:r w:rsidRPr="00D9626F">
        <w:rPr>
          <w:rFonts w:eastAsiaTheme="minorEastAsia" w:hint="eastAsia"/>
          <w:i/>
          <w:sz w:val="22"/>
          <w:lang w:val="en-US"/>
        </w:rPr>
        <w:t xml:space="preserve">Support power sharing mechanism for LTE-NR dual </w:t>
      </w:r>
      <w:r w:rsidRPr="00D9626F">
        <w:rPr>
          <w:rFonts w:eastAsiaTheme="minorEastAsia"/>
          <w:i/>
          <w:sz w:val="22"/>
          <w:lang w:val="en-US"/>
        </w:rPr>
        <w:t>connectivity</w:t>
      </w:r>
      <w:r>
        <w:rPr>
          <w:rFonts w:eastAsiaTheme="minorEastAsia"/>
          <w:i/>
          <w:sz w:val="22"/>
          <w:lang w:val="en-US"/>
        </w:rPr>
        <w:t xml:space="preserve"> by RAN1 specification</w:t>
      </w:r>
      <w:r w:rsidRPr="00D9626F">
        <w:rPr>
          <w:rFonts w:eastAsiaTheme="minorEastAsia" w:hint="eastAsia"/>
          <w:i/>
          <w:sz w:val="22"/>
          <w:lang w:val="en-US"/>
        </w:rPr>
        <w:t>.</w:t>
      </w:r>
    </w:p>
    <w:p w14:paraId="6F7537ED" w14:textId="77777777" w:rsidR="00535580" w:rsidRDefault="003E6B15" w:rsidP="003E6B15">
      <w:pPr>
        <w:pStyle w:val="afc"/>
        <w:numPr>
          <w:ilvl w:val="1"/>
          <w:numId w:val="49"/>
        </w:numPr>
        <w:spacing w:afterLines="50" w:after="120"/>
        <w:ind w:leftChars="0"/>
        <w:jc w:val="both"/>
        <w:rPr>
          <w:rFonts w:eastAsiaTheme="minorEastAsia"/>
          <w:i/>
          <w:sz w:val="22"/>
          <w:lang w:val="en-US"/>
        </w:rPr>
      </w:pPr>
      <w:r>
        <w:rPr>
          <w:rFonts w:eastAsiaTheme="minorEastAsia" w:hint="eastAsia"/>
          <w:i/>
          <w:sz w:val="22"/>
          <w:lang w:val="en-US"/>
        </w:rPr>
        <w:t>At least guaranteed power for each cell-group is supported.</w:t>
      </w:r>
    </w:p>
    <w:p w14:paraId="260DD465" w14:textId="4FEA6D70" w:rsidR="00B4172D" w:rsidRPr="00535580" w:rsidRDefault="003E6B15" w:rsidP="003E6B15">
      <w:pPr>
        <w:pStyle w:val="afc"/>
        <w:numPr>
          <w:ilvl w:val="1"/>
          <w:numId w:val="49"/>
        </w:numPr>
        <w:spacing w:afterLines="50" w:after="120"/>
        <w:ind w:leftChars="0"/>
        <w:jc w:val="both"/>
        <w:rPr>
          <w:rFonts w:eastAsiaTheme="minorEastAsia"/>
          <w:i/>
          <w:sz w:val="22"/>
          <w:lang w:val="en-US"/>
        </w:rPr>
      </w:pPr>
      <w:r w:rsidRPr="00535580">
        <w:rPr>
          <w:rFonts w:eastAsiaTheme="minorEastAsia"/>
          <w:i/>
          <w:sz w:val="22"/>
          <w:lang w:val="en-US"/>
        </w:rPr>
        <w:t>Further optimization can be considered at later stage if deemed necessary.</w:t>
      </w:r>
    </w:p>
    <w:p w14:paraId="01B692F2" w14:textId="77777777" w:rsidR="006343D5" w:rsidRPr="0026484B" w:rsidRDefault="006343D5" w:rsidP="00646647">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5E9F22B4" w:rsidR="004B3118" w:rsidRDefault="00D9290B" w:rsidP="004B3118">
      <w:pPr>
        <w:spacing w:afterLines="50" w:after="120"/>
        <w:jc w:val="both"/>
        <w:rPr>
          <w:rFonts w:eastAsia="ＭＳ 明朝"/>
          <w:sz w:val="22"/>
          <w:lang w:val="en-US"/>
        </w:rPr>
      </w:pPr>
      <w:r w:rsidRPr="00EE774E">
        <w:rPr>
          <w:rFonts w:eastAsia="ＭＳ 明朝"/>
          <w:sz w:val="22"/>
          <w:lang w:val="en-US"/>
        </w:rPr>
        <w:t xml:space="preserve">In this contribution, we discussed </w:t>
      </w:r>
      <w:r w:rsidR="001A10EE">
        <w:rPr>
          <w:rFonts w:eastAsia="ＭＳ 明朝"/>
          <w:sz w:val="22"/>
          <w:lang w:val="en-US"/>
        </w:rPr>
        <w:t>CA and DC for NR and proposed following:</w:t>
      </w:r>
    </w:p>
    <w:p w14:paraId="1FAD0079" w14:textId="77777777" w:rsidR="001D1592" w:rsidRPr="00046062" w:rsidRDefault="001D1592" w:rsidP="001D1592">
      <w:pPr>
        <w:spacing w:afterLines="50" w:after="120"/>
        <w:jc w:val="both"/>
        <w:rPr>
          <w:rFonts w:eastAsia="ＭＳ 明朝"/>
          <w:b/>
          <w:sz w:val="22"/>
          <w:u w:val="single"/>
          <w:lang w:val="en-US"/>
        </w:rPr>
      </w:pPr>
      <w:r w:rsidRPr="00046062">
        <w:rPr>
          <w:rFonts w:eastAsia="ＭＳ 明朝" w:hint="eastAsia"/>
          <w:b/>
          <w:sz w:val="22"/>
          <w:u w:val="single"/>
          <w:lang w:val="en-US"/>
        </w:rPr>
        <w:t>Prop</w:t>
      </w:r>
      <w:r>
        <w:rPr>
          <w:rFonts w:eastAsia="ＭＳ 明朝" w:hint="eastAsia"/>
          <w:b/>
          <w:sz w:val="22"/>
          <w:u w:val="single"/>
          <w:lang w:val="en-US"/>
        </w:rPr>
        <w:t>osal 1</w:t>
      </w:r>
      <w:r w:rsidRPr="00046062">
        <w:rPr>
          <w:rFonts w:eastAsia="ＭＳ 明朝" w:hint="eastAsia"/>
          <w:b/>
          <w:sz w:val="22"/>
          <w:u w:val="single"/>
          <w:lang w:val="en-US"/>
        </w:rPr>
        <w:t>:</w:t>
      </w:r>
    </w:p>
    <w:p w14:paraId="4AF7DC1A" w14:textId="77777777" w:rsidR="001D1592" w:rsidRPr="00046062" w:rsidRDefault="001D1592" w:rsidP="001D1592">
      <w:pPr>
        <w:pStyle w:val="afc"/>
        <w:numPr>
          <w:ilvl w:val="0"/>
          <w:numId w:val="44"/>
        </w:numPr>
        <w:spacing w:afterLines="50" w:after="120"/>
        <w:ind w:leftChars="0"/>
        <w:jc w:val="both"/>
        <w:rPr>
          <w:rFonts w:eastAsia="ＭＳ 明朝"/>
          <w:i/>
          <w:sz w:val="22"/>
          <w:lang w:val="en-US"/>
        </w:rPr>
      </w:pPr>
      <w:r w:rsidRPr="00046062">
        <w:rPr>
          <w:rFonts w:eastAsia="ＭＳ 明朝" w:hint="eastAsia"/>
          <w:i/>
          <w:sz w:val="22"/>
          <w:lang w:val="en-US"/>
        </w:rPr>
        <w:t xml:space="preserve">Consider LTE carrier aggregation as </w:t>
      </w:r>
      <w:r>
        <w:rPr>
          <w:rFonts w:eastAsia="ＭＳ 明朝"/>
          <w:i/>
          <w:sz w:val="22"/>
          <w:lang w:val="en-US"/>
        </w:rPr>
        <w:t xml:space="preserve">a </w:t>
      </w:r>
      <w:r w:rsidRPr="00046062">
        <w:rPr>
          <w:rFonts w:eastAsia="ＭＳ 明朝" w:hint="eastAsia"/>
          <w:i/>
          <w:sz w:val="22"/>
          <w:lang w:val="en-US"/>
        </w:rPr>
        <w:t>starting point.</w:t>
      </w:r>
    </w:p>
    <w:p w14:paraId="21C3A97D" w14:textId="77777777" w:rsidR="001D1592" w:rsidRPr="00046062" w:rsidRDefault="001D1592" w:rsidP="001D1592">
      <w:pPr>
        <w:pStyle w:val="afc"/>
        <w:numPr>
          <w:ilvl w:val="1"/>
          <w:numId w:val="44"/>
        </w:numPr>
        <w:spacing w:afterLines="50" w:after="120"/>
        <w:ind w:leftChars="0"/>
        <w:jc w:val="both"/>
        <w:rPr>
          <w:rFonts w:eastAsia="ＭＳ 明朝"/>
          <w:i/>
          <w:sz w:val="22"/>
          <w:lang w:val="en-US"/>
        </w:rPr>
      </w:pPr>
      <w:r w:rsidRPr="00046062">
        <w:rPr>
          <w:rFonts w:eastAsia="ＭＳ 明朝"/>
          <w:i/>
          <w:sz w:val="22"/>
          <w:lang w:val="en-US"/>
        </w:rPr>
        <w:t>Primary component carrier (PCC) and secondary CC (SCC) are defined.</w:t>
      </w:r>
    </w:p>
    <w:p w14:paraId="6A49E44B" w14:textId="77777777" w:rsidR="001D1592" w:rsidRPr="00046062" w:rsidRDefault="001D1592" w:rsidP="001D1592">
      <w:pPr>
        <w:pStyle w:val="afc"/>
        <w:numPr>
          <w:ilvl w:val="2"/>
          <w:numId w:val="44"/>
        </w:numPr>
        <w:spacing w:afterLines="50" w:after="120"/>
        <w:ind w:leftChars="0"/>
        <w:jc w:val="both"/>
        <w:rPr>
          <w:rFonts w:eastAsia="ＭＳ 明朝"/>
          <w:i/>
          <w:sz w:val="22"/>
          <w:lang w:val="en-US"/>
        </w:rPr>
      </w:pPr>
      <w:r w:rsidRPr="00046062">
        <w:rPr>
          <w:rFonts w:eastAsia="ＭＳ 明朝"/>
          <w:i/>
          <w:sz w:val="22"/>
          <w:lang w:val="en-US"/>
        </w:rPr>
        <w:t>PCC is always active.</w:t>
      </w:r>
    </w:p>
    <w:p w14:paraId="2FC800D1" w14:textId="77777777" w:rsidR="001D1592" w:rsidRPr="00046062" w:rsidRDefault="001D1592" w:rsidP="001D1592">
      <w:pPr>
        <w:pStyle w:val="afc"/>
        <w:numPr>
          <w:ilvl w:val="2"/>
          <w:numId w:val="44"/>
        </w:numPr>
        <w:spacing w:afterLines="50" w:after="120"/>
        <w:ind w:leftChars="0"/>
        <w:jc w:val="both"/>
        <w:rPr>
          <w:rFonts w:eastAsia="ＭＳ 明朝"/>
          <w:i/>
          <w:sz w:val="22"/>
          <w:lang w:val="en-US"/>
        </w:rPr>
      </w:pPr>
      <w:r w:rsidRPr="00046062">
        <w:rPr>
          <w:rFonts w:eastAsia="ＭＳ 明朝"/>
          <w:i/>
          <w:sz w:val="22"/>
          <w:lang w:val="en-US"/>
        </w:rPr>
        <w:t>SCC is activated according to gNB indication.</w:t>
      </w:r>
    </w:p>
    <w:p w14:paraId="26D41729" w14:textId="77777777" w:rsidR="001D1592" w:rsidRPr="00046062" w:rsidRDefault="001D1592" w:rsidP="001D1592">
      <w:pPr>
        <w:pStyle w:val="afc"/>
        <w:numPr>
          <w:ilvl w:val="2"/>
          <w:numId w:val="44"/>
        </w:numPr>
        <w:spacing w:afterLines="50" w:after="120"/>
        <w:ind w:leftChars="0"/>
        <w:jc w:val="both"/>
        <w:rPr>
          <w:rFonts w:eastAsia="ＭＳ 明朝"/>
          <w:i/>
          <w:sz w:val="22"/>
          <w:lang w:val="en-US"/>
        </w:rPr>
      </w:pPr>
      <w:r w:rsidRPr="00046062">
        <w:rPr>
          <w:rFonts w:eastAsia="ＭＳ 明朝"/>
          <w:i/>
          <w:sz w:val="22"/>
          <w:lang w:val="en-US"/>
        </w:rPr>
        <w:t>SCC is de-activated according to gNB indication and UE timer expiration.</w:t>
      </w:r>
    </w:p>
    <w:p w14:paraId="31895371" w14:textId="77777777" w:rsidR="001D1592" w:rsidRPr="00046062" w:rsidRDefault="001D1592" w:rsidP="001D1592">
      <w:pPr>
        <w:pStyle w:val="afc"/>
        <w:numPr>
          <w:ilvl w:val="1"/>
          <w:numId w:val="44"/>
        </w:numPr>
        <w:spacing w:afterLines="50" w:after="120"/>
        <w:ind w:leftChars="0"/>
        <w:jc w:val="both"/>
        <w:rPr>
          <w:rFonts w:eastAsia="ＭＳ 明朝"/>
          <w:i/>
          <w:sz w:val="22"/>
          <w:lang w:val="en-US"/>
        </w:rPr>
      </w:pPr>
      <w:r w:rsidRPr="00046062">
        <w:rPr>
          <w:rFonts w:eastAsia="ＭＳ 明朝"/>
          <w:i/>
          <w:sz w:val="22"/>
          <w:lang w:val="en-US"/>
        </w:rPr>
        <w:t>DL/UL data scheduling is per CC.</w:t>
      </w:r>
    </w:p>
    <w:p w14:paraId="7C52DDD4" w14:textId="77777777" w:rsidR="001D1592" w:rsidRPr="00046062" w:rsidRDefault="001D1592" w:rsidP="001D1592">
      <w:pPr>
        <w:pStyle w:val="afc"/>
        <w:numPr>
          <w:ilvl w:val="1"/>
          <w:numId w:val="44"/>
        </w:numPr>
        <w:spacing w:afterLines="50" w:after="120"/>
        <w:ind w:leftChars="0"/>
        <w:jc w:val="both"/>
        <w:rPr>
          <w:rFonts w:eastAsia="ＭＳ 明朝"/>
          <w:i/>
          <w:sz w:val="22"/>
          <w:lang w:val="en-US"/>
        </w:rPr>
      </w:pPr>
      <w:r w:rsidRPr="00046062">
        <w:rPr>
          <w:rFonts w:eastAsia="ＭＳ 明朝"/>
          <w:i/>
          <w:sz w:val="22"/>
          <w:lang w:val="en-US"/>
        </w:rPr>
        <w:t>UCI feedback is per CC or per CC-group.</w:t>
      </w:r>
    </w:p>
    <w:p w14:paraId="12150EAC" w14:textId="77777777" w:rsidR="001D1592" w:rsidRPr="00046062" w:rsidRDefault="001D1592" w:rsidP="001D1592">
      <w:pPr>
        <w:pStyle w:val="afc"/>
        <w:numPr>
          <w:ilvl w:val="2"/>
          <w:numId w:val="44"/>
        </w:numPr>
        <w:spacing w:afterLines="50" w:after="120"/>
        <w:ind w:leftChars="0"/>
        <w:jc w:val="both"/>
        <w:rPr>
          <w:rFonts w:eastAsia="ＭＳ 明朝"/>
          <w:i/>
          <w:sz w:val="22"/>
          <w:lang w:val="en-US"/>
        </w:rPr>
      </w:pPr>
      <w:r w:rsidRPr="00046062">
        <w:rPr>
          <w:rFonts w:eastAsia="ＭＳ 明朝" w:hint="eastAsia"/>
          <w:i/>
          <w:sz w:val="22"/>
          <w:lang w:val="en-US"/>
        </w:rPr>
        <w:t>Both UCI on one CC and UCI on multiple CCs are supported.</w:t>
      </w:r>
    </w:p>
    <w:p w14:paraId="4CE08B50" w14:textId="77777777" w:rsidR="001D1592" w:rsidRDefault="001D1592" w:rsidP="001D1592">
      <w:pPr>
        <w:pStyle w:val="afc"/>
        <w:numPr>
          <w:ilvl w:val="0"/>
          <w:numId w:val="44"/>
        </w:numPr>
        <w:spacing w:afterLines="50" w:after="120"/>
        <w:ind w:leftChars="0"/>
        <w:jc w:val="both"/>
        <w:rPr>
          <w:rFonts w:eastAsia="ＭＳ 明朝"/>
          <w:i/>
          <w:sz w:val="22"/>
          <w:lang w:val="en-US"/>
        </w:rPr>
      </w:pPr>
      <w:r w:rsidRPr="00046062">
        <w:rPr>
          <w:rFonts w:eastAsia="ＭＳ 明朝"/>
          <w:i/>
          <w:sz w:val="22"/>
          <w:lang w:val="en-US"/>
        </w:rPr>
        <w:t>Support CA using CCs with different TTI lengths and/or different numerologies.</w:t>
      </w:r>
    </w:p>
    <w:p w14:paraId="5D4D6A0E" w14:textId="77777777" w:rsidR="001D1592" w:rsidRPr="00046062" w:rsidRDefault="001D1592" w:rsidP="001D1592">
      <w:pPr>
        <w:pStyle w:val="afc"/>
        <w:numPr>
          <w:ilvl w:val="1"/>
          <w:numId w:val="44"/>
        </w:numPr>
        <w:spacing w:afterLines="50" w:after="120"/>
        <w:ind w:leftChars="0"/>
        <w:jc w:val="both"/>
        <w:rPr>
          <w:rFonts w:eastAsia="ＭＳ 明朝"/>
          <w:i/>
          <w:sz w:val="22"/>
          <w:lang w:val="en-US"/>
        </w:rPr>
      </w:pPr>
      <w:r>
        <w:rPr>
          <w:rFonts w:eastAsia="ＭＳ 明朝" w:hint="eastAsia"/>
          <w:i/>
          <w:sz w:val="22"/>
          <w:lang w:val="en-US"/>
        </w:rPr>
        <w:t xml:space="preserve">Consider </w:t>
      </w:r>
      <w:r>
        <w:rPr>
          <w:rFonts w:eastAsia="ＭＳ 明朝"/>
          <w:i/>
          <w:sz w:val="22"/>
          <w:lang w:val="en-US"/>
        </w:rPr>
        <w:t xml:space="preserve">cross-carrier </w:t>
      </w:r>
      <w:r>
        <w:rPr>
          <w:rFonts w:eastAsia="ＭＳ 明朝" w:hint="eastAsia"/>
          <w:i/>
          <w:sz w:val="22"/>
          <w:lang w:val="en-US"/>
        </w:rPr>
        <w:t>scheduling/HARQ</w:t>
      </w:r>
      <w:r>
        <w:rPr>
          <w:rFonts w:eastAsia="ＭＳ 明朝"/>
          <w:i/>
          <w:sz w:val="22"/>
          <w:lang w:val="en-US"/>
        </w:rPr>
        <w:t xml:space="preserve"> feedback across CCs with different TTI lengths/numerologies.</w:t>
      </w:r>
    </w:p>
    <w:p w14:paraId="4ED75CD6" w14:textId="77777777" w:rsidR="001D1592" w:rsidRPr="00F268F7" w:rsidRDefault="001D1592" w:rsidP="001D1592">
      <w:pPr>
        <w:spacing w:afterLines="50" w:after="120"/>
        <w:jc w:val="both"/>
        <w:rPr>
          <w:rFonts w:eastAsia="ＭＳ 明朝"/>
          <w:b/>
          <w:sz w:val="22"/>
          <w:u w:val="single"/>
          <w:lang w:val="en-US"/>
        </w:rPr>
      </w:pPr>
      <w:r w:rsidRPr="00F268F7">
        <w:rPr>
          <w:rFonts w:eastAsia="ＭＳ 明朝"/>
          <w:b/>
          <w:sz w:val="22"/>
          <w:u w:val="single"/>
          <w:lang w:val="en-US"/>
        </w:rPr>
        <w:t>Proposal 2:</w:t>
      </w:r>
    </w:p>
    <w:p w14:paraId="37115303" w14:textId="77777777" w:rsidR="001D1592" w:rsidRPr="00046062" w:rsidRDefault="001D1592" w:rsidP="001D1592">
      <w:pPr>
        <w:pStyle w:val="afc"/>
        <w:numPr>
          <w:ilvl w:val="0"/>
          <w:numId w:val="44"/>
        </w:numPr>
        <w:spacing w:afterLines="50" w:after="120"/>
        <w:ind w:leftChars="0"/>
        <w:jc w:val="both"/>
        <w:rPr>
          <w:rFonts w:eastAsia="ＭＳ 明朝"/>
          <w:i/>
          <w:sz w:val="22"/>
          <w:lang w:val="en-US"/>
        </w:rPr>
      </w:pPr>
      <w:r>
        <w:rPr>
          <w:rFonts w:eastAsia="ＭＳ 明朝"/>
          <w:i/>
          <w:sz w:val="22"/>
          <w:lang w:val="en-US"/>
        </w:rPr>
        <w:t>Consider c</w:t>
      </w:r>
      <w:r w:rsidRPr="00046062">
        <w:rPr>
          <w:rFonts w:eastAsia="ＭＳ 明朝"/>
          <w:i/>
          <w:sz w:val="22"/>
          <w:lang w:val="en-US"/>
        </w:rPr>
        <w:t>ross-CC HARQ (HARQ process sharing between CCs) together with cross-CC scheduling.</w:t>
      </w:r>
    </w:p>
    <w:p w14:paraId="31FCE7DE" w14:textId="77777777" w:rsidR="001D1592" w:rsidRPr="00D9626F" w:rsidRDefault="001D1592" w:rsidP="001D1592">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Pr>
          <w:rFonts w:eastAsiaTheme="minorEastAsia"/>
          <w:b/>
          <w:sz w:val="22"/>
          <w:u w:val="single"/>
          <w:lang w:val="en-US"/>
        </w:rPr>
        <w:t>3</w:t>
      </w:r>
      <w:r w:rsidRPr="00D9626F">
        <w:rPr>
          <w:rFonts w:eastAsiaTheme="minorEastAsia" w:hint="eastAsia"/>
          <w:b/>
          <w:sz w:val="22"/>
          <w:u w:val="single"/>
          <w:lang w:val="en-US"/>
        </w:rPr>
        <w:t>:</w:t>
      </w:r>
    </w:p>
    <w:p w14:paraId="4E57EEAA" w14:textId="77777777" w:rsidR="001D1592" w:rsidRDefault="001D1592" w:rsidP="001D1592">
      <w:pPr>
        <w:pStyle w:val="afc"/>
        <w:numPr>
          <w:ilvl w:val="0"/>
          <w:numId w:val="49"/>
        </w:numPr>
        <w:spacing w:afterLines="50" w:after="120"/>
        <w:ind w:leftChars="0"/>
        <w:jc w:val="both"/>
        <w:rPr>
          <w:rFonts w:eastAsiaTheme="minorEastAsia"/>
          <w:i/>
          <w:sz w:val="22"/>
          <w:lang w:val="en-US"/>
        </w:rPr>
      </w:pPr>
      <w:r w:rsidRPr="00D9626F">
        <w:rPr>
          <w:rFonts w:eastAsiaTheme="minorEastAsia" w:hint="eastAsia"/>
          <w:i/>
          <w:sz w:val="22"/>
          <w:lang w:val="en-US"/>
        </w:rPr>
        <w:t xml:space="preserve">Support power sharing mechanism for LTE-NR dual </w:t>
      </w:r>
      <w:r w:rsidRPr="00D9626F">
        <w:rPr>
          <w:rFonts w:eastAsiaTheme="minorEastAsia"/>
          <w:i/>
          <w:sz w:val="22"/>
          <w:lang w:val="en-US"/>
        </w:rPr>
        <w:t>connectivity</w:t>
      </w:r>
      <w:r>
        <w:rPr>
          <w:rFonts w:eastAsiaTheme="minorEastAsia"/>
          <w:i/>
          <w:sz w:val="22"/>
          <w:lang w:val="en-US"/>
        </w:rPr>
        <w:t xml:space="preserve"> by RAN1 specification</w:t>
      </w:r>
      <w:r w:rsidRPr="00D9626F">
        <w:rPr>
          <w:rFonts w:eastAsiaTheme="minorEastAsia" w:hint="eastAsia"/>
          <w:i/>
          <w:sz w:val="22"/>
          <w:lang w:val="en-US"/>
        </w:rPr>
        <w:t>.</w:t>
      </w:r>
    </w:p>
    <w:p w14:paraId="1E6BC062" w14:textId="77777777" w:rsidR="001D1592" w:rsidRDefault="001D1592" w:rsidP="001D1592">
      <w:pPr>
        <w:pStyle w:val="afc"/>
        <w:numPr>
          <w:ilvl w:val="1"/>
          <w:numId w:val="49"/>
        </w:numPr>
        <w:spacing w:afterLines="50" w:after="120"/>
        <w:ind w:leftChars="0"/>
        <w:jc w:val="both"/>
        <w:rPr>
          <w:rFonts w:eastAsiaTheme="minorEastAsia"/>
          <w:i/>
          <w:sz w:val="22"/>
          <w:lang w:val="en-US"/>
        </w:rPr>
      </w:pPr>
      <w:r>
        <w:rPr>
          <w:rFonts w:eastAsiaTheme="minorEastAsia" w:hint="eastAsia"/>
          <w:i/>
          <w:sz w:val="22"/>
          <w:lang w:val="en-US"/>
        </w:rPr>
        <w:t>At least guaranteed power for each cell-group is supported.</w:t>
      </w:r>
    </w:p>
    <w:p w14:paraId="26C0342A" w14:textId="77777777" w:rsidR="001D1592" w:rsidRPr="00535580" w:rsidRDefault="001D1592" w:rsidP="001D1592">
      <w:pPr>
        <w:pStyle w:val="afc"/>
        <w:numPr>
          <w:ilvl w:val="1"/>
          <w:numId w:val="49"/>
        </w:numPr>
        <w:spacing w:afterLines="50" w:after="120"/>
        <w:ind w:leftChars="0"/>
        <w:jc w:val="both"/>
        <w:rPr>
          <w:rFonts w:eastAsiaTheme="minorEastAsia"/>
          <w:i/>
          <w:sz w:val="22"/>
          <w:lang w:val="en-US"/>
        </w:rPr>
      </w:pPr>
      <w:r w:rsidRPr="00535580">
        <w:rPr>
          <w:rFonts w:eastAsiaTheme="minorEastAsia"/>
          <w:i/>
          <w:sz w:val="22"/>
          <w:lang w:val="en-US"/>
        </w:rPr>
        <w:t>Further optimization can be considered at later stage if deemed necessary.</w:t>
      </w:r>
    </w:p>
    <w:p w14:paraId="46D73263" w14:textId="77777777" w:rsidR="00A06DD8" w:rsidRPr="001D1592" w:rsidRDefault="00A06DD8" w:rsidP="00D5166A">
      <w:pPr>
        <w:spacing w:after="120"/>
        <w:jc w:val="both"/>
        <w:rPr>
          <w:sz w:val="22"/>
          <w:szCs w:val="24"/>
          <w:u w:val="single"/>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66FB3304" w14:textId="688C21DE" w:rsidR="00B4172D" w:rsidRDefault="001D1592" w:rsidP="00B4172D">
      <w:pPr>
        <w:widowControl w:val="0"/>
        <w:numPr>
          <w:ilvl w:val="0"/>
          <w:numId w:val="4"/>
        </w:numPr>
        <w:spacing w:after="120"/>
        <w:jc w:val="both"/>
        <w:rPr>
          <w:sz w:val="22"/>
          <w:szCs w:val="22"/>
          <w:lang w:val="en-US"/>
        </w:rPr>
      </w:pPr>
      <w:r>
        <w:rPr>
          <w:sz w:val="22"/>
          <w:szCs w:val="22"/>
          <w:lang w:val="en-US"/>
        </w:rPr>
        <w:t>3GPP RAN1#88bis Chairman’s note.</w:t>
      </w:r>
    </w:p>
    <w:p w14:paraId="2F28F2B2" w14:textId="3624D598" w:rsidR="00B95814" w:rsidRPr="004F00A6" w:rsidRDefault="00B95814" w:rsidP="00B17DE2">
      <w:pPr>
        <w:widowControl w:val="0"/>
        <w:spacing w:after="120"/>
        <w:jc w:val="both"/>
        <w:rPr>
          <w:sz w:val="22"/>
          <w:szCs w:val="22"/>
          <w:lang w:val="en-US"/>
        </w:rPr>
      </w:pPr>
    </w:p>
    <w:sectPr w:rsidR="00B95814" w:rsidRPr="004F00A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095B6" w14:textId="77777777" w:rsidR="00667ABA" w:rsidRDefault="00667ABA">
      <w:r>
        <w:separator/>
      </w:r>
    </w:p>
  </w:endnote>
  <w:endnote w:type="continuationSeparator" w:id="0">
    <w:p w14:paraId="7F4B97E0" w14:textId="77777777" w:rsidR="00667ABA" w:rsidRDefault="00667ABA">
      <w:r>
        <w:continuationSeparator/>
      </w:r>
    </w:p>
  </w:endnote>
  <w:endnote w:type="continuationNotice" w:id="1">
    <w:p w14:paraId="4F8A8E60" w14:textId="77777777" w:rsidR="00667ABA" w:rsidRDefault="00667A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C557E63"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37C1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37C10">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40EA4" w14:textId="77777777" w:rsidR="00667ABA" w:rsidRDefault="00667ABA">
      <w:r>
        <w:separator/>
      </w:r>
    </w:p>
  </w:footnote>
  <w:footnote w:type="continuationSeparator" w:id="0">
    <w:p w14:paraId="132F6008" w14:textId="77777777" w:rsidR="00667ABA" w:rsidRDefault="00667ABA">
      <w:r>
        <w:continuationSeparator/>
      </w:r>
    </w:p>
  </w:footnote>
  <w:footnote w:type="continuationNotice" w:id="1">
    <w:p w14:paraId="2C976A29" w14:textId="77777777" w:rsidR="00667ABA" w:rsidRDefault="00667A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86D10"/>
    <w:multiLevelType w:val="hybridMultilevel"/>
    <w:tmpl w:val="136A2FF4"/>
    <w:lvl w:ilvl="0" w:tplc="8D08D55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066FBA"/>
    <w:multiLevelType w:val="hybridMultilevel"/>
    <w:tmpl w:val="20C8F6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BBA6097"/>
    <w:multiLevelType w:val="hybridMultilevel"/>
    <w:tmpl w:val="B92667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665EEC"/>
    <w:multiLevelType w:val="hybridMultilevel"/>
    <w:tmpl w:val="9856B100"/>
    <w:lvl w:ilvl="0" w:tplc="C41AD11C">
      <w:start w:val="1"/>
      <w:numFmt w:val="bullet"/>
      <w:lvlText w:val="•"/>
      <w:lvlJc w:val="left"/>
      <w:pPr>
        <w:tabs>
          <w:tab w:val="num" w:pos="360"/>
        </w:tabs>
        <w:ind w:left="360" w:hanging="360"/>
      </w:pPr>
      <w:rPr>
        <w:rFonts w:ascii="Arial" w:hAnsi="Arial" w:hint="default"/>
      </w:rPr>
    </w:lvl>
    <w:lvl w:ilvl="1" w:tplc="AED0E988">
      <w:numFmt w:val="bullet"/>
      <w:lvlText w:val="•"/>
      <w:lvlJc w:val="left"/>
      <w:pPr>
        <w:tabs>
          <w:tab w:val="num" w:pos="1080"/>
        </w:tabs>
        <w:ind w:left="1080" w:hanging="360"/>
      </w:pPr>
      <w:rPr>
        <w:rFonts w:ascii="Arial" w:hAnsi="Arial" w:hint="default"/>
      </w:rPr>
    </w:lvl>
    <w:lvl w:ilvl="2" w:tplc="BA3AD598">
      <w:start w:val="1"/>
      <w:numFmt w:val="bullet"/>
      <w:lvlText w:val="•"/>
      <w:lvlJc w:val="left"/>
      <w:pPr>
        <w:tabs>
          <w:tab w:val="num" w:pos="1800"/>
        </w:tabs>
        <w:ind w:left="1800" w:hanging="360"/>
      </w:pPr>
      <w:rPr>
        <w:rFonts w:ascii="Arial" w:hAnsi="Arial" w:hint="default"/>
      </w:rPr>
    </w:lvl>
    <w:lvl w:ilvl="3" w:tplc="B0343D6A" w:tentative="1">
      <w:start w:val="1"/>
      <w:numFmt w:val="bullet"/>
      <w:lvlText w:val="•"/>
      <w:lvlJc w:val="left"/>
      <w:pPr>
        <w:tabs>
          <w:tab w:val="num" w:pos="2520"/>
        </w:tabs>
        <w:ind w:left="2520" w:hanging="360"/>
      </w:pPr>
      <w:rPr>
        <w:rFonts w:ascii="Arial" w:hAnsi="Arial" w:hint="default"/>
      </w:rPr>
    </w:lvl>
    <w:lvl w:ilvl="4" w:tplc="96E452A0" w:tentative="1">
      <w:start w:val="1"/>
      <w:numFmt w:val="bullet"/>
      <w:lvlText w:val="•"/>
      <w:lvlJc w:val="left"/>
      <w:pPr>
        <w:tabs>
          <w:tab w:val="num" w:pos="3240"/>
        </w:tabs>
        <w:ind w:left="3240" w:hanging="360"/>
      </w:pPr>
      <w:rPr>
        <w:rFonts w:ascii="Arial" w:hAnsi="Arial" w:hint="default"/>
      </w:rPr>
    </w:lvl>
    <w:lvl w:ilvl="5" w:tplc="54023336" w:tentative="1">
      <w:start w:val="1"/>
      <w:numFmt w:val="bullet"/>
      <w:lvlText w:val="•"/>
      <w:lvlJc w:val="left"/>
      <w:pPr>
        <w:tabs>
          <w:tab w:val="num" w:pos="3960"/>
        </w:tabs>
        <w:ind w:left="3960" w:hanging="360"/>
      </w:pPr>
      <w:rPr>
        <w:rFonts w:ascii="Arial" w:hAnsi="Arial" w:hint="default"/>
      </w:rPr>
    </w:lvl>
    <w:lvl w:ilvl="6" w:tplc="EFA8B2FA" w:tentative="1">
      <w:start w:val="1"/>
      <w:numFmt w:val="bullet"/>
      <w:lvlText w:val="•"/>
      <w:lvlJc w:val="left"/>
      <w:pPr>
        <w:tabs>
          <w:tab w:val="num" w:pos="4680"/>
        </w:tabs>
        <w:ind w:left="4680" w:hanging="360"/>
      </w:pPr>
      <w:rPr>
        <w:rFonts w:ascii="Arial" w:hAnsi="Arial" w:hint="default"/>
      </w:rPr>
    </w:lvl>
    <w:lvl w:ilvl="7" w:tplc="B2CA69DC" w:tentative="1">
      <w:start w:val="1"/>
      <w:numFmt w:val="bullet"/>
      <w:lvlText w:val="•"/>
      <w:lvlJc w:val="left"/>
      <w:pPr>
        <w:tabs>
          <w:tab w:val="num" w:pos="5400"/>
        </w:tabs>
        <w:ind w:left="5400" w:hanging="360"/>
      </w:pPr>
      <w:rPr>
        <w:rFonts w:ascii="Arial" w:hAnsi="Arial" w:hint="default"/>
      </w:rPr>
    </w:lvl>
    <w:lvl w:ilvl="8" w:tplc="BA420C5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47A37DF4"/>
    <w:multiLevelType w:val="hybridMultilevel"/>
    <w:tmpl w:val="63CAC0B2"/>
    <w:lvl w:ilvl="0" w:tplc="9E6E890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8DC51F7"/>
    <w:multiLevelType w:val="hybridMultilevel"/>
    <w:tmpl w:val="62F862F8"/>
    <w:lvl w:ilvl="0" w:tplc="0ABC49C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6B2184"/>
    <w:multiLevelType w:val="hybridMultilevel"/>
    <w:tmpl w:val="FD8212AA"/>
    <w:lvl w:ilvl="0" w:tplc="6978C2EE">
      <w:start w:val="1"/>
      <w:numFmt w:val="bullet"/>
      <w:lvlText w:val="•"/>
      <w:lvlJc w:val="left"/>
      <w:pPr>
        <w:tabs>
          <w:tab w:val="num" w:pos="720"/>
        </w:tabs>
        <w:ind w:left="720" w:hanging="360"/>
      </w:pPr>
      <w:rPr>
        <w:rFonts w:ascii="Arial" w:hAnsi="Arial" w:hint="default"/>
      </w:rPr>
    </w:lvl>
    <w:lvl w:ilvl="1" w:tplc="CAC20C60">
      <w:start w:val="1174"/>
      <w:numFmt w:val="bullet"/>
      <w:lvlText w:val="•"/>
      <w:lvlJc w:val="left"/>
      <w:pPr>
        <w:tabs>
          <w:tab w:val="num" w:pos="1440"/>
        </w:tabs>
        <w:ind w:left="1440" w:hanging="360"/>
      </w:pPr>
      <w:rPr>
        <w:rFonts w:ascii="Arial" w:hAnsi="Arial" w:hint="default"/>
      </w:rPr>
    </w:lvl>
    <w:lvl w:ilvl="2" w:tplc="26641C92">
      <w:start w:val="1174"/>
      <w:numFmt w:val="bullet"/>
      <w:lvlText w:val="•"/>
      <w:lvlJc w:val="left"/>
      <w:pPr>
        <w:tabs>
          <w:tab w:val="num" w:pos="2160"/>
        </w:tabs>
        <w:ind w:left="2160" w:hanging="360"/>
      </w:pPr>
      <w:rPr>
        <w:rFonts w:ascii="Arial" w:hAnsi="Arial" w:hint="default"/>
      </w:rPr>
    </w:lvl>
    <w:lvl w:ilvl="3" w:tplc="9468F954" w:tentative="1">
      <w:start w:val="1"/>
      <w:numFmt w:val="bullet"/>
      <w:lvlText w:val="•"/>
      <w:lvlJc w:val="left"/>
      <w:pPr>
        <w:tabs>
          <w:tab w:val="num" w:pos="2880"/>
        </w:tabs>
        <w:ind w:left="2880" w:hanging="360"/>
      </w:pPr>
      <w:rPr>
        <w:rFonts w:ascii="Arial" w:hAnsi="Arial" w:hint="default"/>
      </w:rPr>
    </w:lvl>
    <w:lvl w:ilvl="4" w:tplc="9CB682BA" w:tentative="1">
      <w:start w:val="1"/>
      <w:numFmt w:val="bullet"/>
      <w:lvlText w:val="•"/>
      <w:lvlJc w:val="left"/>
      <w:pPr>
        <w:tabs>
          <w:tab w:val="num" w:pos="3600"/>
        </w:tabs>
        <w:ind w:left="3600" w:hanging="360"/>
      </w:pPr>
      <w:rPr>
        <w:rFonts w:ascii="Arial" w:hAnsi="Arial" w:hint="default"/>
      </w:rPr>
    </w:lvl>
    <w:lvl w:ilvl="5" w:tplc="9A36A1EE" w:tentative="1">
      <w:start w:val="1"/>
      <w:numFmt w:val="bullet"/>
      <w:lvlText w:val="•"/>
      <w:lvlJc w:val="left"/>
      <w:pPr>
        <w:tabs>
          <w:tab w:val="num" w:pos="4320"/>
        </w:tabs>
        <w:ind w:left="4320" w:hanging="360"/>
      </w:pPr>
      <w:rPr>
        <w:rFonts w:ascii="Arial" w:hAnsi="Arial" w:hint="default"/>
      </w:rPr>
    </w:lvl>
    <w:lvl w:ilvl="6" w:tplc="C1D6E11E" w:tentative="1">
      <w:start w:val="1"/>
      <w:numFmt w:val="bullet"/>
      <w:lvlText w:val="•"/>
      <w:lvlJc w:val="left"/>
      <w:pPr>
        <w:tabs>
          <w:tab w:val="num" w:pos="5040"/>
        </w:tabs>
        <w:ind w:left="5040" w:hanging="360"/>
      </w:pPr>
      <w:rPr>
        <w:rFonts w:ascii="Arial" w:hAnsi="Arial" w:hint="default"/>
      </w:rPr>
    </w:lvl>
    <w:lvl w:ilvl="7" w:tplc="C1F67604" w:tentative="1">
      <w:start w:val="1"/>
      <w:numFmt w:val="bullet"/>
      <w:lvlText w:val="•"/>
      <w:lvlJc w:val="left"/>
      <w:pPr>
        <w:tabs>
          <w:tab w:val="num" w:pos="5760"/>
        </w:tabs>
        <w:ind w:left="5760" w:hanging="360"/>
      </w:pPr>
      <w:rPr>
        <w:rFonts w:ascii="Arial" w:hAnsi="Arial" w:hint="default"/>
      </w:rPr>
    </w:lvl>
    <w:lvl w:ilvl="8" w:tplc="DC72840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5D539EE"/>
    <w:multiLevelType w:val="hybridMultilevel"/>
    <w:tmpl w:val="4B2C3D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ＭＳ Ｐゴシック" w:hAnsi="ＭＳ Ｐゴシック" w:hint="default"/>
      </w:rPr>
    </w:lvl>
    <w:lvl w:ilvl="1" w:tplc="2B82804E">
      <w:start w:val="1"/>
      <w:numFmt w:val="bullet"/>
      <w:lvlText w:val="–"/>
      <w:lvlJc w:val="left"/>
      <w:pPr>
        <w:tabs>
          <w:tab w:val="num" w:pos="1080"/>
        </w:tabs>
        <w:ind w:left="1080" w:hanging="360"/>
      </w:pPr>
      <w:rPr>
        <w:rFonts w:ascii="ＭＳ Ｐゴシック" w:hAnsi="ＭＳ Ｐゴシック" w:hint="default"/>
      </w:rPr>
    </w:lvl>
    <w:lvl w:ilvl="2" w:tplc="A862473C">
      <w:start w:val="1934"/>
      <w:numFmt w:val="bullet"/>
      <w:lvlText w:val="•"/>
      <w:lvlJc w:val="left"/>
      <w:pPr>
        <w:tabs>
          <w:tab w:val="num" w:pos="1800"/>
        </w:tabs>
        <w:ind w:left="1800" w:hanging="360"/>
      </w:pPr>
      <w:rPr>
        <w:rFonts w:ascii="ＭＳ Ｐゴシック" w:hAnsi="ＭＳ Ｐゴシック" w:hint="default"/>
      </w:rPr>
    </w:lvl>
    <w:lvl w:ilvl="3" w:tplc="497CA8A6">
      <w:start w:val="1934"/>
      <w:numFmt w:val="bullet"/>
      <w:lvlText w:val="–"/>
      <w:lvlJc w:val="left"/>
      <w:pPr>
        <w:tabs>
          <w:tab w:val="num" w:pos="2520"/>
        </w:tabs>
        <w:ind w:left="2520" w:hanging="360"/>
      </w:pPr>
      <w:rPr>
        <w:rFonts w:ascii="ＭＳ Ｐゴシック" w:hAnsi="ＭＳ Ｐゴシック" w:hint="default"/>
      </w:rPr>
    </w:lvl>
    <w:lvl w:ilvl="4" w:tplc="5B5EAB26" w:tentative="1">
      <w:start w:val="1"/>
      <w:numFmt w:val="bullet"/>
      <w:lvlText w:val="–"/>
      <w:lvlJc w:val="left"/>
      <w:pPr>
        <w:tabs>
          <w:tab w:val="num" w:pos="3240"/>
        </w:tabs>
        <w:ind w:left="3240" w:hanging="360"/>
      </w:pPr>
      <w:rPr>
        <w:rFonts w:ascii="ＭＳ Ｐゴシック" w:hAnsi="ＭＳ Ｐゴシック" w:hint="default"/>
      </w:rPr>
    </w:lvl>
    <w:lvl w:ilvl="5" w:tplc="49F49692" w:tentative="1">
      <w:start w:val="1"/>
      <w:numFmt w:val="bullet"/>
      <w:lvlText w:val="–"/>
      <w:lvlJc w:val="left"/>
      <w:pPr>
        <w:tabs>
          <w:tab w:val="num" w:pos="3960"/>
        </w:tabs>
        <w:ind w:left="3960" w:hanging="360"/>
      </w:pPr>
      <w:rPr>
        <w:rFonts w:ascii="ＭＳ Ｐゴシック" w:hAnsi="ＭＳ Ｐゴシック" w:hint="default"/>
      </w:rPr>
    </w:lvl>
    <w:lvl w:ilvl="6" w:tplc="F040654E" w:tentative="1">
      <w:start w:val="1"/>
      <w:numFmt w:val="bullet"/>
      <w:lvlText w:val="–"/>
      <w:lvlJc w:val="left"/>
      <w:pPr>
        <w:tabs>
          <w:tab w:val="num" w:pos="4680"/>
        </w:tabs>
        <w:ind w:left="4680" w:hanging="360"/>
      </w:pPr>
      <w:rPr>
        <w:rFonts w:ascii="ＭＳ Ｐゴシック" w:hAnsi="ＭＳ Ｐゴシック" w:hint="default"/>
      </w:rPr>
    </w:lvl>
    <w:lvl w:ilvl="7" w:tplc="F4CA95F0" w:tentative="1">
      <w:start w:val="1"/>
      <w:numFmt w:val="bullet"/>
      <w:lvlText w:val="–"/>
      <w:lvlJc w:val="left"/>
      <w:pPr>
        <w:tabs>
          <w:tab w:val="num" w:pos="5400"/>
        </w:tabs>
        <w:ind w:left="5400" w:hanging="360"/>
      </w:pPr>
      <w:rPr>
        <w:rFonts w:ascii="ＭＳ Ｐゴシック" w:hAnsi="ＭＳ Ｐゴシック" w:hint="default"/>
      </w:rPr>
    </w:lvl>
    <w:lvl w:ilvl="8" w:tplc="B07E4078" w:tentative="1">
      <w:start w:val="1"/>
      <w:numFmt w:val="bullet"/>
      <w:lvlText w:val="–"/>
      <w:lvlJc w:val="left"/>
      <w:pPr>
        <w:tabs>
          <w:tab w:val="num" w:pos="6120"/>
        </w:tabs>
        <w:ind w:left="6120" w:hanging="360"/>
      </w:pPr>
      <w:rPr>
        <w:rFonts w:ascii="ＭＳ Ｐゴシック" w:hAnsi="ＭＳ Ｐゴシック" w:hint="default"/>
      </w:rPr>
    </w:lvl>
  </w:abstractNum>
  <w:num w:numId="1">
    <w:abstractNumId w:val="0"/>
  </w:num>
  <w:num w:numId="2">
    <w:abstractNumId w:val="41"/>
  </w:num>
  <w:num w:numId="3">
    <w:abstractNumId w:val="22"/>
  </w:num>
  <w:num w:numId="4">
    <w:abstractNumId w:val="16"/>
  </w:num>
  <w:num w:numId="5">
    <w:abstractNumId w:val="47"/>
  </w:num>
  <w:num w:numId="6">
    <w:abstractNumId w:val="37"/>
  </w:num>
  <w:num w:numId="7">
    <w:abstractNumId w:val="43"/>
  </w:num>
  <w:num w:numId="8">
    <w:abstractNumId w:val="44"/>
  </w:num>
  <w:num w:numId="9">
    <w:abstractNumId w:val="30"/>
  </w:num>
  <w:num w:numId="10">
    <w:abstractNumId w:val="39"/>
  </w:num>
  <w:num w:numId="11">
    <w:abstractNumId w:val="11"/>
  </w:num>
  <w:num w:numId="12">
    <w:abstractNumId w:val="35"/>
  </w:num>
  <w:num w:numId="13">
    <w:abstractNumId w:val="8"/>
  </w:num>
  <w:num w:numId="14">
    <w:abstractNumId w:val="2"/>
  </w:num>
  <w:num w:numId="15">
    <w:abstractNumId w:val="12"/>
  </w:num>
  <w:num w:numId="16">
    <w:abstractNumId w:val="46"/>
  </w:num>
  <w:num w:numId="17">
    <w:abstractNumId w:val="5"/>
  </w:num>
  <w:num w:numId="18">
    <w:abstractNumId w:val="1"/>
  </w:num>
  <w:num w:numId="19">
    <w:abstractNumId w:val="40"/>
  </w:num>
  <w:num w:numId="20">
    <w:abstractNumId w:val="10"/>
  </w:num>
  <w:num w:numId="21">
    <w:abstractNumId w:val="29"/>
  </w:num>
  <w:num w:numId="22">
    <w:abstractNumId w:val="17"/>
  </w:num>
  <w:num w:numId="23">
    <w:abstractNumId w:val="18"/>
  </w:num>
  <w:num w:numId="24">
    <w:abstractNumId w:val="23"/>
  </w:num>
  <w:num w:numId="25">
    <w:abstractNumId w:val="9"/>
  </w:num>
  <w:num w:numId="26">
    <w:abstractNumId w:val="26"/>
  </w:num>
  <w:num w:numId="27">
    <w:abstractNumId w:val="20"/>
  </w:num>
  <w:num w:numId="28">
    <w:abstractNumId w:val="31"/>
  </w:num>
  <w:num w:numId="29">
    <w:abstractNumId w:val="33"/>
  </w:num>
  <w:num w:numId="30">
    <w:abstractNumId w:val="7"/>
  </w:num>
  <w:num w:numId="31">
    <w:abstractNumId w:val="3"/>
  </w:num>
  <w:num w:numId="32">
    <w:abstractNumId w:val="4"/>
  </w:num>
  <w:num w:numId="33">
    <w:abstractNumId w:val="24"/>
  </w:num>
  <w:num w:numId="34">
    <w:abstractNumId w:val="28"/>
  </w:num>
  <w:num w:numId="35">
    <w:abstractNumId w:val="38"/>
  </w:num>
  <w:num w:numId="36">
    <w:abstractNumId w:val="34"/>
  </w:num>
  <w:num w:numId="37">
    <w:abstractNumId w:val="25"/>
  </w:num>
  <w:num w:numId="38">
    <w:abstractNumId w:val="19"/>
  </w:num>
  <w:num w:numId="39">
    <w:abstractNumId w:val="48"/>
  </w:num>
  <w:num w:numId="40">
    <w:abstractNumId w:val="6"/>
  </w:num>
  <w:num w:numId="41">
    <w:abstractNumId w:val="42"/>
  </w:num>
  <w:num w:numId="42">
    <w:abstractNumId w:val="32"/>
  </w:num>
  <w:num w:numId="43">
    <w:abstractNumId w:val="15"/>
  </w:num>
  <w:num w:numId="44">
    <w:abstractNumId w:val="13"/>
  </w:num>
  <w:num w:numId="45">
    <w:abstractNumId w:val="14"/>
  </w:num>
  <w:num w:numId="46">
    <w:abstractNumId w:val="36"/>
  </w:num>
  <w:num w:numId="47">
    <w:abstractNumId w:val="21"/>
  </w:num>
  <w:num w:numId="48">
    <w:abstractNumId w:val="27"/>
  </w:num>
  <w:num w:numId="49">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062"/>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2B0"/>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24D"/>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6D16"/>
    <w:rsid w:val="000C735F"/>
    <w:rsid w:val="000C76AD"/>
    <w:rsid w:val="000C7705"/>
    <w:rsid w:val="000D00B7"/>
    <w:rsid w:val="000D0184"/>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20C"/>
    <w:rsid w:val="00145F02"/>
    <w:rsid w:val="00146288"/>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0EE"/>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592"/>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A84"/>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0FD0"/>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84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848"/>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68A"/>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8B8"/>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6B15"/>
    <w:rsid w:val="003E736B"/>
    <w:rsid w:val="003E739C"/>
    <w:rsid w:val="003E746D"/>
    <w:rsid w:val="003E7596"/>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4FA5"/>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580"/>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18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486"/>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3D5"/>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DB7"/>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1D9"/>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ABA"/>
    <w:rsid w:val="00667B99"/>
    <w:rsid w:val="00667E0A"/>
    <w:rsid w:val="0067062C"/>
    <w:rsid w:val="006706EA"/>
    <w:rsid w:val="0067087D"/>
    <w:rsid w:val="00670F82"/>
    <w:rsid w:val="00671105"/>
    <w:rsid w:val="00671168"/>
    <w:rsid w:val="00671364"/>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B06"/>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7F6"/>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BE"/>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E06"/>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5DF9"/>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C7B"/>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792"/>
    <w:rsid w:val="00813C53"/>
    <w:rsid w:val="00813E0F"/>
    <w:rsid w:val="00814341"/>
    <w:rsid w:val="0081472C"/>
    <w:rsid w:val="0081487E"/>
    <w:rsid w:val="00814C70"/>
    <w:rsid w:val="00814E36"/>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AE"/>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924"/>
    <w:rsid w:val="00856BBD"/>
    <w:rsid w:val="0085718D"/>
    <w:rsid w:val="00857A47"/>
    <w:rsid w:val="00857AFB"/>
    <w:rsid w:val="00857B5A"/>
    <w:rsid w:val="00857F0B"/>
    <w:rsid w:val="00860040"/>
    <w:rsid w:val="00860A65"/>
    <w:rsid w:val="00860A68"/>
    <w:rsid w:val="00860B0F"/>
    <w:rsid w:val="00860C24"/>
    <w:rsid w:val="00860ED6"/>
    <w:rsid w:val="00861050"/>
    <w:rsid w:val="00861273"/>
    <w:rsid w:val="0086236F"/>
    <w:rsid w:val="00862B9A"/>
    <w:rsid w:val="00862D31"/>
    <w:rsid w:val="00862F75"/>
    <w:rsid w:val="00863752"/>
    <w:rsid w:val="00863949"/>
    <w:rsid w:val="00864043"/>
    <w:rsid w:val="008657AB"/>
    <w:rsid w:val="00865C05"/>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5A31"/>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17AA"/>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BF"/>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49"/>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60"/>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2FB"/>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C1"/>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DE2"/>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10"/>
    <w:rsid w:val="00B37CC1"/>
    <w:rsid w:val="00B37E64"/>
    <w:rsid w:val="00B40A5C"/>
    <w:rsid w:val="00B40F2C"/>
    <w:rsid w:val="00B4172D"/>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088"/>
    <w:rsid w:val="00BD0B22"/>
    <w:rsid w:val="00BD0E12"/>
    <w:rsid w:val="00BD0F9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02"/>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6FD"/>
    <w:rsid w:val="00C66738"/>
    <w:rsid w:val="00C66B54"/>
    <w:rsid w:val="00C6704E"/>
    <w:rsid w:val="00C672AA"/>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2D"/>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923"/>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2EB"/>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8"/>
    <w:rsid w:val="00DB60FE"/>
    <w:rsid w:val="00DB6284"/>
    <w:rsid w:val="00DB67D6"/>
    <w:rsid w:val="00DB6859"/>
    <w:rsid w:val="00DB69E6"/>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0B1D"/>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04E"/>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B86"/>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6B6"/>
    <w:rsid w:val="00E94C74"/>
    <w:rsid w:val="00E94EBC"/>
    <w:rsid w:val="00E95A85"/>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01B"/>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8F7"/>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D26"/>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4D80"/>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FD7"/>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locked/>
    <w:rsid w:val="003E6B15"/>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123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88262247">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38883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40060606">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5189592">
      <w:bodyDiv w:val="1"/>
      <w:marLeft w:val="0"/>
      <w:marRight w:val="0"/>
      <w:marTop w:val="0"/>
      <w:marBottom w:val="0"/>
      <w:divBdr>
        <w:top w:val="none" w:sz="0" w:space="0" w:color="auto"/>
        <w:left w:val="none" w:sz="0" w:space="0" w:color="auto"/>
        <w:bottom w:val="none" w:sz="0" w:space="0" w:color="auto"/>
        <w:right w:val="none" w:sz="0" w:space="0" w:color="auto"/>
      </w:divBdr>
    </w:div>
    <w:div w:id="19540471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55020-1951-402C-AC7D-4F067CF62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1202</Words>
  <Characters>6857</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2016-09-21T11:03:00Z</cp:lastPrinted>
  <dcterms:created xsi:type="dcterms:W3CDTF">2017-05-05T14:19:00Z</dcterms:created>
  <dcterms:modified xsi:type="dcterms:W3CDTF">2017-05-05T14:19:00Z</dcterms:modified>
</cp:coreProperties>
</file>