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48F59679" w:rsidR="00C95C19" w:rsidRPr="0061125D" w:rsidRDefault="00C95C19" w:rsidP="00C95C19">
      <w:pPr>
        <w:pStyle w:val="a7"/>
        <w:rPr>
          <w:rFonts w:eastAsia="SimSun"/>
          <w:sz w:val="24"/>
          <w:lang w:val="en-US" w:eastAsia="zh-CN"/>
        </w:rPr>
      </w:pPr>
      <w:bookmarkStart w:id="0" w:name="OLE_LINK3"/>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035B6D">
        <w:rPr>
          <w:sz w:val="24"/>
          <w:lang w:val="en-US"/>
        </w:rPr>
        <w:t>08467</w:t>
      </w:r>
    </w:p>
    <w:p w14:paraId="3F475355" w14:textId="77777777" w:rsidR="00C95C19" w:rsidRDefault="00C95C19" w:rsidP="00C95C19">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8AFE53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E6899">
        <w:rPr>
          <w:rFonts w:eastAsiaTheme="minorEastAsia"/>
          <w:sz w:val="24"/>
          <w:lang w:val="en-US" w:eastAsia="ja-JP"/>
        </w:rPr>
        <w:t xml:space="preserve">Initial views on DCI </w:t>
      </w:r>
      <w:r w:rsidR="004A46CB">
        <w:rPr>
          <w:rFonts w:eastAsiaTheme="minorEastAsia"/>
          <w:sz w:val="24"/>
          <w:lang w:val="en-US" w:eastAsia="ja-JP"/>
        </w:rPr>
        <w:t>fields</w:t>
      </w:r>
    </w:p>
    <w:bookmarkEnd w:id="1"/>
    <w:bookmarkEnd w:id="2"/>
    <w:bookmarkEnd w:id="3"/>
    <w:bookmarkEnd w:id="4"/>
    <w:p w14:paraId="02FF14B3" w14:textId="2C869A6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E6899">
        <w:rPr>
          <w:sz w:val="24"/>
          <w:lang w:val="en-US" w:eastAsia="ja-JP"/>
        </w:rPr>
        <w:t>7.1.3.1.</w:t>
      </w:r>
      <w:r w:rsidR="00FE6899">
        <w:rPr>
          <w:rFonts w:hint="eastAsia"/>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79279BE4" w14:textId="06C95636" w:rsidR="00D4502C" w:rsidRDefault="00350944" w:rsidP="00FE0C9D">
      <w:pPr>
        <w:spacing w:afterLines="50" w:after="120"/>
        <w:jc w:val="both"/>
        <w:rPr>
          <w:rFonts w:eastAsiaTheme="minorEastAsia"/>
          <w:sz w:val="22"/>
          <w:lang w:val="en-US"/>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 xml:space="preserve">this contribution, </w:t>
      </w:r>
      <w:r w:rsidR="004A46CB">
        <w:rPr>
          <w:rFonts w:eastAsia="SimSun"/>
          <w:sz w:val="22"/>
          <w:lang w:val="en-US" w:eastAsia="zh-CN"/>
        </w:rPr>
        <w:t>we</w:t>
      </w:r>
      <w:r w:rsidR="00AB4965">
        <w:rPr>
          <w:rFonts w:eastAsiaTheme="minorEastAsia"/>
          <w:sz w:val="22"/>
          <w:lang w:val="en-US"/>
        </w:rPr>
        <w:t xml:space="preserve"> list up the </w:t>
      </w:r>
      <w:r w:rsidR="004A46CB">
        <w:rPr>
          <w:rFonts w:eastAsiaTheme="minorEastAsia"/>
          <w:sz w:val="22"/>
          <w:lang w:val="en-US"/>
        </w:rPr>
        <w:t>potential DCI fields</w:t>
      </w:r>
      <w:r w:rsidR="00441827">
        <w:rPr>
          <w:rFonts w:eastAsiaTheme="minorEastAsia"/>
          <w:sz w:val="22"/>
          <w:lang w:val="en-US"/>
        </w:rPr>
        <w:t xml:space="preserve"> for NR</w:t>
      </w:r>
      <w:r w:rsidR="00AB4965">
        <w:rPr>
          <w:rFonts w:eastAsiaTheme="minorEastAsia"/>
          <w:sz w:val="22"/>
          <w:lang w:val="en-US"/>
        </w:rPr>
        <w:t>.</w:t>
      </w:r>
    </w:p>
    <w:p w14:paraId="5C115B65" w14:textId="77777777" w:rsidR="00AB4965" w:rsidRPr="00FE6899" w:rsidRDefault="00AB4965" w:rsidP="00FE0C9D">
      <w:pPr>
        <w:spacing w:afterLines="50" w:after="120"/>
        <w:jc w:val="both"/>
        <w:rPr>
          <w:rFonts w:eastAsia="SimSun"/>
          <w:sz w:val="22"/>
          <w:lang w:val="en-US" w:eastAsia="zh-CN"/>
        </w:rPr>
      </w:pPr>
    </w:p>
    <w:p w14:paraId="408AFFCA" w14:textId="54BAB1BC" w:rsidR="009B284C" w:rsidRPr="005D0A85" w:rsidRDefault="00FE6899" w:rsidP="005D0A85">
      <w:pPr>
        <w:pStyle w:val="1"/>
        <w:numPr>
          <w:ilvl w:val="0"/>
          <w:numId w:val="6"/>
        </w:numPr>
        <w:spacing w:after="120"/>
        <w:jc w:val="both"/>
        <w:rPr>
          <w:b/>
          <w:lang w:val="en-US"/>
        </w:rPr>
      </w:pPr>
      <w:r>
        <w:rPr>
          <w:b/>
          <w:lang w:val="en-US"/>
        </w:rPr>
        <w:t xml:space="preserve">DCI </w:t>
      </w:r>
      <w:r w:rsidR="004A46CB">
        <w:rPr>
          <w:b/>
          <w:lang w:val="en-US"/>
        </w:rPr>
        <w:t>fields</w:t>
      </w:r>
    </w:p>
    <w:p w14:paraId="4E494E8E" w14:textId="74FD16E0" w:rsidR="005E3F3F" w:rsidRPr="00424E28" w:rsidRDefault="00441827" w:rsidP="00424E28">
      <w:pPr>
        <w:pStyle w:val="1"/>
        <w:numPr>
          <w:ilvl w:val="1"/>
          <w:numId w:val="6"/>
        </w:numPr>
        <w:spacing w:after="120"/>
        <w:jc w:val="both"/>
        <w:rPr>
          <w:b/>
          <w:sz w:val="24"/>
          <w:lang w:val="en-US"/>
        </w:rPr>
      </w:pPr>
      <w:r>
        <w:rPr>
          <w:b/>
          <w:sz w:val="24"/>
          <w:lang w:val="en-US"/>
        </w:rPr>
        <w:t>Potential</w:t>
      </w:r>
      <w:r w:rsidR="004A46CB">
        <w:rPr>
          <w:b/>
          <w:sz w:val="24"/>
          <w:lang w:val="en-US"/>
        </w:rPr>
        <w:t xml:space="preserve"> </w:t>
      </w:r>
      <w:r w:rsidR="00FE6899">
        <w:rPr>
          <w:b/>
          <w:sz w:val="24"/>
          <w:lang w:val="en-US"/>
        </w:rPr>
        <w:t xml:space="preserve">DCI </w:t>
      </w:r>
      <w:r w:rsidR="00C814CC">
        <w:rPr>
          <w:b/>
          <w:sz w:val="24"/>
          <w:lang w:val="en-US"/>
        </w:rPr>
        <w:t>field</w:t>
      </w:r>
      <w:r w:rsidR="00FE6899">
        <w:rPr>
          <w:b/>
          <w:sz w:val="24"/>
          <w:lang w:val="en-US"/>
        </w:rPr>
        <w:t>s</w:t>
      </w:r>
    </w:p>
    <w:p w14:paraId="603EEEA7" w14:textId="58B40165" w:rsidR="00AC7BC9" w:rsidRDefault="004A46CB" w:rsidP="00424E28">
      <w:pPr>
        <w:spacing w:afterLines="50" w:after="120"/>
        <w:jc w:val="both"/>
        <w:rPr>
          <w:rFonts w:eastAsia="ＭＳ 明朝"/>
          <w:sz w:val="22"/>
          <w:lang w:val="en-US"/>
        </w:rPr>
      </w:pPr>
      <w:r>
        <w:rPr>
          <w:rFonts w:eastAsia="ＭＳ 明朝"/>
          <w:sz w:val="22"/>
          <w:lang w:val="en-US"/>
        </w:rPr>
        <w:t xml:space="preserve">Following summarizes and initial estimate of the list of </w:t>
      </w:r>
      <w:r w:rsidR="00A0400B">
        <w:rPr>
          <w:rFonts w:eastAsia="ＭＳ 明朝"/>
          <w:sz w:val="22"/>
          <w:lang w:val="en-US"/>
        </w:rPr>
        <w:t xml:space="preserve">all necessary </w:t>
      </w:r>
      <w:r>
        <w:rPr>
          <w:rFonts w:eastAsia="ＭＳ 明朝"/>
          <w:sz w:val="22"/>
          <w:lang w:val="en-US"/>
        </w:rPr>
        <w:t xml:space="preserve">DCI fields. </w:t>
      </w:r>
    </w:p>
    <w:tbl>
      <w:tblPr>
        <w:tblW w:w="10210" w:type="dxa"/>
        <w:tblInd w:w="104" w:type="dxa"/>
        <w:tblCellMar>
          <w:top w:w="15" w:type="dxa"/>
          <w:left w:w="99" w:type="dxa"/>
          <w:bottom w:w="15" w:type="dxa"/>
          <w:right w:w="99" w:type="dxa"/>
        </w:tblCellMar>
        <w:tblLook w:val="04A0" w:firstRow="1" w:lastRow="0" w:firstColumn="1" w:lastColumn="0" w:noHBand="0" w:noVBand="1"/>
      </w:tblPr>
      <w:tblGrid>
        <w:gridCol w:w="941"/>
        <w:gridCol w:w="3685"/>
        <w:gridCol w:w="1180"/>
        <w:gridCol w:w="4404"/>
      </w:tblGrid>
      <w:tr w:rsidR="004A46CB" w:rsidRPr="004A46CB" w14:paraId="7898E71C" w14:textId="77777777" w:rsidTr="004A46CB">
        <w:trPr>
          <w:trHeight w:val="285"/>
        </w:trPr>
        <w:tc>
          <w:tcPr>
            <w:tcW w:w="941"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15898489"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DL/UL</w:t>
            </w:r>
          </w:p>
        </w:tc>
        <w:tc>
          <w:tcPr>
            <w:tcW w:w="3685"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57AE2C06"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Field description</w:t>
            </w:r>
          </w:p>
        </w:tc>
        <w:tc>
          <w:tcPr>
            <w:tcW w:w="1180"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4FDBBB1E"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No. of bits</w:t>
            </w:r>
          </w:p>
        </w:tc>
        <w:tc>
          <w:tcPr>
            <w:tcW w:w="4404"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3BA65F0A"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Comments</w:t>
            </w:r>
          </w:p>
        </w:tc>
      </w:tr>
      <w:tr w:rsidR="004A46CB" w:rsidRPr="004A46CB" w14:paraId="00C009BE" w14:textId="77777777" w:rsidTr="004A46CB">
        <w:trPr>
          <w:trHeight w:val="285"/>
        </w:trPr>
        <w:tc>
          <w:tcPr>
            <w:tcW w:w="941" w:type="dxa"/>
            <w:vMerge w:val="restart"/>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1CE70D44"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Common</w:t>
            </w:r>
          </w:p>
        </w:tc>
        <w:tc>
          <w:tcPr>
            <w:tcW w:w="3685"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66F4B95A" w14:textId="511CC388"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Carrier indicator</w:t>
            </w:r>
            <w:r>
              <w:rPr>
                <w:rFonts w:ascii="Calibri" w:eastAsia="Yu Gothic" w:hAnsi="Calibri" w:cs="Calibri"/>
                <w:color w:val="000000"/>
                <w:sz w:val="20"/>
                <w:szCs w:val="16"/>
                <w:lang w:val="en-US"/>
              </w:rPr>
              <w:t xml:space="preserve"> [1]</w:t>
            </w:r>
          </w:p>
        </w:tc>
        <w:tc>
          <w:tcPr>
            <w:tcW w:w="118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55778EC1"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[0 - 4]</w:t>
            </w:r>
          </w:p>
        </w:tc>
        <w:tc>
          <w:tcPr>
            <w:tcW w:w="4404"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66AC72E1"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Configurable with cross-carrier scheduling</w:t>
            </w:r>
          </w:p>
        </w:tc>
      </w:tr>
      <w:tr w:rsidR="004A46CB" w:rsidRPr="004A46CB" w14:paraId="7A053B9B" w14:textId="77777777" w:rsidTr="004A46CB">
        <w:trPr>
          <w:trHeight w:val="285"/>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624275FE" w14:textId="77777777" w:rsidR="004A46CB" w:rsidRPr="004A46CB" w:rsidRDefault="004A46CB"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2AB5856A" w14:textId="5E783959"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Resource block assignment</w:t>
            </w:r>
            <w:r>
              <w:rPr>
                <w:rFonts w:ascii="Calibri" w:eastAsia="Yu Gothic" w:hAnsi="Calibri" w:cs="Calibri"/>
                <w:color w:val="000000"/>
                <w:sz w:val="20"/>
                <w:szCs w:val="16"/>
                <w:lang w:val="en-US"/>
              </w:rPr>
              <w:t xml:space="preserve"> [2]</w:t>
            </w:r>
          </w:p>
        </w:tc>
        <w:tc>
          <w:tcPr>
            <w:tcW w:w="118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10CC0748"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[10 - 30]</w:t>
            </w:r>
          </w:p>
        </w:tc>
        <w:tc>
          <w:tcPr>
            <w:tcW w:w="4404"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7E400B7A"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Configurable with bandwidth of a bandwidth part</w:t>
            </w:r>
          </w:p>
        </w:tc>
      </w:tr>
      <w:tr w:rsidR="004A46CB" w:rsidRPr="004A46CB" w14:paraId="63A25623" w14:textId="77777777" w:rsidTr="004A46CB">
        <w:trPr>
          <w:trHeight w:val="285"/>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35CCA5EA" w14:textId="77777777" w:rsidR="004A46CB" w:rsidRPr="004A46CB" w:rsidRDefault="004A46CB"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0705DE8C" w14:textId="5C1829E0"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Data duration and starting timing</w:t>
            </w:r>
            <w:r>
              <w:rPr>
                <w:rFonts w:ascii="Calibri" w:eastAsia="Yu Gothic" w:hAnsi="Calibri" w:cs="Calibri"/>
                <w:color w:val="000000"/>
                <w:sz w:val="20"/>
                <w:szCs w:val="16"/>
                <w:lang w:val="en-US"/>
              </w:rPr>
              <w:t xml:space="preserve"> [2]</w:t>
            </w:r>
          </w:p>
        </w:tc>
        <w:tc>
          <w:tcPr>
            <w:tcW w:w="118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073760DA"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[0 - 4]</w:t>
            </w:r>
          </w:p>
        </w:tc>
        <w:tc>
          <w:tcPr>
            <w:tcW w:w="4404"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728B4350"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Configurable</w:t>
            </w:r>
          </w:p>
        </w:tc>
      </w:tr>
      <w:tr w:rsidR="004A46CB" w:rsidRPr="004A46CB" w14:paraId="6CBA709E" w14:textId="77777777" w:rsidTr="004A46CB">
        <w:trPr>
          <w:trHeight w:val="285"/>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65CF6324" w14:textId="77777777" w:rsidR="004A46CB" w:rsidRPr="004A46CB" w:rsidRDefault="004A46CB"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601B4188" w14:textId="4EA7A5D5"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HARQ process number</w:t>
            </w:r>
            <w:r>
              <w:rPr>
                <w:rFonts w:ascii="Calibri" w:eastAsia="Yu Gothic" w:hAnsi="Calibri" w:cs="Calibri"/>
                <w:color w:val="000000"/>
                <w:sz w:val="20"/>
                <w:szCs w:val="16"/>
                <w:lang w:val="en-US"/>
              </w:rPr>
              <w:t xml:space="preserve"> [3]</w:t>
            </w:r>
          </w:p>
        </w:tc>
        <w:tc>
          <w:tcPr>
            <w:tcW w:w="118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10ADD600"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[2 - 4]</w:t>
            </w:r>
          </w:p>
        </w:tc>
        <w:tc>
          <w:tcPr>
            <w:tcW w:w="4404"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77F77E6F"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Configurable</w:t>
            </w:r>
          </w:p>
        </w:tc>
      </w:tr>
      <w:tr w:rsidR="004A46CB" w:rsidRPr="004A46CB" w14:paraId="528AFF31" w14:textId="77777777" w:rsidTr="004A46CB">
        <w:trPr>
          <w:trHeight w:val="285"/>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477F46D3" w14:textId="77777777" w:rsidR="004A46CB" w:rsidRPr="004A46CB" w:rsidRDefault="004A46CB"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78CCD601"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Modulation and coding scheme</w:t>
            </w:r>
          </w:p>
        </w:tc>
        <w:tc>
          <w:tcPr>
            <w:tcW w:w="118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653ADDE5"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[5]</w:t>
            </w:r>
          </w:p>
        </w:tc>
        <w:tc>
          <w:tcPr>
            <w:tcW w:w="4404"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1E5F8C03"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Always</w:t>
            </w:r>
          </w:p>
        </w:tc>
      </w:tr>
      <w:tr w:rsidR="004A46CB" w:rsidRPr="004A46CB" w14:paraId="33840E74" w14:textId="77777777" w:rsidTr="004A46CB">
        <w:trPr>
          <w:trHeight w:val="285"/>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396CEC2B" w14:textId="77777777" w:rsidR="004A46CB" w:rsidRPr="004A46CB" w:rsidRDefault="004A46CB"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22AD00A5"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 xml:space="preserve">New data indicator </w:t>
            </w:r>
          </w:p>
        </w:tc>
        <w:tc>
          <w:tcPr>
            <w:tcW w:w="118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61FE774E"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[1]</w:t>
            </w:r>
          </w:p>
        </w:tc>
        <w:tc>
          <w:tcPr>
            <w:tcW w:w="4404"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7A33E278"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Always</w:t>
            </w:r>
          </w:p>
        </w:tc>
      </w:tr>
      <w:tr w:rsidR="004A46CB" w:rsidRPr="004A46CB" w14:paraId="7AC92D66" w14:textId="77777777" w:rsidTr="004A46CB">
        <w:trPr>
          <w:trHeight w:val="285"/>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6C2B5187" w14:textId="77777777" w:rsidR="004A46CB" w:rsidRPr="004A46CB" w:rsidRDefault="004A46CB"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54E39CA1"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Redundancy version</w:t>
            </w:r>
          </w:p>
        </w:tc>
        <w:tc>
          <w:tcPr>
            <w:tcW w:w="118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3AFCBE9B"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[2]</w:t>
            </w:r>
          </w:p>
        </w:tc>
        <w:tc>
          <w:tcPr>
            <w:tcW w:w="4404"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0D290C4A"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Always</w:t>
            </w:r>
          </w:p>
        </w:tc>
      </w:tr>
      <w:tr w:rsidR="004A46CB" w:rsidRPr="004A46CB" w14:paraId="45D49962" w14:textId="77777777" w:rsidTr="004A46CB">
        <w:trPr>
          <w:trHeight w:val="285"/>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12DF9CF1" w14:textId="77777777" w:rsidR="004A46CB" w:rsidRPr="004A46CB" w:rsidRDefault="004A46CB"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279478D5" w14:textId="316AC406"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CBG index for re-transmission</w:t>
            </w:r>
            <w:r>
              <w:rPr>
                <w:rFonts w:ascii="Calibri" w:eastAsia="Yu Gothic" w:hAnsi="Calibri" w:cs="Calibri"/>
                <w:color w:val="000000"/>
                <w:sz w:val="20"/>
                <w:szCs w:val="16"/>
                <w:lang w:val="en-US"/>
              </w:rPr>
              <w:t xml:space="preserve"> [4</w:t>
            </w:r>
            <w:r w:rsidR="007542F3">
              <w:rPr>
                <w:rFonts w:ascii="Calibri" w:eastAsia="Yu Gothic" w:hAnsi="Calibri" w:cs="Calibri"/>
                <w:color w:val="000000"/>
                <w:sz w:val="20"/>
                <w:szCs w:val="16"/>
                <w:lang w:val="en-US"/>
              </w:rPr>
              <w:t>, 5</w:t>
            </w:r>
            <w:r>
              <w:rPr>
                <w:rFonts w:ascii="Calibri" w:eastAsia="Yu Gothic" w:hAnsi="Calibri" w:cs="Calibri"/>
                <w:color w:val="000000"/>
                <w:sz w:val="20"/>
                <w:szCs w:val="16"/>
                <w:lang w:val="en-US"/>
              </w:rPr>
              <w:t>]</w:t>
            </w:r>
          </w:p>
        </w:tc>
        <w:tc>
          <w:tcPr>
            <w:tcW w:w="118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05EC4E76"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[0 - 4]</w:t>
            </w:r>
          </w:p>
        </w:tc>
        <w:tc>
          <w:tcPr>
            <w:tcW w:w="4404"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558AB87E"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Configurable with CBG-based re-transmission</w:t>
            </w:r>
          </w:p>
        </w:tc>
      </w:tr>
      <w:tr w:rsidR="004A46CB" w:rsidRPr="004A46CB" w14:paraId="180AE906" w14:textId="77777777" w:rsidTr="004A46CB">
        <w:trPr>
          <w:trHeight w:val="285"/>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080D15C1" w14:textId="77777777" w:rsidR="004A46CB" w:rsidRPr="004A46CB" w:rsidRDefault="004A46CB"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790835B9" w14:textId="03BB84C1"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Layers and DMRS ports/patterns</w:t>
            </w:r>
            <w:r w:rsidR="007542F3">
              <w:rPr>
                <w:rFonts w:ascii="Calibri" w:eastAsia="Yu Gothic" w:hAnsi="Calibri" w:cs="Calibri"/>
                <w:color w:val="000000"/>
                <w:sz w:val="20"/>
                <w:szCs w:val="16"/>
                <w:lang w:val="en-US"/>
              </w:rPr>
              <w:t xml:space="preserve"> </w:t>
            </w:r>
          </w:p>
        </w:tc>
        <w:tc>
          <w:tcPr>
            <w:tcW w:w="118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4B01E547"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[2 - 6]</w:t>
            </w:r>
          </w:p>
        </w:tc>
        <w:tc>
          <w:tcPr>
            <w:tcW w:w="4404"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22C5C45D"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Part of MIMO configuration</w:t>
            </w:r>
          </w:p>
        </w:tc>
      </w:tr>
      <w:tr w:rsidR="004A46CB" w:rsidRPr="004A46CB" w14:paraId="4B3D36A4" w14:textId="77777777" w:rsidTr="004A46CB">
        <w:trPr>
          <w:trHeight w:val="285"/>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759A385C" w14:textId="77777777" w:rsidR="004A46CB" w:rsidRPr="004A46CB" w:rsidRDefault="004A46CB"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38710F91" w14:textId="4BE08E1E"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QCL indication</w:t>
            </w:r>
            <w:r w:rsidR="007542F3">
              <w:rPr>
                <w:rFonts w:ascii="Calibri" w:eastAsia="Yu Gothic" w:hAnsi="Calibri" w:cs="Calibri"/>
                <w:color w:val="000000"/>
                <w:sz w:val="20"/>
                <w:szCs w:val="16"/>
                <w:lang w:val="en-US"/>
              </w:rPr>
              <w:t xml:space="preserve"> [</w:t>
            </w:r>
            <w:r w:rsidR="00441827">
              <w:rPr>
                <w:rFonts w:ascii="Calibri" w:eastAsia="Yu Gothic" w:hAnsi="Calibri" w:cs="Calibri"/>
                <w:color w:val="000000"/>
                <w:sz w:val="20"/>
                <w:szCs w:val="16"/>
                <w:lang w:val="en-US"/>
              </w:rPr>
              <w:t>6</w:t>
            </w:r>
            <w:r>
              <w:rPr>
                <w:rFonts w:ascii="Calibri" w:eastAsia="Yu Gothic" w:hAnsi="Calibri" w:cs="Calibri"/>
                <w:color w:val="000000"/>
                <w:sz w:val="20"/>
                <w:szCs w:val="16"/>
                <w:lang w:val="en-US"/>
              </w:rPr>
              <w:t>]</w:t>
            </w:r>
          </w:p>
        </w:tc>
        <w:tc>
          <w:tcPr>
            <w:tcW w:w="118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646F081D"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[2]</w:t>
            </w:r>
          </w:p>
        </w:tc>
        <w:tc>
          <w:tcPr>
            <w:tcW w:w="4404"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12972398"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Part of MIMO configuration</w:t>
            </w:r>
          </w:p>
        </w:tc>
      </w:tr>
      <w:tr w:rsidR="004A46CB" w:rsidRPr="004A46CB" w14:paraId="29D59540" w14:textId="77777777" w:rsidTr="004A46CB">
        <w:trPr>
          <w:trHeight w:val="285"/>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22010CD3" w14:textId="77777777" w:rsidR="004A46CB" w:rsidRPr="004A46CB" w:rsidRDefault="004A46CB"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1D55C3EF"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SRS request</w:t>
            </w:r>
          </w:p>
        </w:tc>
        <w:tc>
          <w:tcPr>
            <w:tcW w:w="1180"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7E4A7406"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[2]</w:t>
            </w:r>
          </w:p>
        </w:tc>
        <w:tc>
          <w:tcPr>
            <w:tcW w:w="4404" w:type="dxa"/>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0951FFF8" w14:textId="77777777" w:rsidR="004A46CB" w:rsidRPr="004A46CB" w:rsidRDefault="004A46CB"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Configurable</w:t>
            </w:r>
          </w:p>
        </w:tc>
      </w:tr>
      <w:tr w:rsidR="00076006" w:rsidRPr="004A46CB" w14:paraId="6960AE83" w14:textId="77777777" w:rsidTr="00466C93">
        <w:trPr>
          <w:trHeight w:val="285"/>
        </w:trPr>
        <w:tc>
          <w:tcPr>
            <w:tcW w:w="941" w:type="dxa"/>
            <w:vMerge w:val="restart"/>
            <w:tcBorders>
              <w:top w:val="single" w:sz="4" w:space="0" w:color="auto"/>
              <w:left w:val="single" w:sz="4" w:space="0" w:color="auto"/>
              <w:right w:val="single" w:sz="4" w:space="0" w:color="auto"/>
            </w:tcBorders>
            <w:shd w:val="clear" w:color="000000" w:fill="D9E1F2"/>
            <w:noWrap/>
            <w:vAlign w:val="center"/>
            <w:hideMark/>
          </w:tcPr>
          <w:p w14:paraId="01CB8F05" w14:textId="77777777" w:rsidR="00076006" w:rsidRPr="004A46CB" w:rsidRDefault="00076006"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DL</w:t>
            </w:r>
          </w:p>
        </w:tc>
        <w:tc>
          <w:tcPr>
            <w:tcW w:w="3685"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93A7354" w14:textId="00B902F9" w:rsidR="00076006" w:rsidRPr="004A46CB" w:rsidRDefault="00076006"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HARQ-ACK timing/resource</w:t>
            </w:r>
            <w:r>
              <w:rPr>
                <w:rFonts w:ascii="Calibri" w:eastAsia="Yu Gothic" w:hAnsi="Calibri" w:cs="Calibri"/>
                <w:color w:val="000000"/>
                <w:sz w:val="20"/>
                <w:szCs w:val="16"/>
                <w:lang w:val="en-US"/>
              </w:rPr>
              <w:t xml:space="preserve"> [</w:t>
            </w:r>
            <w:r w:rsidR="00441827">
              <w:rPr>
                <w:rFonts w:ascii="Calibri" w:eastAsia="Yu Gothic" w:hAnsi="Calibri" w:cs="Calibri"/>
                <w:color w:val="000000"/>
                <w:sz w:val="20"/>
                <w:szCs w:val="16"/>
                <w:lang w:val="en-US"/>
              </w:rPr>
              <w:t>7</w:t>
            </w:r>
            <w:r>
              <w:rPr>
                <w:rFonts w:ascii="Calibri" w:eastAsia="Yu Gothic" w:hAnsi="Calibri" w:cs="Calibri"/>
                <w:color w:val="000000"/>
                <w:sz w:val="20"/>
                <w:szCs w:val="16"/>
                <w:lang w:val="en-US"/>
              </w:rPr>
              <w:t>]</w:t>
            </w:r>
          </w:p>
        </w:tc>
        <w:tc>
          <w:tcPr>
            <w:tcW w:w="1180"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267466B" w14:textId="77777777" w:rsidR="00076006" w:rsidRPr="004A46CB" w:rsidRDefault="00076006"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[2 - 4]</w:t>
            </w:r>
          </w:p>
        </w:tc>
        <w:tc>
          <w:tcPr>
            <w:tcW w:w="4404"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F054CD0" w14:textId="77777777" w:rsidR="00076006" w:rsidRPr="004A46CB" w:rsidRDefault="00076006"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Always</w:t>
            </w:r>
          </w:p>
        </w:tc>
      </w:tr>
      <w:tr w:rsidR="00076006" w:rsidRPr="004A46CB" w14:paraId="3B42C1FD" w14:textId="77777777" w:rsidTr="00466C93">
        <w:trPr>
          <w:trHeight w:val="285"/>
        </w:trPr>
        <w:tc>
          <w:tcPr>
            <w:tcW w:w="941" w:type="dxa"/>
            <w:vMerge/>
            <w:tcBorders>
              <w:left w:val="single" w:sz="4" w:space="0" w:color="auto"/>
              <w:right w:val="single" w:sz="4" w:space="0" w:color="auto"/>
            </w:tcBorders>
            <w:vAlign w:val="center"/>
            <w:hideMark/>
          </w:tcPr>
          <w:p w14:paraId="3D13C775" w14:textId="77777777" w:rsidR="00076006" w:rsidRPr="004A46CB" w:rsidRDefault="00076006"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AD7B49D" w14:textId="54B3B76A" w:rsidR="00076006" w:rsidRPr="004A46CB" w:rsidRDefault="00076006"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Indication for HARQ-ACK multiplexing (e.g., DAI)</w:t>
            </w:r>
            <w:r>
              <w:rPr>
                <w:rFonts w:ascii="Calibri" w:eastAsia="Yu Gothic" w:hAnsi="Calibri" w:cs="Calibri"/>
                <w:color w:val="000000"/>
                <w:sz w:val="20"/>
                <w:szCs w:val="16"/>
                <w:lang w:val="en-US"/>
              </w:rPr>
              <w:t xml:space="preserve"> [</w:t>
            </w:r>
            <w:r w:rsidR="00441827">
              <w:rPr>
                <w:rFonts w:ascii="Calibri" w:eastAsia="Yu Gothic" w:hAnsi="Calibri" w:cs="Calibri"/>
                <w:color w:val="000000"/>
                <w:sz w:val="20"/>
                <w:szCs w:val="16"/>
                <w:lang w:val="en-US"/>
              </w:rPr>
              <w:t>8</w:t>
            </w:r>
            <w:r>
              <w:rPr>
                <w:rFonts w:ascii="Calibri" w:eastAsia="Yu Gothic" w:hAnsi="Calibri" w:cs="Calibri"/>
                <w:color w:val="000000"/>
                <w:sz w:val="20"/>
                <w:szCs w:val="16"/>
                <w:lang w:val="en-US"/>
              </w:rPr>
              <w:t>]</w:t>
            </w:r>
          </w:p>
        </w:tc>
        <w:tc>
          <w:tcPr>
            <w:tcW w:w="1180"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038AE1A" w14:textId="77777777" w:rsidR="00076006" w:rsidRPr="004A46CB" w:rsidRDefault="00076006"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[2 - 3]</w:t>
            </w:r>
          </w:p>
        </w:tc>
        <w:tc>
          <w:tcPr>
            <w:tcW w:w="4404"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97BBE5D" w14:textId="77777777" w:rsidR="00076006" w:rsidRPr="004A46CB" w:rsidRDefault="00076006"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Configurable</w:t>
            </w:r>
          </w:p>
        </w:tc>
      </w:tr>
      <w:tr w:rsidR="00076006" w:rsidRPr="004A46CB" w14:paraId="2097ADF5" w14:textId="77777777" w:rsidTr="00466C93">
        <w:trPr>
          <w:trHeight w:val="285"/>
        </w:trPr>
        <w:tc>
          <w:tcPr>
            <w:tcW w:w="941" w:type="dxa"/>
            <w:vMerge/>
            <w:tcBorders>
              <w:left w:val="single" w:sz="4" w:space="0" w:color="auto"/>
              <w:right w:val="single" w:sz="4" w:space="0" w:color="auto"/>
            </w:tcBorders>
            <w:vAlign w:val="center"/>
            <w:hideMark/>
          </w:tcPr>
          <w:p w14:paraId="57AB85E9" w14:textId="77777777" w:rsidR="00076006" w:rsidRPr="004A46CB" w:rsidRDefault="00076006"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A3D23DE" w14:textId="77777777" w:rsidR="00076006" w:rsidRPr="004A46CB" w:rsidRDefault="00076006"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TPC command for PUCCH</w:t>
            </w:r>
          </w:p>
        </w:tc>
        <w:tc>
          <w:tcPr>
            <w:tcW w:w="1180"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695EEE3" w14:textId="77777777" w:rsidR="00076006" w:rsidRPr="004A46CB" w:rsidRDefault="00076006"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[2]</w:t>
            </w:r>
          </w:p>
        </w:tc>
        <w:tc>
          <w:tcPr>
            <w:tcW w:w="4404"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0FA623F" w14:textId="77777777" w:rsidR="00076006" w:rsidRPr="004A46CB" w:rsidRDefault="00076006"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Always</w:t>
            </w:r>
          </w:p>
        </w:tc>
      </w:tr>
      <w:tr w:rsidR="00076006" w:rsidRPr="004A46CB" w14:paraId="3817602C" w14:textId="77777777" w:rsidTr="00466C93">
        <w:trPr>
          <w:trHeight w:val="285"/>
        </w:trPr>
        <w:tc>
          <w:tcPr>
            <w:tcW w:w="941" w:type="dxa"/>
            <w:vMerge/>
            <w:tcBorders>
              <w:left w:val="single" w:sz="4" w:space="0" w:color="auto"/>
              <w:bottom w:val="single" w:sz="4" w:space="0" w:color="auto"/>
              <w:right w:val="single" w:sz="4" w:space="0" w:color="auto"/>
            </w:tcBorders>
            <w:vAlign w:val="center"/>
          </w:tcPr>
          <w:p w14:paraId="589FBE6F" w14:textId="77777777" w:rsidR="00076006" w:rsidRPr="004A46CB" w:rsidRDefault="00076006"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D9E1F2"/>
            <w:noWrap/>
            <w:vAlign w:val="center"/>
          </w:tcPr>
          <w:p w14:paraId="03598BAF" w14:textId="4FD06A15" w:rsidR="00076006" w:rsidRPr="004A46CB" w:rsidRDefault="00076006" w:rsidP="004A46CB">
            <w:pPr>
              <w:rPr>
                <w:rFonts w:ascii="Calibri" w:eastAsia="Yu Gothic" w:hAnsi="Calibri" w:cs="Calibri"/>
                <w:color w:val="000000"/>
                <w:sz w:val="20"/>
                <w:szCs w:val="16"/>
                <w:lang w:val="en-US"/>
              </w:rPr>
            </w:pPr>
            <w:r>
              <w:rPr>
                <w:rFonts w:ascii="Calibri" w:eastAsia="Yu Gothic" w:hAnsi="Calibri" w:cs="Calibri" w:hint="eastAsia"/>
                <w:color w:val="000000"/>
                <w:sz w:val="20"/>
                <w:szCs w:val="16"/>
                <w:lang w:val="en-US"/>
              </w:rPr>
              <w:t>Rx beam indication</w:t>
            </w:r>
          </w:p>
        </w:tc>
        <w:tc>
          <w:tcPr>
            <w:tcW w:w="1180" w:type="dxa"/>
            <w:tcBorders>
              <w:top w:val="single" w:sz="4" w:space="0" w:color="auto"/>
              <w:left w:val="single" w:sz="4" w:space="0" w:color="auto"/>
              <w:bottom w:val="single" w:sz="4" w:space="0" w:color="auto"/>
              <w:right w:val="single" w:sz="4" w:space="0" w:color="auto"/>
            </w:tcBorders>
            <w:shd w:val="clear" w:color="000000" w:fill="D9E1F2"/>
            <w:noWrap/>
            <w:vAlign w:val="center"/>
          </w:tcPr>
          <w:p w14:paraId="1D506682" w14:textId="1D92A72E" w:rsidR="00076006" w:rsidRPr="004A46CB" w:rsidRDefault="00076006" w:rsidP="004A46CB">
            <w:pPr>
              <w:rPr>
                <w:rFonts w:ascii="Calibri" w:eastAsia="Yu Gothic" w:hAnsi="Calibri" w:cs="Calibri"/>
                <w:color w:val="000000"/>
                <w:sz w:val="20"/>
                <w:szCs w:val="16"/>
                <w:lang w:val="en-US"/>
              </w:rPr>
            </w:pPr>
            <w:r>
              <w:rPr>
                <w:rFonts w:ascii="Calibri" w:eastAsia="Yu Gothic" w:hAnsi="Calibri" w:cs="Calibri" w:hint="eastAsia"/>
                <w:color w:val="000000"/>
                <w:sz w:val="20"/>
                <w:szCs w:val="16"/>
                <w:lang w:val="en-US"/>
              </w:rPr>
              <w:t>[2]</w:t>
            </w:r>
          </w:p>
        </w:tc>
        <w:tc>
          <w:tcPr>
            <w:tcW w:w="4404" w:type="dxa"/>
            <w:tcBorders>
              <w:top w:val="single" w:sz="4" w:space="0" w:color="auto"/>
              <w:left w:val="single" w:sz="4" w:space="0" w:color="auto"/>
              <w:bottom w:val="single" w:sz="4" w:space="0" w:color="auto"/>
              <w:right w:val="single" w:sz="4" w:space="0" w:color="auto"/>
            </w:tcBorders>
            <w:shd w:val="clear" w:color="000000" w:fill="D9E1F2"/>
            <w:noWrap/>
            <w:vAlign w:val="center"/>
          </w:tcPr>
          <w:p w14:paraId="307949F7" w14:textId="1FD7574F" w:rsidR="00076006" w:rsidRPr="004A46CB" w:rsidRDefault="00076006" w:rsidP="004A46CB">
            <w:pPr>
              <w:rPr>
                <w:rFonts w:ascii="Calibri" w:eastAsia="Yu Gothic" w:hAnsi="Calibri" w:cs="Calibri"/>
                <w:color w:val="000000"/>
                <w:sz w:val="20"/>
                <w:szCs w:val="16"/>
                <w:lang w:val="en-US"/>
              </w:rPr>
            </w:pPr>
            <w:r>
              <w:rPr>
                <w:rFonts w:ascii="Calibri" w:eastAsia="Yu Gothic" w:hAnsi="Calibri" w:cs="Calibri" w:hint="eastAsia"/>
                <w:color w:val="000000"/>
                <w:sz w:val="20"/>
                <w:szCs w:val="16"/>
                <w:lang w:val="en-US"/>
              </w:rPr>
              <w:t>Configurable</w:t>
            </w:r>
          </w:p>
        </w:tc>
      </w:tr>
      <w:tr w:rsidR="001D0B15" w:rsidRPr="004A46CB" w14:paraId="7BC66C9B" w14:textId="77777777" w:rsidTr="00D73D3B">
        <w:trPr>
          <w:trHeight w:val="285"/>
        </w:trPr>
        <w:tc>
          <w:tcPr>
            <w:tcW w:w="941" w:type="dxa"/>
            <w:vMerge w:val="restart"/>
            <w:tcBorders>
              <w:top w:val="single" w:sz="4" w:space="0" w:color="auto"/>
              <w:left w:val="single" w:sz="4" w:space="0" w:color="auto"/>
              <w:right w:val="single" w:sz="4" w:space="0" w:color="auto"/>
            </w:tcBorders>
            <w:shd w:val="clear" w:color="000000" w:fill="FCE4D6"/>
            <w:noWrap/>
            <w:vAlign w:val="center"/>
            <w:hideMark/>
          </w:tcPr>
          <w:p w14:paraId="75F943C7" w14:textId="77777777" w:rsidR="001D0B15" w:rsidRPr="004A46CB" w:rsidRDefault="001D0B15"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UL</w:t>
            </w:r>
          </w:p>
        </w:tc>
        <w:tc>
          <w:tcPr>
            <w:tcW w:w="3685"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76AA2256" w14:textId="5D49A023" w:rsidR="001D0B15" w:rsidRPr="004A46CB" w:rsidRDefault="001D0B15" w:rsidP="004A46CB">
            <w:pPr>
              <w:rPr>
                <w:rFonts w:ascii="Calibri" w:eastAsia="Yu Gothic" w:hAnsi="Calibri" w:cs="Calibri"/>
                <w:color w:val="000000"/>
                <w:sz w:val="20"/>
                <w:szCs w:val="16"/>
                <w:lang w:val="en-US"/>
              </w:rPr>
            </w:pPr>
            <w:r>
              <w:rPr>
                <w:rFonts w:ascii="Calibri" w:eastAsia="Yu Gothic" w:hAnsi="Calibri" w:cs="Calibri"/>
                <w:color w:val="000000"/>
                <w:sz w:val="20"/>
                <w:szCs w:val="16"/>
                <w:lang w:val="en-US"/>
              </w:rPr>
              <w:t xml:space="preserve">Aperiodic CSI-RS </w:t>
            </w:r>
          </w:p>
        </w:tc>
        <w:tc>
          <w:tcPr>
            <w:tcW w:w="1180"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77F43B32" w14:textId="77777777" w:rsidR="001D0B15" w:rsidRPr="004A46CB" w:rsidRDefault="001D0B15"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[2]</w:t>
            </w:r>
          </w:p>
        </w:tc>
        <w:tc>
          <w:tcPr>
            <w:tcW w:w="4404"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6F8FD40A" w14:textId="77777777" w:rsidR="001D0B15" w:rsidRPr="004A46CB" w:rsidRDefault="001D0B15"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Configurable</w:t>
            </w:r>
          </w:p>
        </w:tc>
      </w:tr>
      <w:tr w:rsidR="001D0B15" w:rsidRPr="004A46CB" w14:paraId="0C814CC6" w14:textId="77777777" w:rsidTr="00D73D3B">
        <w:trPr>
          <w:trHeight w:val="285"/>
        </w:trPr>
        <w:tc>
          <w:tcPr>
            <w:tcW w:w="941" w:type="dxa"/>
            <w:vMerge/>
            <w:tcBorders>
              <w:left w:val="single" w:sz="4" w:space="0" w:color="auto"/>
              <w:right w:val="single" w:sz="4" w:space="0" w:color="auto"/>
            </w:tcBorders>
            <w:vAlign w:val="center"/>
            <w:hideMark/>
          </w:tcPr>
          <w:p w14:paraId="06416295" w14:textId="77777777" w:rsidR="001D0B15" w:rsidRPr="004A46CB" w:rsidRDefault="001D0B15"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156FB3BD" w14:textId="77777777" w:rsidR="001D0B15" w:rsidRPr="004A46CB" w:rsidRDefault="001D0B15"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TPC command for PUSCH</w:t>
            </w:r>
          </w:p>
        </w:tc>
        <w:tc>
          <w:tcPr>
            <w:tcW w:w="1180"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794F29AE" w14:textId="77777777" w:rsidR="001D0B15" w:rsidRPr="004A46CB" w:rsidRDefault="001D0B15"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[2]</w:t>
            </w:r>
          </w:p>
        </w:tc>
        <w:tc>
          <w:tcPr>
            <w:tcW w:w="4404"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6CFEF81C" w14:textId="77777777" w:rsidR="001D0B15" w:rsidRPr="004A46CB" w:rsidRDefault="001D0B15" w:rsidP="004A46CB">
            <w:pPr>
              <w:rPr>
                <w:rFonts w:ascii="Calibri" w:eastAsia="Yu Gothic" w:hAnsi="Calibri" w:cs="Calibri"/>
                <w:color w:val="000000"/>
                <w:sz w:val="20"/>
                <w:szCs w:val="16"/>
                <w:lang w:val="en-US"/>
              </w:rPr>
            </w:pPr>
            <w:r w:rsidRPr="004A46CB">
              <w:rPr>
                <w:rFonts w:ascii="Calibri" w:eastAsia="Yu Gothic" w:hAnsi="Calibri" w:cs="Calibri"/>
                <w:color w:val="000000"/>
                <w:sz w:val="20"/>
                <w:szCs w:val="16"/>
                <w:lang w:val="en-US"/>
              </w:rPr>
              <w:t>Always</w:t>
            </w:r>
          </w:p>
        </w:tc>
      </w:tr>
      <w:tr w:rsidR="001D0B15" w:rsidRPr="004A46CB" w14:paraId="06D82521" w14:textId="77777777" w:rsidTr="00EB1138">
        <w:trPr>
          <w:trHeight w:val="285"/>
        </w:trPr>
        <w:tc>
          <w:tcPr>
            <w:tcW w:w="941" w:type="dxa"/>
            <w:vMerge/>
            <w:tcBorders>
              <w:left w:val="single" w:sz="4" w:space="0" w:color="auto"/>
              <w:right w:val="single" w:sz="4" w:space="0" w:color="auto"/>
            </w:tcBorders>
            <w:vAlign w:val="center"/>
          </w:tcPr>
          <w:p w14:paraId="733334A1" w14:textId="77777777" w:rsidR="001D0B15" w:rsidRPr="004A46CB" w:rsidRDefault="001D0B15" w:rsidP="004A46CB">
            <w:pPr>
              <w:rPr>
                <w:rFonts w:ascii="Calibri" w:eastAsia="Yu Gothic" w:hAnsi="Calibri" w:cs="Calibri"/>
                <w:color w:val="000000"/>
                <w:sz w:val="20"/>
                <w:szCs w:val="16"/>
                <w:lang w:val="en-US"/>
              </w:rPr>
            </w:pPr>
          </w:p>
        </w:tc>
        <w:tc>
          <w:tcPr>
            <w:tcW w:w="3685"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0E770704" w14:textId="4C178E84" w:rsidR="001D0B15" w:rsidRPr="004A46CB" w:rsidRDefault="001D0B15" w:rsidP="004A46CB">
            <w:pPr>
              <w:rPr>
                <w:rFonts w:ascii="Calibri" w:eastAsia="Yu Gothic" w:hAnsi="Calibri" w:cs="Calibri"/>
                <w:color w:val="000000"/>
                <w:sz w:val="20"/>
                <w:szCs w:val="16"/>
                <w:lang w:val="en-US"/>
              </w:rPr>
            </w:pPr>
            <w:r w:rsidRPr="00793A3A">
              <w:rPr>
                <w:rFonts w:ascii="Calibri" w:eastAsia="Yu Gothic" w:hAnsi="Calibri" w:cs="Calibri"/>
                <w:color w:val="000000"/>
                <w:sz w:val="20"/>
                <w:szCs w:val="16"/>
                <w:lang w:val="en-US"/>
              </w:rPr>
              <w:t xml:space="preserve">Precoding information and </w:t>
            </w:r>
            <w:r>
              <w:rPr>
                <w:rFonts w:ascii="Calibri" w:eastAsia="Yu Gothic" w:hAnsi="Calibri" w:cs="Calibri" w:hint="eastAsia"/>
                <w:color w:val="000000"/>
                <w:sz w:val="20"/>
                <w:szCs w:val="16"/>
                <w:lang w:val="en-US"/>
              </w:rPr>
              <w:t>no</w:t>
            </w:r>
            <w:r>
              <w:rPr>
                <w:rFonts w:ascii="Calibri" w:eastAsia="Yu Gothic" w:hAnsi="Calibri" w:cs="Calibri"/>
                <w:color w:val="000000"/>
                <w:sz w:val="20"/>
                <w:szCs w:val="16"/>
                <w:lang w:val="en-US"/>
              </w:rPr>
              <w:t xml:space="preserve">. </w:t>
            </w:r>
            <w:r w:rsidRPr="00793A3A">
              <w:rPr>
                <w:rFonts w:ascii="Calibri" w:eastAsia="Yu Gothic" w:hAnsi="Calibri" w:cs="Calibri"/>
                <w:color w:val="000000"/>
                <w:sz w:val="20"/>
                <w:szCs w:val="16"/>
                <w:lang w:val="en-US"/>
              </w:rPr>
              <w:t>of layers</w:t>
            </w:r>
          </w:p>
        </w:tc>
        <w:tc>
          <w:tcPr>
            <w:tcW w:w="1180"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0754E81E" w14:textId="66363686" w:rsidR="001D0B15" w:rsidRPr="004A46CB" w:rsidRDefault="001D0B15" w:rsidP="004A46CB">
            <w:pPr>
              <w:rPr>
                <w:rFonts w:ascii="Calibri" w:eastAsia="Yu Gothic" w:hAnsi="Calibri" w:cs="Calibri"/>
                <w:color w:val="000000"/>
                <w:sz w:val="20"/>
                <w:szCs w:val="16"/>
                <w:lang w:val="en-US"/>
              </w:rPr>
            </w:pPr>
            <w:r>
              <w:rPr>
                <w:rFonts w:ascii="Calibri" w:eastAsia="Yu Gothic" w:hAnsi="Calibri" w:cs="Calibri" w:hint="eastAsia"/>
                <w:color w:val="000000"/>
                <w:sz w:val="20"/>
                <w:szCs w:val="16"/>
                <w:lang w:val="en-US"/>
              </w:rPr>
              <w:t>[</w:t>
            </w:r>
            <w:r>
              <w:rPr>
                <w:rFonts w:ascii="Calibri" w:eastAsia="Yu Gothic" w:hAnsi="Calibri" w:cs="Calibri"/>
                <w:color w:val="000000"/>
                <w:sz w:val="20"/>
                <w:szCs w:val="16"/>
                <w:lang w:val="en-US"/>
              </w:rPr>
              <w:t>2 - 4]</w:t>
            </w:r>
          </w:p>
        </w:tc>
        <w:tc>
          <w:tcPr>
            <w:tcW w:w="4404"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5F597B32" w14:textId="6CBB971F" w:rsidR="001D0B15" w:rsidRPr="004A46CB" w:rsidRDefault="001D0B15" w:rsidP="004A46CB">
            <w:pPr>
              <w:rPr>
                <w:rFonts w:ascii="Calibri" w:eastAsia="Yu Gothic" w:hAnsi="Calibri" w:cs="Calibri"/>
                <w:color w:val="000000"/>
                <w:sz w:val="20"/>
                <w:szCs w:val="16"/>
                <w:lang w:val="en-US"/>
              </w:rPr>
            </w:pPr>
            <w:r>
              <w:rPr>
                <w:rFonts w:ascii="Calibri" w:eastAsia="Yu Gothic" w:hAnsi="Calibri" w:cs="Calibri" w:hint="eastAsia"/>
                <w:color w:val="000000"/>
                <w:sz w:val="20"/>
                <w:szCs w:val="16"/>
                <w:lang w:val="en-US"/>
              </w:rPr>
              <w:t>C</w:t>
            </w:r>
            <w:r>
              <w:rPr>
                <w:rFonts w:ascii="Calibri" w:eastAsia="Yu Gothic" w:hAnsi="Calibri" w:cs="Calibri"/>
                <w:color w:val="000000"/>
                <w:sz w:val="20"/>
                <w:szCs w:val="16"/>
                <w:lang w:val="en-US"/>
              </w:rPr>
              <w:t>onfigurable</w:t>
            </w:r>
          </w:p>
        </w:tc>
      </w:tr>
    </w:tbl>
    <w:p w14:paraId="12BBBEA3" w14:textId="5263F4DC" w:rsidR="00FE6899" w:rsidRDefault="00FE6899" w:rsidP="00424E28">
      <w:pPr>
        <w:spacing w:afterLines="50" w:after="120"/>
        <w:jc w:val="both"/>
        <w:rPr>
          <w:rFonts w:eastAsia="ＭＳ 明朝"/>
          <w:sz w:val="22"/>
          <w:lang w:val="en-US"/>
        </w:rPr>
      </w:pPr>
    </w:p>
    <w:p w14:paraId="5FB575AF" w14:textId="77777777" w:rsidR="00A0400B" w:rsidRPr="00AB4965" w:rsidRDefault="00A0400B" w:rsidP="00424E28">
      <w:pPr>
        <w:spacing w:afterLines="50" w:after="120"/>
        <w:jc w:val="both"/>
        <w:rPr>
          <w:rFonts w:eastAsia="ＭＳ 明朝"/>
          <w:sz w:val="22"/>
          <w:lang w:val="en-US"/>
        </w:rPr>
      </w:pPr>
    </w:p>
    <w:p w14:paraId="11119012" w14:textId="4BF5744F" w:rsidR="004A46CB" w:rsidRPr="00424E28" w:rsidRDefault="00F26707" w:rsidP="004A46CB">
      <w:pPr>
        <w:pStyle w:val="1"/>
        <w:numPr>
          <w:ilvl w:val="1"/>
          <w:numId w:val="6"/>
        </w:numPr>
        <w:spacing w:after="120"/>
        <w:jc w:val="both"/>
        <w:rPr>
          <w:b/>
          <w:sz w:val="24"/>
          <w:lang w:val="en-US"/>
        </w:rPr>
      </w:pPr>
      <w:r>
        <w:rPr>
          <w:b/>
          <w:sz w:val="24"/>
          <w:lang w:val="en-US"/>
        </w:rPr>
        <w:t>Notes</w:t>
      </w:r>
      <w:r w:rsidR="00F37B09">
        <w:rPr>
          <w:b/>
          <w:sz w:val="24"/>
          <w:lang w:val="en-US"/>
        </w:rPr>
        <w:t xml:space="preserve"> on </w:t>
      </w:r>
      <w:r>
        <w:rPr>
          <w:b/>
          <w:sz w:val="24"/>
          <w:lang w:val="en-US"/>
        </w:rPr>
        <w:t xml:space="preserve">some </w:t>
      </w:r>
      <w:r w:rsidR="00F37B09">
        <w:rPr>
          <w:b/>
          <w:sz w:val="24"/>
          <w:lang w:val="en-US"/>
        </w:rPr>
        <w:t>DCI field</w:t>
      </w:r>
      <w:r>
        <w:rPr>
          <w:b/>
          <w:sz w:val="24"/>
          <w:lang w:val="en-US"/>
        </w:rPr>
        <w:t>s</w:t>
      </w:r>
    </w:p>
    <w:p w14:paraId="7202FC62" w14:textId="25C2529D" w:rsidR="009617BF" w:rsidRPr="00F26707" w:rsidRDefault="00F37B09" w:rsidP="00F37B09">
      <w:pPr>
        <w:pStyle w:val="afc"/>
        <w:numPr>
          <w:ilvl w:val="0"/>
          <w:numId w:val="48"/>
        </w:numPr>
        <w:spacing w:afterLines="50" w:after="120"/>
        <w:ind w:leftChars="0"/>
        <w:jc w:val="both"/>
        <w:rPr>
          <w:rFonts w:eastAsia="ＭＳ 明朝"/>
          <w:b/>
          <w:sz w:val="22"/>
          <w:lang w:val="en-US"/>
        </w:rPr>
      </w:pPr>
      <w:r w:rsidRPr="00F26707">
        <w:rPr>
          <w:rFonts w:eastAsia="ＭＳ 明朝" w:hint="eastAsia"/>
          <w:b/>
          <w:sz w:val="22"/>
          <w:lang w:val="en-US"/>
        </w:rPr>
        <w:t>Carrier indicator</w:t>
      </w:r>
      <w:r w:rsidRPr="00F26707">
        <w:rPr>
          <w:rFonts w:eastAsia="ＭＳ 明朝"/>
          <w:b/>
          <w:sz w:val="22"/>
          <w:lang w:val="en-US"/>
        </w:rPr>
        <w:t xml:space="preserve"> [1]</w:t>
      </w:r>
    </w:p>
    <w:p w14:paraId="0CCD4200" w14:textId="3522D46D"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hint="eastAsia"/>
          <w:sz w:val="22"/>
          <w:lang w:val="en-US"/>
        </w:rPr>
        <w:t>RAN1 agreed to support NR carrier aggregation with CCs of up to 16.</w:t>
      </w:r>
    </w:p>
    <w:p w14:paraId="143C2DE5" w14:textId="67D86085"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In order to realize cross-carrier scheduling for up to 16 CCs, CIF size is up to 4.</w:t>
      </w:r>
    </w:p>
    <w:p w14:paraId="72FBCA2C" w14:textId="16264579"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It is FFS whether the CIF size is configurable.</w:t>
      </w:r>
    </w:p>
    <w:p w14:paraId="5543F57E" w14:textId="5BA2B0B5" w:rsidR="00F37B09" w:rsidRPr="00F26707" w:rsidRDefault="00F37B09" w:rsidP="00F37B09">
      <w:pPr>
        <w:pStyle w:val="afc"/>
        <w:numPr>
          <w:ilvl w:val="0"/>
          <w:numId w:val="48"/>
        </w:numPr>
        <w:spacing w:afterLines="50" w:after="120"/>
        <w:ind w:leftChars="0"/>
        <w:jc w:val="both"/>
        <w:rPr>
          <w:rFonts w:eastAsia="ＭＳ 明朝"/>
          <w:b/>
          <w:sz w:val="22"/>
          <w:lang w:val="en-US"/>
        </w:rPr>
      </w:pPr>
      <w:r w:rsidRPr="00F26707">
        <w:rPr>
          <w:rFonts w:eastAsia="ＭＳ 明朝"/>
          <w:b/>
          <w:sz w:val="22"/>
          <w:lang w:val="en-US"/>
        </w:rPr>
        <w:lastRenderedPageBreak/>
        <w:t>Resource block assignment [2]</w:t>
      </w:r>
    </w:p>
    <w:p w14:paraId="0B61F908" w14:textId="5F506536"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For LTE, in case of 100 PRBs, the RA field size is at most 25 bits.</w:t>
      </w:r>
    </w:p>
    <w:p w14:paraId="04A7C14B" w14:textId="2A732AC4"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For NR, maximum number of PRBs is at least 275 PRBs. It is expected that RA field size is increased.</w:t>
      </w:r>
    </w:p>
    <w:p w14:paraId="3F630B6F" w14:textId="4C2E5BDE"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 xml:space="preserve">However, considering the payload and benefit of frequency-selective scheduling, RBG size </w:t>
      </w:r>
      <w:r w:rsidR="009437BE">
        <w:rPr>
          <w:rFonts w:eastAsia="ＭＳ 明朝"/>
          <w:sz w:val="22"/>
          <w:lang w:val="en-US"/>
        </w:rPr>
        <w:t xml:space="preserve">can </w:t>
      </w:r>
      <w:r>
        <w:rPr>
          <w:rFonts w:eastAsia="ＭＳ 明朝"/>
          <w:sz w:val="22"/>
          <w:lang w:val="en-US"/>
        </w:rPr>
        <w:t xml:space="preserve">be increased for more than 100 PRBs. </w:t>
      </w:r>
      <w:r w:rsidR="009437BE">
        <w:rPr>
          <w:rFonts w:eastAsia="ＭＳ 明朝"/>
          <w:sz w:val="22"/>
          <w:lang w:val="en-US"/>
        </w:rPr>
        <w:t>FFS how many bits are necessary for</w:t>
      </w:r>
      <w:r>
        <w:rPr>
          <w:rFonts w:eastAsia="ＭＳ 明朝"/>
          <w:sz w:val="22"/>
          <w:lang w:val="en-US"/>
        </w:rPr>
        <w:t xml:space="preserve"> RA field </w:t>
      </w:r>
      <w:r w:rsidR="009437BE">
        <w:rPr>
          <w:rFonts w:eastAsia="ＭＳ 明朝"/>
          <w:sz w:val="22"/>
          <w:lang w:val="en-US"/>
        </w:rPr>
        <w:t>, e.g.,</w:t>
      </w:r>
      <w:r>
        <w:rPr>
          <w:rFonts w:eastAsia="ＭＳ 明朝"/>
          <w:sz w:val="22"/>
          <w:lang w:val="en-US"/>
        </w:rPr>
        <w:t xml:space="preserve"> up to around 30 bits.</w:t>
      </w:r>
    </w:p>
    <w:p w14:paraId="07FF6A56" w14:textId="786FEE81" w:rsidR="00F37B09" w:rsidRPr="00F26707" w:rsidRDefault="00F37B09" w:rsidP="00F37B09">
      <w:pPr>
        <w:pStyle w:val="afc"/>
        <w:numPr>
          <w:ilvl w:val="0"/>
          <w:numId w:val="48"/>
        </w:numPr>
        <w:spacing w:afterLines="50" w:after="120"/>
        <w:ind w:leftChars="0"/>
        <w:jc w:val="both"/>
        <w:rPr>
          <w:rFonts w:eastAsia="ＭＳ 明朝"/>
          <w:b/>
          <w:sz w:val="22"/>
          <w:lang w:val="en-US"/>
        </w:rPr>
      </w:pPr>
      <w:r w:rsidRPr="00F26707">
        <w:rPr>
          <w:rFonts w:eastAsia="ＭＳ 明朝"/>
          <w:b/>
          <w:sz w:val="22"/>
          <w:lang w:val="en-US"/>
        </w:rPr>
        <w:t>Data duration and stating timing [2]</w:t>
      </w:r>
    </w:p>
    <w:p w14:paraId="791DB688" w14:textId="3D3FA10E"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For NR, flexible data scheduling timing/duration will be supported.</w:t>
      </w:r>
    </w:p>
    <w:p w14:paraId="4D127671" w14:textId="5C3CBFA0"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Considering one slot has up to 14 symbols, up to 4 bits could be reasonable.</w:t>
      </w:r>
    </w:p>
    <w:p w14:paraId="219033D2" w14:textId="03486A27"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This field should also be usable for slot aggregation.</w:t>
      </w:r>
    </w:p>
    <w:p w14:paraId="0C1CFC44" w14:textId="269A1929" w:rsidR="00F37B09" w:rsidRPr="00F26707" w:rsidRDefault="00F37B09" w:rsidP="00F37B09">
      <w:pPr>
        <w:pStyle w:val="afc"/>
        <w:numPr>
          <w:ilvl w:val="0"/>
          <w:numId w:val="48"/>
        </w:numPr>
        <w:spacing w:afterLines="50" w:after="120"/>
        <w:ind w:leftChars="0"/>
        <w:jc w:val="both"/>
        <w:rPr>
          <w:rFonts w:eastAsia="ＭＳ 明朝"/>
          <w:b/>
          <w:sz w:val="22"/>
          <w:lang w:val="en-US"/>
        </w:rPr>
      </w:pPr>
      <w:r w:rsidRPr="00F26707">
        <w:rPr>
          <w:rFonts w:eastAsia="ＭＳ 明朝"/>
          <w:b/>
          <w:sz w:val="22"/>
          <w:lang w:val="en-US"/>
        </w:rPr>
        <w:t>HARQ process number [3]</w:t>
      </w:r>
    </w:p>
    <w:p w14:paraId="00C40833" w14:textId="4CAB3678"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Considering realistic NR scenarios, up to 16 HARQ processes would be necessary.</w:t>
      </w:r>
    </w:p>
    <w:p w14:paraId="5F556C9D" w14:textId="495C32B7"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On the other hand, in order to realize efficient operation, the number of HARQ processes can be reduced by configuration.</w:t>
      </w:r>
    </w:p>
    <w:p w14:paraId="71126946" w14:textId="07ABDC62" w:rsidR="00F37B09" w:rsidRPr="00F26707" w:rsidRDefault="00F37B09" w:rsidP="00F37B09">
      <w:pPr>
        <w:pStyle w:val="afc"/>
        <w:numPr>
          <w:ilvl w:val="0"/>
          <w:numId w:val="48"/>
        </w:numPr>
        <w:spacing w:afterLines="50" w:after="120"/>
        <w:ind w:leftChars="0"/>
        <w:jc w:val="both"/>
        <w:rPr>
          <w:rFonts w:eastAsia="ＭＳ 明朝"/>
          <w:b/>
          <w:sz w:val="22"/>
          <w:lang w:val="en-US"/>
        </w:rPr>
      </w:pPr>
      <w:r w:rsidRPr="00F26707">
        <w:rPr>
          <w:rFonts w:eastAsia="ＭＳ 明朝"/>
          <w:b/>
          <w:sz w:val="22"/>
          <w:lang w:val="en-US"/>
        </w:rPr>
        <w:t>CBG index for re-transmission [4</w:t>
      </w:r>
      <w:r w:rsidR="007542F3">
        <w:rPr>
          <w:rFonts w:eastAsia="ＭＳ 明朝"/>
          <w:b/>
          <w:sz w:val="22"/>
          <w:lang w:val="en-US"/>
        </w:rPr>
        <w:t>, 5</w:t>
      </w:r>
      <w:r w:rsidRPr="00F26707">
        <w:rPr>
          <w:rFonts w:eastAsia="ＭＳ 明朝"/>
          <w:b/>
          <w:sz w:val="22"/>
          <w:lang w:val="en-US"/>
        </w:rPr>
        <w:t>]</w:t>
      </w:r>
    </w:p>
    <w:p w14:paraId="5B9B73F1" w14:textId="37BBACD6"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In case of CBG-based re-transmission, DCI should indicate which CBG(s) is/are re-transmitted.</w:t>
      </w:r>
    </w:p>
    <w:p w14:paraId="26714AA4" w14:textId="4801C99B" w:rsidR="00F37B09" w:rsidRPr="00F26707" w:rsidRDefault="007542F3" w:rsidP="00F37B09">
      <w:pPr>
        <w:pStyle w:val="afc"/>
        <w:numPr>
          <w:ilvl w:val="0"/>
          <w:numId w:val="48"/>
        </w:numPr>
        <w:spacing w:afterLines="50" w:after="120"/>
        <w:ind w:leftChars="0"/>
        <w:jc w:val="both"/>
        <w:rPr>
          <w:rFonts w:eastAsia="ＭＳ 明朝"/>
          <w:b/>
          <w:sz w:val="22"/>
          <w:lang w:val="en-US"/>
        </w:rPr>
      </w:pPr>
      <w:r>
        <w:rPr>
          <w:rFonts w:eastAsia="ＭＳ 明朝"/>
          <w:b/>
          <w:sz w:val="22"/>
          <w:lang w:val="en-US"/>
        </w:rPr>
        <w:t>QCL indication [</w:t>
      </w:r>
      <w:r w:rsidR="00441827">
        <w:rPr>
          <w:rFonts w:eastAsia="ＭＳ 明朝"/>
          <w:b/>
          <w:sz w:val="22"/>
          <w:lang w:val="en-US"/>
        </w:rPr>
        <w:t>6</w:t>
      </w:r>
      <w:r w:rsidR="00F37B09" w:rsidRPr="00F26707">
        <w:rPr>
          <w:rFonts w:eastAsia="ＭＳ 明朝"/>
          <w:b/>
          <w:sz w:val="22"/>
          <w:lang w:val="en-US"/>
        </w:rPr>
        <w:t>]</w:t>
      </w:r>
    </w:p>
    <w:p w14:paraId="342DE26E" w14:textId="55D8A91B" w:rsidR="00F37B09" w:rsidRDefault="00F26707"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This field tells the UE of quasi-co-location information.</w:t>
      </w:r>
    </w:p>
    <w:p w14:paraId="2D6B1C7A" w14:textId="07A02896" w:rsidR="00F37B09" w:rsidRPr="00F26707" w:rsidRDefault="00F37B09" w:rsidP="00F37B09">
      <w:pPr>
        <w:pStyle w:val="afc"/>
        <w:numPr>
          <w:ilvl w:val="0"/>
          <w:numId w:val="48"/>
        </w:numPr>
        <w:spacing w:afterLines="50" w:after="120"/>
        <w:ind w:leftChars="0"/>
        <w:jc w:val="both"/>
        <w:rPr>
          <w:rFonts w:eastAsia="ＭＳ 明朝"/>
          <w:b/>
          <w:sz w:val="22"/>
          <w:lang w:val="en-US"/>
        </w:rPr>
      </w:pPr>
      <w:r w:rsidRPr="00F26707">
        <w:rPr>
          <w:rFonts w:eastAsia="ＭＳ 明朝"/>
          <w:b/>
          <w:sz w:val="22"/>
          <w:lang w:val="en-US"/>
        </w:rPr>
        <w:t>HARQ-ACK timing/resource [</w:t>
      </w:r>
      <w:r w:rsidR="00441827">
        <w:rPr>
          <w:rFonts w:eastAsia="ＭＳ 明朝"/>
          <w:b/>
          <w:sz w:val="22"/>
          <w:lang w:val="en-US"/>
        </w:rPr>
        <w:t>7</w:t>
      </w:r>
      <w:r w:rsidRPr="00F26707">
        <w:rPr>
          <w:rFonts w:eastAsia="ＭＳ 明朝"/>
          <w:b/>
          <w:sz w:val="22"/>
          <w:lang w:val="en-US"/>
        </w:rPr>
        <w:t>]</w:t>
      </w:r>
    </w:p>
    <w:p w14:paraId="026E059E" w14:textId="16C1AF30"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For NR, implicit resource indication of HARQ-ACK feedback should be avoided.</w:t>
      </w:r>
    </w:p>
    <w:p w14:paraId="5579BFD0" w14:textId="77777777" w:rsidR="00F37B09" w:rsidRDefault="00F37B09"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Explicit field should always be included in the DCI.</w:t>
      </w:r>
    </w:p>
    <w:p w14:paraId="15F7628B" w14:textId="2641BDD6" w:rsidR="00F37B09" w:rsidRPr="00F26707" w:rsidRDefault="00F37B09" w:rsidP="00F37B09">
      <w:pPr>
        <w:pStyle w:val="afc"/>
        <w:numPr>
          <w:ilvl w:val="0"/>
          <w:numId w:val="48"/>
        </w:numPr>
        <w:spacing w:afterLines="50" w:after="120"/>
        <w:ind w:leftChars="0"/>
        <w:jc w:val="both"/>
        <w:rPr>
          <w:rFonts w:eastAsia="ＭＳ 明朝"/>
          <w:b/>
          <w:sz w:val="22"/>
          <w:lang w:val="en-US"/>
        </w:rPr>
      </w:pPr>
      <w:r w:rsidRPr="00F26707">
        <w:rPr>
          <w:rFonts w:eastAsia="ＭＳ 明朝"/>
          <w:b/>
          <w:sz w:val="22"/>
          <w:lang w:val="en-US"/>
        </w:rPr>
        <w:t xml:space="preserve">Indication for HARQ-ACK multiplexing (e.g., DAI) </w:t>
      </w:r>
      <w:r w:rsidR="007542F3">
        <w:rPr>
          <w:rFonts w:eastAsia="ＭＳ 明朝"/>
          <w:b/>
          <w:sz w:val="22"/>
          <w:lang w:val="en-US"/>
        </w:rPr>
        <w:t>[</w:t>
      </w:r>
      <w:r w:rsidR="00441827">
        <w:rPr>
          <w:rFonts w:eastAsia="ＭＳ 明朝"/>
          <w:b/>
          <w:sz w:val="22"/>
          <w:lang w:val="en-US"/>
        </w:rPr>
        <w:t>8</w:t>
      </w:r>
      <w:r w:rsidRPr="00F26707">
        <w:rPr>
          <w:rFonts w:eastAsia="ＭＳ 明朝"/>
          <w:b/>
          <w:sz w:val="22"/>
          <w:lang w:val="en-US"/>
        </w:rPr>
        <w:t>]</w:t>
      </w:r>
    </w:p>
    <w:p w14:paraId="676CFF50" w14:textId="76F3B7A8" w:rsidR="00F26707" w:rsidRDefault="00F26707"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NR will support HARQ-ACK multiplexing for multiple data over time and frequency.</w:t>
      </w:r>
    </w:p>
    <w:p w14:paraId="1F6A8F71" w14:textId="656615B8" w:rsidR="00F37B09" w:rsidRDefault="00F26707" w:rsidP="00F37B09">
      <w:pPr>
        <w:pStyle w:val="afc"/>
        <w:numPr>
          <w:ilvl w:val="1"/>
          <w:numId w:val="48"/>
        </w:numPr>
        <w:spacing w:afterLines="50" w:after="120"/>
        <w:ind w:leftChars="0"/>
        <w:jc w:val="both"/>
        <w:rPr>
          <w:rFonts w:eastAsia="ＭＳ 明朝"/>
          <w:sz w:val="22"/>
          <w:lang w:val="en-US"/>
        </w:rPr>
      </w:pPr>
      <w:r>
        <w:rPr>
          <w:rFonts w:eastAsia="ＭＳ 明朝"/>
          <w:sz w:val="22"/>
          <w:lang w:val="en-US"/>
        </w:rPr>
        <w:t>It is important to adjust the HARQ-ACK payload depending on the actually scheduled resources.</w:t>
      </w:r>
    </w:p>
    <w:p w14:paraId="54634C74" w14:textId="77777777" w:rsidR="004A46CB" w:rsidRPr="00F26707" w:rsidRDefault="004A46CB"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BAFD509" w14:textId="68A02E6F" w:rsidR="005D0A85" w:rsidRDefault="009437BE" w:rsidP="005D0A85">
      <w:pPr>
        <w:spacing w:afterLines="50" w:after="120"/>
        <w:jc w:val="both"/>
        <w:rPr>
          <w:rFonts w:eastAsia="ＭＳ 明朝"/>
          <w:sz w:val="22"/>
          <w:lang w:val="en-US"/>
        </w:rPr>
      </w:pPr>
      <w:r>
        <w:rPr>
          <w:rFonts w:eastAsia="ＭＳ 明朝" w:hint="eastAsia"/>
          <w:sz w:val="22"/>
          <w:lang w:val="en-US"/>
        </w:rPr>
        <w:t>In this contribution, we provided our initial estimates on necessary DCI fields for NR.</w:t>
      </w:r>
    </w:p>
    <w:p w14:paraId="64223F46" w14:textId="77777777" w:rsidR="009437BE" w:rsidRPr="00925852" w:rsidRDefault="009437BE"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2D17C251" w:rsidR="006801D5" w:rsidRDefault="004A46CB" w:rsidP="0096003F">
      <w:pPr>
        <w:widowControl w:val="0"/>
        <w:numPr>
          <w:ilvl w:val="0"/>
          <w:numId w:val="4"/>
        </w:numPr>
        <w:spacing w:after="120"/>
        <w:jc w:val="both"/>
        <w:rPr>
          <w:sz w:val="22"/>
          <w:szCs w:val="22"/>
          <w:lang w:val="en-US"/>
        </w:rPr>
      </w:pPr>
      <w:r>
        <w:rPr>
          <w:rFonts w:hint="eastAsia"/>
          <w:sz w:val="22"/>
          <w:szCs w:val="22"/>
          <w:lang w:val="en-US"/>
        </w:rPr>
        <w:t>R1-</w:t>
      </w:r>
      <w:r w:rsidR="00035B6D">
        <w:rPr>
          <w:rFonts w:hint="eastAsia"/>
          <w:sz w:val="22"/>
          <w:szCs w:val="22"/>
          <w:lang w:val="en-US"/>
        </w:rPr>
        <w:t>17</w:t>
      </w:r>
      <w:r w:rsidR="00035B6D">
        <w:rPr>
          <w:sz w:val="22"/>
          <w:szCs w:val="22"/>
          <w:lang w:val="en-US"/>
        </w:rPr>
        <w:t>08487</w:t>
      </w:r>
      <w:r>
        <w:rPr>
          <w:rFonts w:hint="eastAsia"/>
          <w:sz w:val="22"/>
          <w:szCs w:val="22"/>
          <w:lang w:val="en-US"/>
        </w:rPr>
        <w:t xml:space="preserve">, </w:t>
      </w:r>
      <w:r>
        <w:rPr>
          <w:sz w:val="22"/>
          <w:szCs w:val="22"/>
          <w:lang w:val="en-US"/>
        </w:rPr>
        <w:t>‘</w:t>
      </w:r>
      <w:r w:rsidR="00035B6D">
        <w:rPr>
          <w:sz w:val="22"/>
          <w:szCs w:val="22"/>
          <w:lang w:val="en-US"/>
        </w:rPr>
        <w:t>Scheduling and HARQ for CA and DC,</w:t>
      </w:r>
      <w:r>
        <w:rPr>
          <w:sz w:val="22"/>
          <w:szCs w:val="22"/>
          <w:lang w:val="en-US"/>
        </w:rPr>
        <w:t>’ NTT DOCOMO, INC.</w:t>
      </w:r>
    </w:p>
    <w:p w14:paraId="616791DA" w14:textId="03865BFF" w:rsidR="007542F3" w:rsidRDefault="00035B6D" w:rsidP="0096003F">
      <w:pPr>
        <w:widowControl w:val="0"/>
        <w:numPr>
          <w:ilvl w:val="0"/>
          <w:numId w:val="4"/>
        </w:numPr>
        <w:spacing w:after="120"/>
        <w:jc w:val="both"/>
        <w:rPr>
          <w:sz w:val="22"/>
          <w:szCs w:val="22"/>
          <w:lang w:val="en-US"/>
        </w:rPr>
      </w:pPr>
      <w:r>
        <w:rPr>
          <w:sz w:val="22"/>
          <w:szCs w:val="22"/>
          <w:lang w:val="en-US"/>
        </w:rPr>
        <w:t>R1-1708478, ‘Resource allocation for DL data,’ NTT DOCOMO, INC.</w:t>
      </w:r>
    </w:p>
    <w:p w14:paraId="665A6838" w14:textId="5483EC73" w:rsidR="007542F3" w:rsidRDefault="00035B6D" w:rsidP="0096003F">
      <w:pPr>
        <w:widowControl w:val="0"/>
        <w:numPr>
          <w:ilvl w:val="0"/>
          <w:numId w:val="4"/>
        </w:numPr>
        <w:spacing w:after="120"/>
        <w:jc w:val="both"/>
        <w:rPr>
          <w:sz w:val="22"/>
          <w:szCs w:val="22"/>
          <w:lang w:val="en-US"/>
        </w:rPr>
      </w:pPr>
      <w:r>
        <w:rPr>
          <w:sz w:val="22"/>
          <w:szCs w:val="22"/>
          <w:lang w:val="en-US"/>
        </w:rPr>
        <w:t>R1-1708482, ‘Processing time and HARQ process number for NR,’ NTT DOCOMO, INC.</w:t>
      </w:r>
    </w:p>
    <w:p w14:paraId="60E5D1C6" w14:textId="4184A61F" w:rsidR="007542F3" w:rsidRDefault="00035B6D" w:rsidP="0096003F">
      <w:pPr>
        <w:widowControl w:val="0"/>
        <w:numPr>
          <w:ilvl w:val="0"/>
          <w:numId w:val="4"/>
        </w:numPr>
        <w:spacing w:after="120"/>
        <w:jc w:val="both"/>
        <w:rPr>
          <w:sz w:val="22"/>
          <w:szCs w:val="22"/>
          <w:lang w:val="en-US"/>
        </w:rPr>
      </w:pPr>
      <w:r>
        <w:rPr>
          <w:sz w:val="22"/>
          <w:szCs w:val="22"/>
          <w:lang w:val="en-US"/>
        </w:rPr>
        <w:t>R1-1708483, ‘CBG construction,’</w:t>
      </w:r>
      <w:r w:rsidR="00F6691D">
        <w:rPr>
          <w:sz w:val="22"/>
          <w:szCs w:val="22"/>
          <w:lang w:val="en-US"/>
        </w:rPr>
        <w:t xml:space="preserve"> NTT DOCOMO, INC.</w:t>
      </w:r>
    </w:p>
    <w:p w14:paraId="7D28CF84" w14:textId="18E5CEE7" w:rsidR="007542F3" w:rsidRDefault="00F6691D" w:rsidP="00F6691D">
      <w:pPr>
        <w:widowControl w:val="0"/>
        <w:numPr>
          <w:ilvl w:val="0"/>
          <w:numId w:val="4"/>
        </w:numPr>
        <w:spacing w:after="120"/>
        <w:jc w:val="both"/>
        <w:rPr>
          <w:sz w:val="22"/>
          <w:szCs w:val="22"/>
          <w:lang w:val="en-US"/>
        </w:rPr>
      </w:pPr>
      <w:r>
        <w:rPr>
          <w:sz w:val="22"/>
          <w:szCs w:val="22"/>
          <w:lang w:val="en-US"/>
        </w:rPr>
        <w:t>R1-1708483, ‘</w:t>
      </w:r>
      <w:r w:rsidRPr="00F6691D">
        <w:rPr>
          <w:sz w:val="22"/>
          <w:szCs w:val="22"/>
          <w:lang w:val="en-US"/>
        </w:rPr>
        <w:t>CBG based (re)transmission, preemption indication and subsequent trasnmission in NR</w:t>
      </w:r>
      <w:r w:rsidR="001809B5">
        <w:rPr>
          <w:sz w:val="22"/>
          <w:szCs w:val="22"/>
          <w:lang w:val="en-US"/>
        </w:rPr>
        <w:t>,</w:t>
      </w:r>
      <w:r>
        <w:rPr>
          <w:sz w:val="22"/>
          <w:szCs w:val="22"/>
          <w:lang w:val="en-US"/>
        </w:rPr>
        <w:t>’</w:t>
      </w:r>
      <w:r w:rsidR="001809B5">
        <w:rPr>
          <w:sz w:val="22"/>
          <w:szCs w:val="22"/>
          <w:lang w:val="en-US"/>
        </w:rPr>
        <w:t xml:space="preserve"> NTT DOCOMO, INC.</w:t>
      </w:r>
    </w:p>
    <w:p w14:paraId="1A235A45" w14:textId="26802035" w:rsidR="007542F3" w:rsidRDefault="00441827" w:rsidP="00441827">
      <w:pPr>
        <w:widowControl w:val="0"/>
        <w:numPr>
          <w:ilvl w:val="0"/>
          <w:numId w:val="4"/>
        </w:numPr>
        <w:spacing w:after="120"/>
        <w:jc w:val="both"/>
        <w:rPr>
          <w:sz w:val="22"/>
          <w:szCs w:val="22"/>
          <w:lang w:val="en-US"/>
        </w:rPr>
      </w:pPr>
      <w:r>
        <w:rPr>
          <w:sz w:val="22"/>
          <w:szCs w:val="22"/>
          <w:lang w:val="en-US"/>
        </w:rPr>
        <w:t>R1-1708451, ‘</w:t>
      </w:r>
      <w:r w:rsidRPr="00441827">
        <w:rPr>
          <w:sz w:val="22"/>
          <w:szCs w:val="22"/>
          <w:lang w:val="en-US"/>
        </w:rPr>
        <w:t>Views on beam management details</w:t>
      </w:r>
      <w:r>
        <w:rPr>
          <w:sz w:val="22"/>
          <w:szCs w:val="22"/>
          <w:lang w:val="en-US"/>
        </w:rPr>
        <w:t>,’ NTT DOCOMO, INC.</w:t>
      </w:r>
    </w:p>
    <w:p w14:paraId="360942D6" w14:textId="4539AEEC" w:rsidR="007542F3" w:rsidRDefault="001809B5" w:rsidP="0096003F">
      <w:pPr>
        <w:widowControl w:val="0"/>
        <w:numPr>
          <w:ilvl w:val="0"/>
          <w:numId w:val="4"/>
        </w:numPr>
        <w:spacing w:after="120"/>
        <w:jc w:val="both"/>
        <w:rPr>
          <w:sz w:val="22"/>
          <w:szCs w:val="22"/>
          <w:lang w:val="en-US"/>
        </w:rPr>
      </w:pPr>
      <w:r>
        <w:rPr>
          <w:sz w:val="22"/>
          <w:szCs w:val="22"/>
          <w:lang w:val="en-US"/>
        </w:rPr>
        <w:t>R1-1708475, ‘</w:t>
      </w:r>
      <w:r w:rsidR="007542F3">
        <w:rPr>
          <w:sz w:val="22"/>
          <w:szCs w:val="22"/>
          <w:lang w:val="en-US"/>
        </w:rPr>
        <w:t>PUCCH resource allocation</w:t>
      </w:r>
      <w:r>
        <w:rPr>
          <w:sz w:val="22"/>
          <w:szCs w:val="22"/>
          <w:lang w:val="en-US"/>
        </w:rPr>
        <w:t>,’ NTT DOCOMO, INC.</w:t>
      </w:r>
    </w:p>
    <w:p w14:paraId="40CD61FF" w14:textId="26607DE9" w:rsidR="007542F3" w:rsidRPr="00925852" w:rsidRDefault="001809B5" w:rsidP="00925852">
      <w:pPr>
        <w:widowControl w:val="0"/>
        <w:numPr>
          <w:ilvl w:val="0"/>
          <w:numId w:val="4"/>
        </w:numPr>
        <w:spacing w:after="120"/>
        <w:jc w:val="both"/>
        <w:rPr>
          <w:rFonts w:hint="eastAsia"/>
          <w:sz w:val="22"/>
          <w:szCs w:val="22"/>
          <w:lang w:val="en-US"/>
        </w:rPr>
      </w:pPr>
      <w:r>
        <w:rPr>
          <w:sz w:val="22"/>
          <w:szCs w:val="22"/>
          <w:lang w:val="en-US"/>
        </w:rPr>
        <w:lastRenderedPageBreak/>
        <w:t>R1-1708481, ‘</w:t>
      </w:r>
      <w:r w:rsidR="007542F3">
        <w:rPr>
          <w:sz w:val="22"/>
          <w:szCs w:val="22"/>
          <w:lang w:val="en-US"/>
        </w:rPr>
        <w:t xml:space="preserve">HARQ-ACK </w:t>
      </w:r>
      <w:r>
        <w:rPr>
          <w:sz w:val="22"/>
          <w:szCs w:val="22"/>
          <w:lang w:val="en-US"/>
        </w:rPr>
        <w:t>feedback mechanisms,’ NTT DOCOMO, INC.</w:t>
      </w:r>
      <w:bookmarkStart w:id="7" w:name="_GoBack"/>
      <w:bookmarkEnd w:id="7"/>
    </w:p>
    <w:sectPr w:rsidR="007542F3" w:rsidRPr="0092585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BBFC9" w14:textId="77777777" w:rsidR="00EC3E28" w:rsidRDefault="00EC3E28">
      <w:r>
        <w:separator/>
      </w:r>
    </w:p>
  </w:endnote>
  <w:endnote w:type="continuationSeparator" w:id="0">
    <w:p w14:paraId="13A132B8" w14:textId="77777777" w:rsidR="00EC3E28" w:rsidRDefault="00EC3E28">
      <w:r>
        <w:continuationSeparator/>
      </w:r>
    </w:p>
  </w:endnote>
  <w:endnote w:type="continuationNotice" w:id="1">
    <w:p w14:paraId="308C9DF1" w14:textId="77777777" w:rsidR="00EC3E28" w:rsidRDefault="00EC3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11A0154"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25852">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25852">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4A33D" w14:textId="77777777" w:rsidR="00EC3E28" w:rsidRDefault="00EC3E28">
      <w:r>
        <w:separator/>
      </w:r>
    </w:p>
  </w:footnote>
  <w:footnote w:type="continuationSeparator" w:id="0">
    <w:p w14:paraId="212DFF04" w14:textId="77777777" w:rsidR="00EC3E28" w:rsidRDefault="00EC3E28">
      <w:r>
        <w:continuationSeparator/>
      </w:r>
    </w:p>
  </w:footnote>
  <w:footnote w:type="continuationNotice" w:id="1">
    <w:p w14:paraId="2F78E36C" w14:textId="77777777" w:rsidR="00EC3E28" w:rsidRDefault="00EC3E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4A1E61"/>
    <w:multiLevelType w:val="hybridMultilevel"/>
    <w:tmpl w:val="CB40CC62"/>
    <w:lvl w:ilvl="0" w:tplc="2FF05A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800BC4"/>
    <w:multiLevelType w:val="hybridMultilevel"/>
    <w:tmpl w:val="91CCE684"/>
    <w:lvl w:ilvl="0" w:tplc="5AA2643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673826"/>
    <w:multiLevelType w:val="hybridMultilevel"/>
    <w:tmpl w:val="59043FFC"/>
    <w:lvl w:ilvl="0" w:tplc="F856A0E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56C1463"/>
    <w:multiLevelType w:val="hybridMultilevel"/>
    <w:tmpl w:val="4D788402"/>
    <w:lvl w:ilvl="0" w:tplc="F7EE1CE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8E07E4"/>
    <w:multiLevelType w:val="hybridMultilevel"/>
    <w:tmpl w:val="AA40071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55130F"/>
    <w:multiLevelType w:val="hybridMultilevel"/>
    <w:tmpl w:val="5BCE593E"/>
    <w:lvl w:ilvl="0" w:tplc="8DF45CA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ＭＳ 明朝"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38"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383BA6"/>
    <w:multiLevelType w:val="hybridMultilevel"/>
    <w:tmpl w:val="8ADCA342"/>
    <w:lvl w:ilvl="0" w:tplc="B6AE9F9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18"/>
  </w:num>
  <w:num w:numId="4">
    <w:abstractNumId w:val="12"/>
  </w:num>
  <w:num w:numId="5">
    <w:abstractNumId w:val="47"/>
  </w:num>
  <w:num w:numId="6">
    <w:abstractNumId w:val="36"/>
  </w:num>
  <w:num w:numId="7">
    <w:abstractNumId w:val="43"/>
  </w:num>
  <w:num w:numId="8">
    <w:abstractNumId w:val="44"/>
  </w:num>
  <w:num w:numId="9">
    <w:abstractNumId w:val="30"/>
  </w:num>
  <w:num w:numId="10">
    <w:abstractNumId w:val="38"/>
  </w:num>
  <w:num w:numId="11">
    <w:abstractNumId w:val="10"/>
  </w:num>
  <w:num w:numId="12">
    <w:abstractNumId w:val="34"/>
  </w:num>
  <w:num w:numId="13">
    <w:abstractNumId w:val="7"/>
  </w:num>
  <w:num w:numId="14">
    <w:abstractNumId w:val="2"/>
  </w:num>
  <w:num w:numId="15">
    <w:abstractNumId w:val="11"/>
  </w:num>
  <w:num w:numId="16">
    <w:abstractNumId w:val="46"/>
  </w:num>
  <w:num w:numId="17">
    <w:abstractNumId w:val="4"/>
  </w:num>
  <w:num w:numId="18">
    <w:abstractNumId w:val="1"/>
  </w:num>
  <w:num w:numId="19">
    <w:abstractNumId w:val="39"/>
  </w:num>
  <w:num w:numId="20">
    <w:abstractNumId w:val="9"/>
  </w:num>
  <w:num w:numId="21">
    <w:abstractNumId w:val="28"/>
  </w:num>
  <w:num w:numId="22">
    <w:abstractNumId w:val="13"/>
  </w:num>
  <w:num w:numId="23">
    <w:abstractNumId w:val="15"/>
  </w:num>
  <w:num w:numId="24">
    <w:abstractNumId w:val="24"/>
  </w:num>
  <w:num w:numId="25">
    <w:abstractNumId w:val="8"/>
  </w:num>
  <w:num w:numId="26">
    <w:abstractNumId w:val="27"/>
  </w:num>
  <w:num w:numId="27">
    <w:abstractNumId w:val="16"/>
  </w:num>
  <w:num w:numId="28">
    <w:abstractNumId w:val="31"/>
  </w:num>
  <w:num w:numId="29">
    <w:abstractNumId w:val="33"/>
  </w:num>
  <w:num w:numId="30">
    <w:abstractNumId w:val="6"/>
  </w:num>
  <w:num w:numId="31">
    <w:abstractNumId w:val="5"/>
  </w:num>
  <w:num w:numId="32">
    <w:abstractNumId w:val="17"/>
  </w:num>
  <w:num w:numId="33">
    <w:abstractNumId w:val="3"/>
  </w:num>
  <w:num w:numId="34">
    <w:abstractNumId w:val="42"/>
  </w:num>
  <w:num w:numId="35">
    <w:abstractNumId w:val="20"/>
  </w:num>
  <w:num w:numId="36">
    <w:abstractNumId w:val="29"/>
  </w:num>
  <w:num w:numId="37">
    <w:abstractNumId w:val="45"/>
  </w:num>
  <w:num w:numId="38">
    <w:abstractNumId w:val="21"/>
  </w:num>
  <w:num w:numId="39">
    <w:abstractNumId w:val="23"/>
  </w:num>
  <w:num w:numId="40">
    <w:abstractNumId w:val="37"/>
  </w:num>
  <w:num w:numId="41">
    <w:abstractNumId w:val="19"/>
  </w:num>
  <w:num w:numId="42">
    <w:abstractNumId w:val="32"/>
  </w:num>
  <w:num w:numId="43">
    <w:abstractNumId w:val="14"/>
  </w:num>
  <w:num w:numId="44">
    <w:abstractNumId w:val="22"/>
  </w:num>
  <w:num w:numId="45">
    <w:abstractNumId w:val="35"/>
  </w:num>
  <w:num w:numId="46">
    <w:abstractNumId w:val="41"/>
  </w:num>
  <w:num w:numId="47">
    <w:abstractNumId w:val="25"/>
  </w:num>
  <w:num w:numId="48">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56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B6D"/>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97D"/>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06"/>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A90"/>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3B4"/>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8E1"/>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962"/>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9B5"/>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B15"/>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1A0"/>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4BD"/>
    <w:rsid w:val="00242598"/>
    <w:rsid w:val="00242873"/>
    <w:rsid w:val="00242B8D"/>
    <w:rsid w:val="00242BD8"/>
    <w:rsid w:val="00242C3B"/>
    <w:rsid w:val="00242E39"/>
    <w:rsid w:val="0024327B"/>
    <w:rsid w:val="002435B9"/>
    <w:rsid w:val="00243639"/>
    <w:rsid w:val="00243A41"/>
    <w:rsid w:val="00244300"/>
    <w:rsid w:val="00244477"/>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87F60"/>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BBE"/>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B1E"/>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425"/>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827"/>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2FC"/>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6CB"/>
    <w:rsid w:val="004A4904"/>
    <w:rsid w:val="004A496B"/>
    <w:rsid w:val="004A4BF6"/>
    <w:rsid w:val="004A4D29"/>
    <w:rsid w:val="004A5073"/>
    <w:rsid w:val="004A52F3"/>
    <w:rsid w:val="004A5D5D"/>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754"/>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4BB"/>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941"/>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A3E"/>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E8E"/>
    <w:rsid w:val="00657591"/>
    <w:rsid w:val="0065769A"/>
    <w:rsid w:val="00657E49"/>
    <w:rsid w:val="00657F87"/>
    <w:rsid w:val="0066020C"/>
    <w:rsid w:val="00660CC6"/>
    <w:rsid w:val="00661294"/>
    <w:rsid w:val="0066148F"/>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CA"/>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226"/>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8E8"/>
    <w:rsid w:val="007529C9"/>
    <w:rsid w:val="00753312"/>
    <w:rsid w:val="00753562"/>
    <w:rsid w:val="007542F3"/>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90D"/>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5C12"/>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A3A"/>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2D41"/>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6F40"/>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A75"/>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8C6"/>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10"/>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659"/>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7A7"/>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852"/>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7BE"/>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7E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00B"/>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965"/>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127"/>
    <w:rsid w:val="00AC066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69E"/>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47B8"/>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79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4CC"/>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3C95"/>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59B8"/>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5A"/>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2FF"/>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97B5C"/>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3E28"/>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01B"/>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707"/>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37B09"/>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57EFE"/>
    <w:rsid w:val="00F60171"/>
    <w:rsid w:val="00F606C7"/>
    <w:rsid w:val="00F6091E"/>
    <w:rsid w:val="00F60C55"/>
    <w:rsid w:val="00F6193D"/>
    <w:rsid w:val="00F61A95"/>
    <w:rsid w:val="00F62558"/>
    <w:rsid w:val="00F631C0"/>
    <w:rsid w:val="00F634C2"/>
    <w:rsid w:val="00F635E0"/>
    <w:rsid w:val="00F650D0"/>
    <w:rsid w:val="00F65A4C"/>
    <w:rsid w:val="00F65C72"/>
    <w:rsid w:val="00F6691D"/>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4D8"/>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99"/>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7DE"/>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673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5260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866177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E9234-BF6A-4F6F-BF79-6A7B2F12A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566</Words>
  <Characters>3231</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2017-05-06T02:57:00Z</dcterms:created>
  <dcterms:modified xsi:type="dcterms:W3CDTF">2017-05-06T02:57:00Z</dcterms:modified>
</cp:coreProperties>
</file>