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w:t>
      </w:r>
      <w:r w:rsidR="002542D8">
        <w:rPr>
          <w:rFonts w:cs="Arial"/>
          <w:bCs/>
          <w:sz w:val="22"/>
        </w:rPr>
        <w:t>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ED2E06">
        <w:rPr>
          <w:rFonts w:cs="Arial"/>
          <w:bCs/>
          <w:sz w:val="22"/>
        </w:rPr>
        <w:t>17</w:t>
      </w:r>
      <w:r w:rsidR="00ED2E06">
        <w:rPr>
          <w:rFonts w:eastAsia="SimSun" w:cs="Arial" w:hint="eastAsia"/>
          <w:bCs/>
          <w:sz w:val="22"/>
          <w:lang w:eastAsia="zh-CN"/>
        </w:rPr>
        <w:t>0</w:t>
      </w:r>
      <w:r w:rsidR="00BA4B57">
        <w:rPr>
          <w:rFonts w:eastAsia="SimSun" w:cs="Arial"/>
          <w:bCs/>
          <w:sz w:val="22"/>
          <w:lang w:eastAsia="zh-CN"/>
        </w:rPr>
        <w:t>7494</w:t>
      </w:r>
    </w:p>
    <w:p w:rsidR="00C11ED7" w:rsidRPr="005D47C0" w:rsidRDefault="00BA4B57" w:rsidP="00E9523A">
      <w:pPr>
        <w:pStyle w:val="Header"/>
        <w:widowControl w:val="0"/>
        <w:tabs>
          <w:tab w:val="clear" w:pos="9072"/>
          <w:tab w:val="right" w:pos="8280"/>
          <w:tab w:val="right" w:pos="9781"/>
        </w:tabs>
        <w:snapToGrid w:val="0"/>
        <w:ind w:left="-2" w:right="-57"/>
        <w:rPr>
          <w:rFonts w:cs="Arial"/>
          <w:bCs/>
          <w:sz w:val="22"/>
        </w:rPr>
      </w:pPr>
      <w:r>
        <w:rPr>
          <w:rFonts w:cs="Arial"/>
          <w:bCs/>
          <w:sz w:val="22"/>
        </w:rPr>
        <w:t>Hangzhou</w:t>
      </w:r>
      <w:r w:rsidR="008C27F9" w:rsidRPr="00F2358D">
        <w:rPr>
          <w:rFonts w:cs="Arial"/>
          <w:bCs/>
          <w:sz w:val="22"/>
        </w:rPr>
        <w:t xml:space="preserve">, </w:t>
      </w:r>
      <w:r>
        <w:rPr>
          <w:rFonts w:cs="Arial"/>
          <w:bCs/>
          <w:sz w:val="22"/>
        </w:rPr>
        <w:t>P.</w:t>
      </w:r>
      <w:r w:rsidR="00B4228E">
        <w:rPr>
          <w:rFonts w:cs="Arial"/>
          <w:bCs/>
          <w:sz w:val="22"/>
        </w:rPr>
        <w:t xml:space="preserve"> </w:t>
      </w:r>
      <w:r>
        <w:rPr>
          <w:rFonts w:cs="Arial"/>
          <w:bCs/>
          <w:sz w:val="22"/>
        </w:rPr>
        <w:t>R. China</w:t>
      </w:r>
      <w:r w:rsidR="008C27F9">
        <w:rPr>
          <w:rFonts w:cs="Arial"/>
          <w:bCs/>
          <w:sz w:val="22"/>
        </w:rPr>
        <w:t>,</w:t>
      </w:r>
      <w:r w:rsidR="008C27F9" w:rsidRPr="00F2358D">
        <w:rPr>
          <w:rFonts w:cs="Arial"/>
          <w:bCs/>
          <w:sz w:val="22"/>
        </w:rPr>
        <w:t xml:space="preserve"> </w:t>
      </w:r>
      <w:r>
        <w:rPr>
          <w:rFonts w:cs="Arial"/>
          <w:bCs/>
          <w:sz w:val="22"/>
        </w:rPr>
        <w:t>15</w:t>
      </w:r>
      <w:r w:rsidRPr="00BA4B57">
        <w:rPr>
          <w:rFonts w:cs="Arial"/>
          <w:bCs/>
          <w:sz w:val="22"/>
          <w:vertAlign w:val="superscript"/>
        </w:rPr>
        <w:t>th</w:t>
      </w:r>
      <w:r>
        <w:rPr>
          <w:rFonts w:cs="Arial"/>
          <w:bCs/>
          <w:sz w:val="22"/>
        </w:rPr>
        <w:t xml:space="preserve"> – 19</w:t>
      </w:r>
      <w:r w:rsidRPr="00BA4B57">
        <w:rPr>
          <w:rFonts w:cs="Arial"/>
          <w:bCs/>
          <w:sz w:val="22"/>
          <w:vertAlign w:val="superscript"/>
        </w:rPr>
        <w:t>th</w:t>
      </w:r>
      <w:r>
        <w:rPr>
          <w:rFonts w:cs="Arial"/>
          <w:bCs/>
          <w:sz w:val="22"/>
        </w:rPr>
        <w:t xml:space="preserve"> May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0C1740" w:rsidRPr="000C1740">
        <w:rPr>
          <w:sz w:val="22"/>
          <w:szCs w:val="22"/>
        </w:rPr>
        <w:t>Details of NR-PDCCH structure</w:t>
      </w:r>
    </w:p>
    <w:p w:rsidR="00830F4E" w:rsidRPr="00BA6B9D"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BA4B57">
        <w:rPr>
          <w:rFonts w:eastAsia="SimSun"/>
          <w:sz w:val="22"/>
          <w:szCs w:val="22"/>
          <w:lang w:eastAsia="zh-CN"/>
        </w:rPr>
        <w:t>7</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C15205">
        <w:rPr>
          <w:rFonts w:eastAsia="SimSun"/>
          <w:sz w:val="22"/>
          <w:szCs w:val="22"/>
          <w:lang w:eastAsia="zh-CN"/>
        </w:rPr>
        <w:t>1.</w:t>
      </w:r>
      <w:r w:rsidR="00BA4B57">
        <w:rPr>
          <w:rFonts w:eastAsia="SimSun"/>
          <w:sz w:val="22"/>
          <w:szCs w:val="22"/>
          <w:lang w:eastAsia="zh-CN"/>
        </w:rPr>
        <w:t>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8204BC" w:rsidRDefault="00467023" w:rsidP="008204BC">
      <w:pPr>
        <w:jc w:val="both"/>
      </w:pPr>
      <w:r>
        <w:t xml:space="preserve">The NR study item agreed the basic </w:t>
      </w:r>
      <w:r w:rsidR="00117B7B">
        <w:t>DL control channel</w:t>
      </w:r>
      <w:r>
        <w:t xml:space="preserve"> framework</w:t>
      </w:r>
      <w:r w:rsidR="00550AFF">
        <w:t xml:space="preserve"> including definition of a control resource set and the control channel building blocks, namely the NR CCE and NR REG</w:t>
      </w:r>
      <w:r>
        <w:t xml:space="preserve">. </w:t>
      </w:r>
      <w:r w:rsidR="00EA0EE3">
        <w:t>Specification work for the NR-PDCCH structure is ongoing</w:t>
      </w:r>
      <w:r w:rsidR="00F1298C">
        <w:t>, where the outstanding aspects include CCE-to-REG mapping</w:t>
      </w:r>
      <w:r w:rsidR="00EA0EE3">
        <w:t xml:space="preserve">, </w:t>
      </w:r>
      <w:r w:rsidR="00F1298C">
        <w:t xml:space="preserve">PDCCH-to-CCE mapping, CCE size and DMRS design. </w:t>
      </w:r>
      <w:r w:rsidR="003A6B9D">
        <w:t>For the first meeting of the NR WI phase some more details on the NR-PDCCH structure were agreed as follows</w:t>
      </w:r>
      <w:r w:rsidR="004000F4">
        <w:t xml:space="preserve"> </w:t>
      </w:r>
      <w:r w:rsidR="00C07CFE">
        <w:fldChar w:fldCharType="begin"/>
      </w:r>
      <w:r w:rsidR="004000F4">
        <w:instrText xml:space="preserve"> REF _Ref473730316 \n \h </w:instrText>
      </w:r>
      <w:r w:rsidR="00C07CFE">
        <w:fldChar w:fldCharType="separate"/>
      </w:r>
      <w:r w:rsidR="004000F4">
        <w:t>[1]</w:t>
      </w:r>
      <w:r w:rsidR="00C07CFE">
        <w:fldChar w:fldCharType="end"/>
      </w:r>
      <w:r>
        <w:t>,</w:t>
      </w:r>
    </w:p>
    <w:p w:rsidR="00467023" w:rsidRPr="008204BC" w:rsidRDefault="00467023" w:rsidP="008204BC">
      <w:pPr>
        <w:jc w:val="both"/>
        <w:rPr>
          <w:rFonts w:eastAsia="SimSun"/>
          <w:lang w:eastAsia="zh-CN"/>
        </w:rPr>
      </w:pPr>
    </w:p>
    <w:p w:rsidR="008204BC" w:rsidRPr="008204BC" w:rsidRDefault="008204BC" w:rsidP="008204BC">
      <w:pPr>
        <w:jc w:val="both"/>
      </w:pPr>
      <w:r w:rsidRPr="008204BC">
        <w:rPr>
          <w:highlight w:val="green"/>
        </w:rPr>
        <w:t>Agreements:</w:t>
      </w:r>
    </w:p>
    <w:p w:rsidR="00467023" w:rsidRDefault="00EA0EE3" w:rsidP="008B169F">
      <w:pPr>
        <w:pStyle w:val="ListParagraph"/>
        <w:numPr>
          <w:ilvl w:val="0"/>
          <w:numId w:val="4"/>
        </w:numPr>
        <w:spacing w:after="200" w:line="276" w:lineRule="auto"/>
        <w:ind w:firstLineChars="0"/>
        <w:contextualSpacing/>
        <w:rPr>
          <w:rFonts w:ascii="Times New Roman" w:hAnsi="Times New Roman"/>
          <w:sz w:val="20"/>
          <w:szCs w:val="20"/>
        </w:rPr>
      </w:pPr>
      <w:r w:rsidRPr="00EA0EE3">
        <w:rPr>
          <w:rFonts w:ascii="Times New Roman" w:hAnsi="Times New Roman"/>
          <w:sz w:val="20"/>
          <w:szCs w:val="20"/>
        </w:rPr>
        <w:t>NR-PDCCH can be mapped contiguously or non-contiguously in frequency with localized or distributed mapping of REGs to a CCE (in the physical domain)</w:t>
      </w:r>
    </w:p>
    <w:p w:rsidR="00EA0EE3" w:rsidRDefault="00EA0EE3" w:rsidP="008B169F">
      <w:pPr>
        <w:pStyle w:val="ListParagraph"/>
        <w:numPr>
          <w:ilvl w:val="1"/>
          <w:numId w:val="4"/>
        </w:numPr>
        <w:spacing w:after="200" w:line="276" w:lineRule="auto"/>
        <w:ind w:firstLineChars="0"/>
        <w:contextualSpacing/>
        <w:rPr>
          <w:rFonts w:ascii="Times New Roman" w:hAnsi="Times New Roman"/>
          <w:sz w:val="20"/>
          <w:szCs w:val="20"/>
        </w:rPr>
      </w:pPr>
      <w:r>
        <w:rPr>
          <w:rFonts w:ascii="Times New Roman" w:hAnsi="Times New Roman"/>
          <w:sz w:val="20"/>
          <w:szCs w:val="20"/>
        </w:rPr>
        <w:t xml:space="preserve">Note: </w:t>
      </w:r>
      <w:r w:rsidRPr="00EA0EE3">
        <w:rPr>
          <w:rFonts w:ascii="Times New Roman" w:hAnsi="Times New Roman"/>
          <w:sz w:val="20"/>
          <w:szCs w:val="20"/>
        </w:rPr>
        <w:t>The number of contiguous REGs in the CCE needs further discussion.</w:t>
      </w:r>
    </w:p>
    <w:p w:rsidR="00EA0EE3" w:rsidRDefault="00EA0EE3" w:rsidP="008B169F">
      <w:pPr>
        <w:pStyle w:val="ListParagraph"/>
        <w:numPr>
          <w:ilvl w:val="1"/>
          <w:numId w:val="4"/>
        </w:numPr>
        <w:spacing w:after="200" w:line="276" w:lineRule="auto"/>
        <w:ind w:firstLineChars="0"/>
        <w:contextualSpacing/>
        <w:rPr>
          <w:rFonts w:ascii="Times New Roman" w:hAnsi="Times New Roman"/>
          <w:sz w:val="20"/>
          <w:szCs w:val="20"/>
        </w:rPr>
      </w:pPr>
      <w:r w:rsidRPr="00EA0EE3">
        <w:rPr>
          <w:rFonts w:ascii="Times New Roman" w:hAnsi="Times New Roman"/>
          <w:sz w:val="20"/>
          <w:szCs w:val="20"/>
        </w:rPr>
        <w:t>Note: Localized/distributed mapping can be achieved without/with interleaving.</w:t>
      </w:r>
    </w:p>
    <w:p w:rsidR="00EA0EE3" w:rsidRDefault="00EA0EE3" w:rsidP="008B169F">
      <w:pPr>
        <w:numPr>
          <w:ilvl w:val="0"/>
          <w:numId w:val="4"/>
        </w:numPr>
        <w:spacing w:line="276" w:lineRule="auto"/>
      </w:pPr>
      <w:r>
        <w:t>A CCE may be mapped to REGs with interleaved or non-interleaved REG indices within a CORESET</w:t>
      </w:r>
    </w:p>
    <w:p w:rsidR="00EA0EE3" w:rsidRPr="002A63CD" w:rsidRDefault="00EA0EE3" w:rsidP="008B169F">
      <w:pPr>
        <w:numPr>
          <w:ilvl w:val="0"/>
          <w:numId w:val="4"/>
        </w:numPr>
        <w:spacing w:line="276" w:lineRule="auto"/>
      </w:pPr>
      <w:r w:rsidRPr="002A63CD">
        <w:rPr>
          <w:rFonts w:eastAsia="MS Mincho"/>
          <w:iCs/>
          <w:lang w:eastAsia="ja-JP"/>
        </w:rPr>
        <w:t xml:space="preserve">Definition of a REG bundle: The UE may assume that the same precoder is used for the REGs in a REG bundle and that the REGs in a REG bundle are contiguous in frequency and/or time </w:t>
      </w:r>
    </w:p>
    <w:p w:rsidR="00EA0EE3" w:rsidRPr="00B23927" w:rsidRDefault="00EA0EE3" w:rsidP="008B169F">
      <w:pPr>
        <w:numPr>
          <w:ilvl w:val="0"/>
          <w:numId w:val="4"/>
        </w:numPr>
        <w:spacing w:line="276" w:lineRule="auto"/>
      </w:pPr>
      <w:r>
        <w:rPr>
          <w:rFonts w:eastAsia="MS Mincho"/>
          <w:iCs/>
          <w:lang w:eastAsia="ja-JP"/>
        </w:rPr>
        <w:t>REG bundling per CCE is supported</w:t>
      </w:r>
      <w:r w:rsidRPr="0072303E">
        <w:rPr>
          <w:rFonts w:eastAsia="MS Mincho"/>
          <w:iCs/>
          <w:lang w:eastAsia="ja-JP"/>
        </w:rPr>
        <w:t xml:space="preserve"> for NR-PDCCH</w:t>
      </w:r>
    </w:p>
    <w:p w:rsidR="00EA0EE3" w:rsidRDefault="00EA0EE3" w:rsidP="008B169F">
      <w:pPr>
        <w:numPr>
          <w:ilvl w:val="1"/>
          <w:numId w:val="4"/>
        </w:numPr>
        <w:spacing w:line="276" w:lineRule="auto"/>
      </w:pPr>
      <w:r>
        <w:t>FFS: Whether this applies to common search space</w:t>
      </w:r>
    </w:p>
    <w:p w:rsidR="00EA0EE3" w:rsidRPr="002A63CD" w:rsidRDefault="00EA0EE3" w:rsidP="008B169F">
      <w:pPr>
        <w:numPr>
          <w:ilvl w:val="1"/>
          <w:numId w:val="4"/>
        </w:numPr>
        <w:spacing w:line="276" w:lineRule="auto"/>
      </w:pPr>
      <w:r>
        <w:rPr>
          <w:rFonts w:eastAsia="MS Mincho"/>
          <w:iCs/>
          <w:lang w:eastAsia="ja-JP"/>
        </w:rPr>
        <w:t>FFS: Whether all REGs have DMRS or not</w:t>
      </w:r>
    </w:p>
    <w:p w:rsidR="00EA0EE3" w:rsidRPr="004B517E" w:rsidRDefault="00EA0EE3" w:rsidP="008B169F">
      <w:pPr>
        <w:numPr>
          <w:ilvl w:val="1"/>
          <w:numId w:val="4"/>
        </w:numPr>
        <w:spacing w:line="276" w:lineRule="auto"/>
      </w:pPr>
      <w:r>
        <w:t>FFS: Whether wideband precoding is supported and the definition of a REG bundle if it is supported</w:t>
      </w:r>
    </w:p>
    <w:p w:rsidR="00EA0EE3" w:rsidRDefault="00EA0EE3" w:rsidP="008B169F">
      <w:pPr>
        <w:numPr>
          <w:ilvl w:val="1"/>
          <w:numId w:val="4"/>
        </w:numPr>
        <w:spacing w:line="276" w:lineRule="auto"/>
      </w:pPr>
      <w:r>
        <w:t xml:space="preserve">FFS: whether REG bundle size is different for mapping of NR-PDCCH with or without interleaved mapping of CCE to REGs </w:t>
      </w:r>
    </w:p>
    <w:p w:rsidR="00EA0EE3" w:rsidRPr="00597176" w:rsidRDefault="00EA0EE3" w:rsidP="008B169F">
      <w:pPr>
        <w:numPr>
          <w:ilvl w:val="1"/>
          <w:numId w:val="4"/>
        </w:numPr>
        <w:spacing w:line="276" w:lineRule="auto"/>
      </w:pPr>
      <w:r>
        <w:t>FFS on REG bundle</w:t>
      </w:r>
      <w:r w:rsidRPr="00597176">
        <w:t xml:space="preserve"> size</w:t>
      </w:r>
    </w:p>
    <w:p w:rsidR="00EA0EE3" w:rsidRDefault="00EA0EE3" w:rsidP="008B169F">
      <w:pPr>
        <w:numPr>
          <w:ilvl w:val="1"/>
          <w:numId w:val="4"/>
        </w:numPr>
        <w:spacing w:line="276" w:lineRule="auto"/>
      </w:pPr>
      <w:r>
        <w:t>FFS whether REG bundle</w:t>
      </w:r>
      <w:r w:rsidRPr="00597176">
        <w:t xml:space="preserve"> size is configurable</w:t>
      </w:r>
    </w:p>
    <w:p w:rsidR="00EA0EE3" w:rsidRPr="00EA0EE3" w:rsidRDefault="00EA0EE3" w:rsidP="008B169F">
      <w:pPr>
        <w:numPr>
          <w:ilvl w:val="0"/>
          <w:numId w:val="4"/>
        </w:numPr>
        <w:spacing w:line="276" w:lineRule="auto"/>
      </w:pPr>
      <w:r w:rsidRPr="00EA0EE3">
        <w:rPr>
          <w:rFonts w:eastAsia="MS Mincho" w:hint="eastAsia"/>
          <w:b/>
          <w:iCs/>
          <w:highlight w:val="darkYellow"/>
          <w:u w:val="single"/>
          <w:lang w:eastAsia="ja-JP"/>
        </w:rPr>
        <w:t>Working assumption</w:t>
      </w:r>
      <w:r w:rsidRPr="00EA0EE3">
        <w:rPr>
          <w:rFonts w:eastAsia="MS Mincho"/>
          <w:b/>
          <w:iCs/>
          <w:highlight w:val="darkYellow"/>
          <w:u w:val="single"/>
          <w:lang w:eastAsia="ja-JP"/>
        </w:rPr>
        <w:t>:</w:t>
      </w:r>
    </w:p>
    <w:p w:rsidR="00EA0EE3" w:rsidRPr="00966F79" w:rsidRDefault="00EA0EE3" w:rsidP="008B169F">
      <w:pPr>
        <w:numPr>
          <w:ilvl w:val="1"/>
          <w:numId w:val="4"/>
        </w:numPr>
        <w:rPr>
          <w:rFonts w:eastAsia="MS Mincho"/>
          <w:iCs/>
          <w:lang w:eastAsia="ja-JP"/>
        </w:rPr>
      </w:pPr>
      <w:r w:rsidRPr="00966F79">
        <w:rPr>
          <w:rFonts w:eastAsia="MS Mincho"/>
          <w:iCs/>
          <w:lang w:eastAsia="ja-JP"/>
        </w:rPr>
        <w:t>A NR-CCE is defined as 6 REGs</w:t>
      </w:r>
    </w:p>
    <w:p w:rsidR="00EA0EE3" w:rsidRPr="00966F79" w:rsidRDefault="00EA0EE3" w:rsidP="008B169F">
      <w:pPr>
        <w:numPr>
          <w:ilvl w:val="2"/>
          <w:numId w:val="4"/>
        </w:numPr>
        <w:rPr>
          <w:rFonts w:eastAsia="MS Mincho"/>
          <w:iCs/>
          <w:lang w:eastAsia="ja-JP"/>
        </w:rPr>
      </w:pPr>
      <w:r w:rsidRPr="00966F79">
        <w:rPr>
          <w:rFonts w:eastAsia="MS Mincho"/>
          <w:iCs/>
          <w:lang w:eastAsia="ja-JP"/>
        </w:rPr>
        <w:t>Candidate bundle sizes for distributed REG-to-CCE mapping: 2 or 3 REGs if NR-CCE is defined as 6 REGs</w:t>
      </w:r>
    </w:p>
    <w:p w:rsidR="00EA0EE3" w:rsidRPr="00966F79" w:rsidRDefault="00EA0EE3" w:rsidP="008B169F">
      <w:pPr>
        <w:numPr>
          <w:ilvl w:val="1"/>
          <w:numId w:val="4"/>
        </w:numPr>
        <w:rPr>
          <w:rFonts w:eastAsia="MS Mincho"/>
          <w:iCs/>
          <w:lang w:eastAsia="ja-JP"/>
        </w:rPr>
      </w:pPr>
      <w:r w:rsidRPr="00966F79">
        <w:rPr>
          <w:rFonts w:eastAsia="MS Mincho"/>
          <w:iCs/>
          <w:lang w:eastAsia="ja-JP"/>
        </w:rPr>
        <w:t>FFS: impact of the NR-CCE definition on CORESET size, CCE aggregation levels, data resource allocation granularity, etc.</w:t>
      </w:r>
    </w:p>
    <w:p w:rsidR="00EA0EE3" w:rsidRDefault="00EA0EE3" w:rsidP="008204BC">
      <w:pPr>
        <w:jc w:val="both"/>
      </w:pPr>
    </w:p>
    <w:p w:rsidR="008204BC" w:rsidRPr="008204BC" w:rsidRDefault="00550AFF" w:rsidP="008204BC">
      <w:pPr>
        <w:jc w:val="both"/>
        <w:rPr>
          <w:rFonts w:eastAsia="MS Mincho"/>
          <w:lang w:eastAsia="ja-JP"/>
        </w:rPr>
      </w:pPr>
      <w:r>
        <w:t xml:space="preserve">This contribution discuses </w:t>
      </w:r>
      <w:r w:rsidR="00117B7B">
        <w:t xml:space="preserve">several </w:t>
      </w:r>
      <w:r>
        <w:t>open issues</w:t>
      </w:r>
      <w:r w:rsidR="00117B7B">
        <w:rPr>
          <w:rFonts w:eastAsia="MS Mincho"/>
          <w:lang w:eastAsia="ja-JP"/>
        </w:rPr>
        <w:t xml:space="preserve"> </w:t>
      </w:r>
      <w:r w:rsidR="00117B7B">
        <w:t xml:space="preserve">including </w:t>
      </w:r>
      <w:r w:rsidR="005472AE">
        <w:t xml:space="preserve">NR-CCE composition and </w:t>
      </w:r>
      <w:r w:rsidR="00192A56">
        <w:t>NR-PDCCH mapping to p</w:t>
      </w:r>
      <w:r w:rsidR="00117B7B">
        <w:t>hysical resou</w:t>
      </w:r>
      <w:r w:rsidR="005472AE">
        <w:t>rces.</w:t>
      </w:r>
    </w:p>
    <w:p w:rsidR="001016AC" w:rsidRDefault="008204BC" w:rsidP="0039087A">
      <w:pPr>
        <w:pStyle w:val="Heading1"/>
      </w:pPr>
      <w:r>
        <w:rPr>
          <w:rFonts w:hint="eastAsia"/>
        </w:rPr>
        <w:t>Discussion</w:t>
      </w:r>
    </w:p>
    <w:p w:rsidR="003A6B9D" w:rsidRDefault="003A6B9D" w:rsidP="003A6B9D">
      <w:pPr>
        <w:pStyle w:val="Heading2"/>
      </w:pPr>
      <w:r>
        <w:rPr>
          <w:sz w:val="28"/>
          <w:lang w:eastAsia="en-US"/>
        </w:rPr>
        <w:t>CCE size</w:t>
      </w:r>
    </w:p>
    <w:p w:rsidR="001421DE" w:rsidRDefault="0029624C" w:rsidP="003A6B9D">
      <w:pPr>
        <w:jc w:val="both"/>
        <w:rPr>
          <w:lang w:eastAsia="ja-JP"/>
        </w:rPr>
      </w:pPr>
      <w:r>
        <w:rPr>
          <w:lang w:eastAsia="ja-JP"/>
        </w:rPr>
        <w:t xml:space="preserve">In </w:t>
      </w:r>
      <w:r w:rsidR="00C07CFE">
        <w:rPr>
          <w:lang w:eastAsia="ja-JP"/>
        </w:rPr>
        <w:fldChar w:fldCharType="begin"/>
      </w:r>
      <w:r w:rsidR="001421DE">
        <w:rPr>
          <w:lang w:eastAsia="ja-JP"/>
        </w:rPr>
        <w:instrText xml:space="preserve"> REF _Ref481749951 \n \h </w:instrText>
      </w:r>
      <w:r w:rsidR="00C07CFE">
        <w:rPr>
          <w:lang w:eastAsia="ja-JP"/>
        </w:rPr>
      </w:r>
      <w:r w:rsidR="00C07CFE">
        <w:rPr>
          <w:lang w:eastAsia="ja-JP"/>
        </w:rPr>
        <w:fldChar w:fldCharType="separate"/>
      </w:r>
      <w:r w:rsidR="001421DE">
        <w:rPr>
          <w:lang w:eastAsia="ja-JP"/>
        </w:rPr>
        <w:t>[2]</w:t>
      </w:r>
      <w:r w:rsidR="00C07CFE">
        <w:rPr>
          <w:lang w:eastAsia="ja-JP"/>
        </w:rPr>
        <w:fldChar w:fldCharType="end"/>
      </w:r>
      <w:r w:rsidR="001421DE">
        <w:rPr>
          <w:lang w:eastAsia="ja-JP"/>
        </w:rPr>
        <w:t xml:space="preserve"> </w:t>
      </w:r>
      <w:r>
        <w:rPr>
          <w:lang w:eastAsia="ja-JP"/>
        </w:rPr>
        <w:t xml:space="preserve">we discuss possible contents of NR DCI formats. </w:t>
      </w:r>
      <w:r w:rsidR="00114566">
        <w:rPr>
          <w:lang w:eastAsia="ja-JP"/>
        </w:rPr>
        <w:t xml:space="preserve">At least the following completely new fields </w:t>
      </w:r>
      <w:r w:rsidR="009A7B6E">
        <w:rPr>
          <w:lang w:eastAsia="ja-JP"/>
        </w:rPr>
        <w:t>could be added f</w:t>
      </w:r>
      <w:r w:rsidR="00BB35DA">
        <w:rPr>
          <w:lang w:eastAsia="ja-JP"/>
        </w:rPr>
        <w:t>or NR DCI</w:t>
      </w:r>
      <w:r w:rsidR="00192A56">
        <w:rPr>
          <w:lang w:eastAsia="ja-JP"/>
        </w:rPr>
        <w:t xml:space="preserve"> format</w:t>
      </w:r>
      <w:r w:rsidR="00BB35DA">
        <w:rPr>
          <w:lang w:eastAsia="ja-JP"/>
        </w:rPr>
        <w:t xml:space="preserve">s, </w:t>
      </w:r>
    </w:p>
    <w:p w:rsidR="009A7B6E" w:rsidRPr="009A7B6E" w:rsidRDefault="009A7B6E" w:rsidP="008B169F">
      <w:pPr>
        <w:pStyle w:val="ListParagraph"/>
        <w:numPr>
          <w:ilvl w:val="0"/>
          <w:numId w:val="7"/>
        </w:numPr>
        <w:ind w:firstLineChars="0"/>
        <w:jc w:val="both"/>
        <w:rPr>
          <w:rFonts w:ascii="Times New Roman" w:hAnsi="Times New Roman"/>
          <w:sz w:val="20"/>
          <w:szCs w:val="20"/>
          <w:lang w:eastAsia="ja-JP"/>
        </w:rPr>
      </w:pPr>
      <w:r w:rsidRPr="009A7B6E">
        <w:rPr>
          <w:rFonts w:ascii="Times New Roman" w:hAnsi="Times New Roman"/>
          <w:sz w:val="20"/>
          <w:szCs w:val="20"/>
          <w:lang w:eastAsia="ja-JP"/>
        </w:rPr>
        <w:t>UL MIMO: TRI, SRI</w:t>
      </w:r>
    </w:p>
    <w:p w:rsidR="009A7B6E" w:rsidRPr="009A7B6E" w:rsidRDefault="009A7B6E" w:rsidP="008B169F">
      <w:pPr>
        <w:pStyle w:val="ListParagraph"/>
        <w:numPr>
          <w:ilvl w:val="0"/>
          <w:numId w:val="7"/>
        </w:numPr>
        <w:ind w:firstLineChars="0"/>
        <w:jc w:val="both"/>
        <w:rPr>
          <w:rFonts w:ascii="Times New Roman" w:hAnsi="Times New Roman"/>
          <w:sz w:val="20"/>
          <w:szCs w:val="20"/>
          <w:lang w:eastAsia="ja-JP"/>
        </w:rPr>
      </w:pPr>
      <w:r w:rsidRPr="009A7B6E">
        <w:rPr>
          <w:rFonts w:ascii="Times New Roman" w:hAnsi="Times New Roman"/>
          <w:sz w:val="20"/>
          <w:szCs w:val="20"/>
          <w:lang w:eastAsia="ja-JP"/>
        </w:rPr>
        <w:t>PUCCH time-frequency resource allocation</w:t>
      </w:r>
      <w:r>
        <w:rPr>
          <w:rFonts w:ascii="Times New Roman" w:hAnsi="Times New Roman"/>
          <w:sz w:val="20"/>
          <w:szCs w:val="20"/>
          <w:lang w:eastAsia="ja-JP"/>
        </w:rPr>
        <w:t xml:space="preserve"> (including HARQ-ACK timing)</w:t>
      </w:r>
    </w:p>
    <w:p w:rsidR="009A7B6E" w:rsidRPr="009A7B6E" w:rsidRDefault="009A7B6E" w:rsidP="008B169F">
      <w:pPr>
        <w:pStyle w:val="ListParagraph"/>
        <w:numPr>
          <w:ilvl w:val="0"/>
          <w:numId w:val="7"/>
        </w:numPr>
        <w:ind w:firstLineChars="0"/>
        <w:jc w:val="both"/>
        <w:rPr>
          <w:rFonts w:ascii="Times New Roman" w:hAnsi="Times New Roman"/>
          <w:sz w:val="20"/>
          <w:szCs w:val="20"/>
          <w:lang w:eastAsia="ja-JP"/>
        </w:rPr>
      </w:pPr>
      <w:r w:rsidRPr="009A7B6E">
        <w:rPr>
          <w:rFonts w:ascii="Times New Roman" w:hAnsi="Times New Roman"/>
          <w:sz w:val="20"/>
          <w:szCs w:val="20"/>
          <w:lang w:eastAsia="ja-JP"/>
        </w:rPr>
        <w:t>Timing between DL/UL grant and the corresponding data transmission</w:t>
      </w:r>
    </w:p>
    <w:p w:rsidR="009A7B6E" w:rsidRPr="009A7B6E" w:rsidRDefault="009A7B6E" w:rsidP="008B169F">
      <w:pPr>
        <w:pStyle w:val="ListParagraph"/>
        <w:numPr>
          <w:ilvl w:val="0"/>
          <w:numId w:val="7"/>
        </w:numPr>
        <w:ind w:firstLineChars="0"/>
        <w:jc w:val="both"/>
        <w:rPr>
          <w:rFonts w:ascii="Times New Roman" w:hAnsi="Times New Roman"/>
          <w:sz w:val="20"/>
          <w:szCs w:val="20"/>
          <w:lang w:eastAsia="ja-JP"/>
        </w:rPr>
      </w:pPr>
      <w:r w:rsidRPr="009A7B6E">
        <w:rPr>
          <w:rFonts w:ascii="Times New Roman" w:hAnsi="Times New Roman"/>
          <w:sz w:val="20"/>
          <w:szCs w:val="20"/>
          <w:lang w:eastAsia="ja-JP"/>
        </w:rPr>
        <w:t>Aperiodic IMR trigger</w:t>
      </w:r>
    </w:p>
    <w:p w:rsidR="009A7B6E" w:rsidRPr="009A7B6E" w:rsidRDefault="009A7B6E" w:rsidP="008B169F">
      <w:pPr>
        <w:pStyle w:val="ListParagraph"/>
        <w:numPr>
          <w:ilvl w:val="0"/>
          <w:numId w:val="7"/>
        </w:numPr>
        <w:ind w:firstLineChars="0"/>
        <w:jc w:val="both"/>
        <w:rPr>
          <w:rFonts w:ascii="Times New Roman" w:hAnsi="Times New Roman"/>
          <w:sz w:val="20"/>
          <w:szCs w:val="20"/>
          <w:lang w:eastAsia="ja-JP"/>
        </w:rPr>
      </w:pPr>
      <w:r w:rsidRPr="009A7B6E">
        <w:rPr>
          <w:rFonts w:ascii="Times New Roman" w:hAnsi="Times New Roman"/>
          <w:sz w:val="20"/>
          <w:szCs w:val="20"/>
          <w:lang w:eastAsia="ja-JP"/>
        </w:rPr>
        <w:lastRenderedPageBreak/>
        <w:t xml:space="preserve">HARQ Process ID for UL grant </w:t>
      </w:r>
    </w:p>
    <w:p w:rsidR="009A7B6E" w:rsidRPr="009A7B6E" w:rsidRDefault="009A7B6E" w:rsidP="008B169F">
      <w:pPr>
        <w:pStyle w:val="ListParagraph"/>
        <w:numPr>
          <w:ilvl w:val="0"/>
          <w:numId w:val="7"/>
        </w:numPr>
        <w:ind w:firstLineChars="0"/>
        <w:jc w:val="both"/>
        <w:rPr>
          <w:rFonts w:ascii="Times New Roman" w:hAnsi="Times New Roman"/>
          <w:sz w:val="20"/>
          <w:szCs w:val="20"/>
          <w:lang w:eastAsia="ja-JP"/>
        </w:rPr>
      </w:pPr>
      <w:r w:rsidRPr="009A7B6E">
        <w:rPr>
          <w:rFonts w:ascii="Times New Roman" w:hAnsi="Times New Roman"/>
          <w:sz w:val="20"/>
          <w:szCs w:val="20"/>
          <w:lang w:eastAsia="ja-JP"/>
        </w:rPr>
        <w:t>Indication of reuse of DL control resources for data</w:t>
      </w:r>
    </w:p>
    <w:p w:rsidR="009A7B6E" w:rsidRDefault="009A7B6E" w:rsidP="003A6B9D">
      <w:pPr>
        <w:jc w:val="both"/>
        <w:rPr>
          <w:lang w:eastAsia="ja-JP"/>
        </w:rPr>
      </w:pPr>
    </w:p>
    <w:p w:rsidR="00BB35DA" w:rsidRDefault="009A7B6E" w:rsidP="00BB35DA">
      <w:pPr>
        <w:jc w:val="both"/>
        <w:rPr>
          <w:lang w:eastAsia="ja-JP"/>
        </w:rPr>
      </w:pPr>
      <w:r>
        <w:rPr>
          <w:lang w:eastAsia="ja-JP"/>
        </w:rPr>
        <w:t xml:space="preserve">Therefore, even with efficient DL signaling through optimization of information fields (e.g. combination of semi-static and dynamic signaling) </w:t>
      </w:r>
      <w:r w:rsidR="00192A56">
        <w:rPr>
          <w:lang w:eastAsia="ja-JP"/>
        </w:rPr>
        <w:t>it is envisioned that NR DCI payloads would be on the order of 10 or more bits larger than corresponding LTE DCI sizes</w:t>
      </w:r>
      <w:r w:rsidR="00695CC0">
        <w:rPr>
          <w:lang w:eastAsia="ja-JP"/>
        </w:rPr>
        <w:t xml:space="preserve">. Given that for 20MHz the LTE DCI payload sizes (including CRC) already range from around 30 to </w:t>
      </w:r>
      <w:r w:rsidR="00192A56">
        <w:rPr>
          <w:lang w:eastAsia="ja-JP"/>
        </w:rPr>
        <w:t xml:space="preserve">roughly </w:t>
      </w:r>
      <w:r w:rsidR="00695CC0">
        <w:rPr>
          <w:lang w:eastAsia="ja-JP"/>
        </w:rPr>
        <w:t xml:space="preserve">80 bits, an NR-CCE size of 4 REGs with 33% DMRS overhead would require a very high coding rate for AL1. A CCE size of 8 REGs on the other hand may be </w:t>
      </w:r>
      <w:r w:rsidR="00192A56">
        <w:rPr>
          <w:lang w:eastAsia="ja-JP"/>
        </w:rPr>
        <w:t>over-dimensioned and would also impact NR-PDCCH capacity for small to moderate carrier bandwidths</w:t>
      </w:r>
      <w:r w:rsidR="00695CC0">
        <w:rPr>
          <w:lang w:eastAsia="ja-JP"/>
        </w:rPr>
        <w:t xml:space="preserve">. Therefore, it is recommended to adopt </w:t>
      </w:r>
      <w:r w:rsidR="00BB35DA">
        <w:rPr>
          <w:lang w:eastAsia="ja-JP"/>
        </w:rPr>
        <w:t>6 REGs as the CCE size.</w:t>
      </w:r>
    </w:p>
    <w:p w:rsidR="003A6B9D" w:rsidRDefault="003A6B9D" w:rsidP="003A6B9D">
      <w:pPr>
        <w:jc w:val="both"/>
        <w:rPr>
          <w:lang w:eastAsia="ja-JP"/>
        </w:rPr>
      </w:pPr>
    </w:p>
    <w:p w:rsidR="003A6B9D" w:rsidRDefault="003A6B9D" w:rsidP="003A6B9D">
      <w:pPr>
        <w:jc w:val="both"/>
        <w:rPr>
          <w:lang w:eastAsia="ja-JP"/>
        </w:rPr>
      </w:pPr>
      <w:r w:rsidRPr="00235704">
        <w:rPr>
          <w:b/>
          <w:lang w:eastAsia="ja-JP"/>
        </w:rPr>
        <w:t>Proposal: C</w:t>
      </w:r>
      <w:r>
        <w:rPr>
          <w:b/>
          <w:lang w:eastAsia="ja-JP"/>
        </w:rPr>
        <w:t xml:space="preserve">onfirm the working assumption that the CCE size is </w:t>
      </w:r>
      <w:r w:rsidRPr="00235704">
        <w:rPr>
          <w:b/>
          <w:lang w:eastAsia="ja-JP"/>
        </w:rPr>
        <w:t>6 REGs</w:t>
      </w:r>
      <w:r>
        <w:rPr>
          <w:lang w:eastAsia="ja-JP"/>
        </w:rPr>
        <w:t>.</w:t>
      </w:r>
    </w:p>
    <w:p w:rsidR="003A6B9D" w:rsidRDefault="003A6B9D" w:rsidP="003A6B9D">
      <w:pPr>
        <w:jc w:val="both"/>
        <w:rPr>
          <w:lang w:eastAsia="ja-JP"/>
        </w:rPr>
      </w:pPr>
    </w:p>
    <w:p w:rsidR="00197A7E" w:rsidRDefault="0091463C" w:rsidP="002D5177">
      <w:pPr>
        <w:pStyle w:val="Heading2"/>
      </w:pPr>
      <w:r w:rsidRPr="0091463C">
        <w:rPr>
          <w:sz w:val="28"/>
          <w:lang w:eastAsia="en-US"/>
        </w:rPr>
        <w:t>NR-CCE and NR-REG structure</w:t>
      </w:r>
    </w:p>
    <w:p w:rsidR="0038640E" w:rsidRDefault="0038640E" w:rsidP="0091463C">
      <w:pPr>
        <w:jc w:val="both"/>
        <w:rPr>
          <w:lang w:eastAsia="ja-JP"/>
        </w:rPr>
      </w:pPr>
      <w:r>
        <w:rPr>
          <w:lang w:eastAsia="ja-JP"/>
        </w:rPr>
        <w:t>Both localized and distributed CCE-to-REG mapping shall be supported for NR-PDCCH. The distributed mapping offers frequency diversity gain, which in our view is a major requirement as reliable delivery of DL control information cannot depend on the availability and timeliness of CSI at the gNB. Localized mapping on the other hand provides other benefits such as compact mapping in the frequency domain. This, in turn, is useful for frequency selective scheduling when timely CSI is available to the gNB. Furthermore, the compactness in the frequency domain can facilitate reuse of control resources for data transmission, and the possibility of DMRS overhead reduction when a control channel candidate is mapped across multiple OFDM symbols in a control resource set.</w:t>
      </w:r>
    </w:p>
    <w:p w:rsidR="001A087F" w:rsidRDefault="001A087F" w:rsidP="0091463C">
      <w:pPr>
        <w:jc w:val="both"/>
        <w:rPr>
          <w:lang w:eastAsia="ja-JP"/>
        </w:rPr>
      </w:pPr>
    </w:p>
    <w:p w:rsidR="00C266FD" w:rsidRDefault="001A087F" w:rsidP="0091463C">
      <w:pPr>
        <w:jc w:val="both"/>
        <w:rPr>
          <w:lang w:eastAsia="ja-JP"/>
        </w:rPr>
      </w:pPr>
      <w:r>
        <w:rPr>
          <w:lang w:eastAsia="ja-JP"/>
        </w:rPr>
        <w:t xml:space="preserve">A second issue to decide on is whether to adopt time-first or frequency-first mapping or both under the umbrella of localized or distributed CCE-to-REG mapping. As discussed in several previous contributions </w:t>
      </w:r>
      <w:r w:rsidR="00622EC4">
        <w:rPr>
          <w:lang w:eastAsia="ja-JP"/>
        </w:rPr>
        <w:t xml:space="preserve">(e.g. </w:t>
      </w:r>
      <w:r w:rsidR="00622EC4">
        <w:rPr>
          <w:lang w:eastAsia="ja-JP"/>
        </w:rPr>
        <w:fldChar w:fldCharType="begin"/>
      </w:r>
      <w:r w:rsidR="00622EC4">
        <w:rPr>
          <w:lang w:eastAsia="ja-JP"/>
        </w:rPr>
        <w:instrText xml:space="preserve"> REF _Ref481793600 \n \h </w:instrText>
      </w:r>
      <w:r w:rsidR="00622EC4">
        <w:rPr>
          <w:lang w:eastAsia="ja-JP"/>
        </w:rPr>
      </w:r>
      <w:r w:rsidR="00622EC4">
        <w:rPr>
          <w:lang w:eastAsia="ja-JP"/>
        </w:rPr>
        <w:fldChar w:fldCharType="separate"/>
      </w:r>
      <w:r w:rsidR="00622EC4">
        <w:rPr>
          <w:lang w:eastAsia="ja-JP"/>
        </w:rPr>
        <w:t>[3]</w:t>
      </w:r>
      <w:r w:rsidR="00622EC4">
        <w:rPr>
          <w:lang w:eastAsia="ja-JP"/>
        </w:rPr>
        <w:fldChar w:fldCharType="end"/>
      </w:r>
      <w:r w:rsidR="00622EC4">
        <w:rPr>
          <w:lang w:eastAsia="ja-JP"/>
        </w:rPr>
        <w:t xml:space="preserve"> - </w:t>
      </w:r>
      <w:r w:rsidR="00622EC4">
        <w:rPr>
          <w:lang w:eastAsia="ja-JP"/>
        </w:rPr>
        <w:fldChar w:fldCharType="begin"/>
      </w:r>
      <w:r w:rsidR="00622EC4">
        <w:rPr>
          <w:lang w:eastAsia="ja-JP"/>
        </w:rPr>
        <w:instrText xml:space="preserve"> REF _Ref481793610 \n \h </w:instrText>
      </w:r>
      <w:r w:rsidR="00622EC4">
        <w:rPr>
          <w:lang w:eastAsia="ja-JP"/>
        </w:rPr>
      </w:r>
      <w:r w:rsidR="00622EC4">
        <w:rPr>
          <w:lang w:eastAsia="ja-JP"/>
        </w:rPr>
        <w:fldChar w:fldCharType="separate"/>
      </w:r>
      <w:r w:rsidR="00622EC4">
        <w:rPr>
          <w:lang w:eastAsia="ja-JP"/>
        </w:rPr>
        <w:t>[5]</w:t>
      </w:r>
      <w:r w:rsidR="00622EC4">
        <w:rPr>
          <w:lang w:eastAsia="ja-JP"/>
        </w:rPr>
        <w:fldChar w:fldCharType="end"/>
      </w:r>
      <w:r w:rsidR="00622EC4">
        <w:rPr>
          <w:lang w:eastAsia="ja-JP"/>
        </w:rPr>
        <w:t xml:space="preserve">) </w:t>
      </w:r>
      <w:r>
        <w:rPr>
          <w:lang w:eastAsia="ja-JP"/>
        </w:rPr>
        <w:t>there are pros and cons to either time-first or frequency-first mapping.</w:t>
      </w:r>
      <w:r w:rsidR="002E09EB">
        <w:rPr>
          <w:lang w:eastAsia="ja-JP"/>
        </w:rPr>
        <w:t xml:space="preserve"> </w:t>
      </w:r>
      <w:r w:rsidR="002E09EB">
        <w:rPr>
          <w:lang w:eastAsia="ja-JP"/>
        </w:rPr>
        <w:fldChar w:fldCharType="begin"/>
      </w:r>
      <w:r w:rsidR="002E09EB">
        <w:rPr>
          <w:lang w:eastAsia="ja-JP"/>
        </w:rPr>
        <w:instrText xml:space="preserve"> REF _Ref481797002 \h </w:instrText>
      </w:r>
      <w:r w:rsidR="002E09EB">
        <w:rPr>
          <w:lang w:eastAsia="ja-JP"/>
        </w:rPr>
      </w:r>
      <w:r w:rsidR="002E09EB">
        <w:rPr>
          <w:lang w:eastAsia="ja-JP"/>
        </w:rPr>
        <w:fldChar w:fldCharType="separate"/>
      </w:r>
      <w:r w:rsidR="002E09EB">
        <w:t xml:space="preserve">Figure </w:t>
      </w:r>
      <w:r w:rsidR="002E09EB">
        <w:rPr>
          <w:noProof/>
        </w:rPr>
        <w:t>1</w:t>
      </w:r>
      <w:r w:rsidR="002E09EB">
        <w:rPr>
          <w:lang w:eastAsia="ja-JP"/>
        </w:rPr>
        <w:fldChar w:fldCharType="end"/>
      </w:r>
      <w:r w:rsidR="002E09EB">
        <w:rPr>
          <w:lang w:eastAsia="ja-JP"/>
        </w:rPr>
        <w:t xml:space="preserve"> depicts localized frequency-first and time-first CCE-to-REG mapping. </w:t>
      </w:r>
      <w:r w:rsidR="00C266FD">
        <w:rPr>
          <w:lang w:eastAsia="ja-JP"/>
        </w:rPr>
        <w:t xml:space="preserve">The REGs are indexed in numerical order starting from the lowest indexed PRB of the first symbol to the highest indexed PRB of the last symbol of the control resource set. </w:t>
      </w:r>
    </w:p>
    <w:p w:rsidR="00BC3265" w:rsidRDefault="00BC3265" w:rsidP="0091463C">
      <w:pPr>
        <w:jc w:val="both"/>
        <w:rPr>
          <w:lang w:eastAsia="ja-JP"/>
        </w:rPr>
      </w:pPr>
    </w:p>
    <w:p w:rsidR="002E09EB" w:rsidRDefault="002E09EB" w:rsidP="002E09EB">
      <w:pPr>
        <w:keepNext/>
        <w:jc w:val="center"/>
      </w:pPr>
      <w:r w:rsidRPr="002E09EB">
        <w:drawing>
          <wp:inline distT="0" distB="0" distL="0" distR="0">
            <wp:extent cx="2976911" cy="1964837"/>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978972" cy="1966197"/>
                    </a:xfrm>
                    <a:prstGeom prst="rect">
                      <a:avLst/>
                    </a:prstGeom>
                    <a:noFill/>
                    <a:ln w="9525">
                      <a:noFill/>
                      <a:miter lim="800000"/>
                      <a:headEnd/>
                      <a:tailEnd/>
                    </a:ln>
                  </pic:spPr>
                </pic:pic>
              </a:graphicData>
            </a:graphic>
          </wp:inline>
        </w:drawing>
      </w:r>
    </w:p>
    <w:p w:rsidR="002E09EB" w:rsidRDefault="002E09EB" w:rsidP="002E09EB">
      <w:pPr>
        <w:pStyle w:val="Caption"/>
        <w:jc w:val="center"/>
        <w:rPr>
          <w:lang w:eastAsia="ja-JP"/>
        </w:rPr>
      </w:pPr>
      <w:bookmarkStart w:id="3" w:name="_Ref481797002"/>
      <w:r>
        <w:t xml:space="preserve">Figure </w:t>
      </w:r>
      <w:fldSimple w:instr=" SEQ Figure \* ARABIC ">
        <w:r w:rsidR="00432356">
          <w:rPr>
            <w:noProof/>
          </w:rPr>
          <w:t>1</w:t>
        </w:r>
      </w:fldSimple>
      <w:bookmarkEnd w:id="3"/>
      <w:r>
        <w:t xml:space="preserve"> Localized CCE-to-REG mapping: (a) Frequency-first, (b) Time-first</w:t>
      </w:r>
    </w:p>
    <w:p w:rsidR="00432356" w:rsidRDefault="00432356" w:rsidP="00432356">
      <w:pPr>
        <w:jc w:val="both"/>
        <w:rPr>
          <w:lang w:eastAsia="ja-JP"/>
        </w:rPr>
      </w:pPr>
    </w:p>
    <w:p w:rsidR="00432356" w:rsidRDefault="00432356" w:rsidP="00432356">
      <w:pPr>
        <w:jc w:val="both"/>
        <w:rPr>
          <w:lang w:eastAsia="ja-JP"/>
        </w:rPr>
      </w:pPr>
      <w:r>
        <w:rPr>
          <w:lang w:eastAsia="ja-JP"/>
        </w:rPr>
        <w:t xml:space="preserve">It can be seen that frequency-first mapping may provide some latency benefits in terms of early decoding only if the transmitted candidate is mapped to the first symbol. A stronger benefit is that for frequency-first mapping of a candidate to CCEs, it supports analog beamforming where different beams are used on different symbols. Time-first mapping is beneficial for localized mapping since the CCEs can be compactly located in the frequency domain. </w:t>
      </w:r>
    </w:p>
    <w:p w:rsidR="00BF5023" w:rsidRDefault="00574D33" w:rsidP="0091463C">
      <w:pPr>
        <w:jc w:val="both"/>
        <w:rPr>
          <w:lang w:eastAsia="ja-JP"/>
        </w:rPr>
      </w:pPr>
      <w:r>
        <w:rPr>
          <w:lang w:eastAsia="ja-JP"/>
        </w:rPr>
        <w:t xml:space="preserve">For the localized mapping shown above frequency-first and time-first mapping of candidate to CCE can be implemented for frequency-first CCE-to-REG mapping. However, for the time-first CCE-to-REG mapping, only frequency-first mapping is possible. </w:t>
      </w:r>
    </w:p>
    <w:p w:rsidR="00432356" w:rsidRDefault="00432356" w:rsidP="0091463C">
      <w:pPr>
        <w:jc w:val="both"/>
        <w:rPr>
          <w:lang w:eastAsia="ja-JP"/>
        </w:rPr>
      </w:pPr>
    </w:p>
    <w:p w:rsidR="00C266FD" w:rsidRDefault="00C266FD" w:rsidP="0091463C">
      <w:pPr>
        <w:jc w:val="both"/>
        <w:rPr>
          <w:lang w:eastAsia="ja-JP"/>
        </w:rPr>
      </w:pPr>
      <w:r>
        <w:rPr>
          <w:lang w:eastAsia="ja-JP"/>
        </w:rPr>
        <w:t xml:space="preserve">The distributed mapping case is shown in </w:t>
      </w:r>
      <w:r w:rsidR="00432356">
        <w:rPr>
          <w:lang w:eastAsia="ja-JP"/>
        </w:rPr>
        <w:fldChar w:fldCharType="begin"/>
      </w:r>
      <w:r w:rsidR="00432356">
        <w:rPr>
          <w:lang w:eastAsia="ja-JP"/>
        </w:rPr>
        <w:instrText xml:space="preserve"> REF _Ref481801540 \h </w:instrText>
      </w:r>
      <w:r w:rsidR="00432356">
        <w:rPr>
          <w:lang w:eastAsia="ja-JP"/>
        </w:rPr>
      </w:r>
      <w:r w:rsidR="00432356">
        <w:rPr>
          <w:lang w:eastAsia="ja-JP"/>
        </w:rPr>
        <w:fldChar w:fldCharType="separate"/>
      </w:r>
      <w:r w:rsidR="00432356">
        <w:t xml:space="preserve">Figure </w:t>
      </w:r>
      <w:r w:rsidR="00432356">
        <w:rPr>
          <w:noProof/>
        </w:rPr>
        <w:t>2</w:t>
      </w:r>
      <w:r w:rsidR="00432356">
        <w:rPr>
          <w:lang w:eastAsia="ja-JP"/>
        </w:rPr>
        <w:fldChar w:fldCharType="end"/>
      </w:r>
      <w:r>
        <w:rPr>
          <w:lang w:eastAsia="ja-JP"/>
        </w:rPr>
        <w:t xml:space="preserve">. In this example the CCE-to-REG distribution is per REG bundle to reap some channel estimation gain due to bundling. </w:t>
      </w:r>
      <w:r w:rsidR="00BF5023">
        <w:rPr>
          <w:lang w:eastAsia="ja-JP"/>
        </w:rPr>
        <w:t>An interleaver can be used to implement distributed CCE-to-REG mapping. The interleaving unit is an REG bundle which can enable time-first or frequency-first according to the interleaving function.</w:t>
      </w:r>
    </w:p>
    <w:p w:rsidR="00D06631" w:rsidRDefault="00D06631" w:rsidP="00D06631">
      <w:pPr>
        <w:keepNext/>
        <w:jc w:val="center"/>
      </w:pPr>
      <w:r w:rsidRPr="00D06631">
        <w:lastRenderedPageBreak/>
        <w:drawing>
          <wp:inline distT="0" distB="0" distL="0" distR="0">
            <wp:extent cx="2936240" cy="220027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936240" cy="2200275"/>
                    </a:xfrm>
                    <a:prstGeom prst="rect">
                      <a:avLst/>
                    </a:prstGeom>
                    <a:noFill/>
                    <a:ln w="9525">
                      <a:noFill/>
                      <a:miter lim="800000"/>
                      <a:headEnd/>
                      <a:tailEnd/>
                    </a:ln>
                  </pic:spPr>
                </pic:pic>
              </a:graphicData>
            </a:graphic>
          </wp:inline>
        </w:drawing>
      </w:r>
    </w:p>
    <w:p w:rsidR="00D06631" w:rsidRDefault="00D06631" w:rsidP="00D06631">
      <w:pPr>
        <w:pStyle w:val="Caption"/>
        <w:jc w:val="center"/>
        <w:rPr>
          <w:lang w:eastAsia="ja-JP"/>
        </w:rPr>
      </w:pPr>
      <w:bookmarkStart w:id="4" w:name="_Ref481801540"/>
      <w:r>
        <w:t xml:space="preserve">Figure </w:t>
      </w:r>
      <w:fldSimple w:instr=" SEQ Figure \* ARABIC ">
        <w:r w:rsidR="00432356">
          <w:rPr>
            <w:noProof/>
          </w:rPr>
          <w:t>2</w:t>
        </w:r>
      </w:fldSimple>
      <w:bookmarkEnd w:id="4"/>
      <w:r>
        <w:t xml:space="preserve"> Distributed</w:t>
      </w:r>
      <w:r w:rsidRPr="0084178C">
        <w:t xml:space="preserve"> CCE-to-REG mapping: (a) Frequency-first, (b) Time-first</w:t>
      </w:r>
    </w:p>
    <w:p w:rsidR="00C266FD" w:rsidRDefault="00C266FD" w:rsidP="0091463C">
      <w:pPr>
        <w:jc w:val="both"/>
        <w:rPr>
          <w:lang w:eastAsia="ja-JP"/>
        </w:rPr>
      </w:pPr>
    </w:p>
    <w:p w:rsidR="00BC3265" w:rsidRDefault="00C266FD" w:rsidP="0091463C">
      <w:pPr>
        <w:jc w:val="both"/>
        <w:rPr>
          <w:lang w:eastAsia="ja-JP"/>
        </w:rPr>
      </w:pPr>
      <w:r>
        <w:rPr>
          <w:lang w:eastAsia="ja-JP"/>
        </w:rPr>
        <w:t>It can be observed from the two figures that there is a dependency between the control resource set duration and the CCE size. If the control resour</w:t>
      </w:r>
      <w:r w:rsidR="00D94A55">
        <w:rPr>
          <w:lang w:eastAsia="ja-JP"/>
        </w:rPr>
        <w:t xml:space="preserve">ce set duration is not a factor of the CCE size, then multiple CCEs would share the same PRBs. This would mean that DMRS cannot readily be reused on contiguous OFDM symbols containing the same CCE. In our view the gNB has the flexibility to configure control resource set size to avid this issue. For example, given a bundle size of 2, and time-first CCE-to-REG mapping, the duration is restricted to even numbers. On the other hand odd length duration can be realized with frequency-first mapping to avoid CCEs sharing the same PRB. </w:t>
      </w:r>
    </w:p>
    <w:p w:rsidR="00D94A55" w:rsidRDefault="00D94A55" w:rsidP="0091463C">
      <w:pPr>
        <w:jc w:val="both"/>
        <w:rPr>
          <w:lang w:eastAsia="ja-JP"/>
        </w:rPr>
      </w:pPr>
    </w:p>
    <w:p w:rsidR="00D94A55" w:rsidRDefault="00D94A55" w:rsidP="0091463C">
      <w:pPr>
        <w:jc w:val="both"/>
        <w:rPr>
          <w:b/>
          <w:lang w:eastAsia="ja-JP"/>
        </w:rPr>
      </w:pPr>
      <w:r w:rsidRPr="00574D33">
        <w:rPr>
          <w:b/>
          <w:lang w:eastAsia="ja-JP"/>
        </w:rPr>
        <w:t xml:space="preserve">Observation: </w:t>
      </w:r>
      <w:r w:rsidR="00574D33" w:rsidRPr="00574D33">
        <w:rPr>
          <w:b/>
          <w:lang w:eastAsia="ja-JP"/>
        </w:rPr>
        <w:t>the gNB has the flexibility to configure the control resource set duration and/or the CCE-to-REG mapping such that multiple CCEs do not share the same PRB.</w:t>
      </w:r>
    </w:p>
    <w:p w:rsidR="00BF5023" w:rsidRDefault="00BF5023" w:rsidP="0091463C">
      <w:pPr>
        <w:jc w:val="both"/>
        <w:rPr>
          <w:b/>
          <w:lang w:eastAsia="ja-JP"/>
        </w:rPr>
      </w:pPr>
    </w:p>
    <w:p w:rsidR="00BF5023" w:rsidRPr="00574D33" w:rsidRDefault="00BF5023" w:rsidP="0091463C">
      <w:pPr>
        <w:jc w:val="both"/>
        <w:rPr>
          <w:b/>
          <w:lang w:eastAsia="ja-JP"/>
        </w:rPr>
      </w:pPr>
      <w:r>
        <w:rPr>
          <w:b/>
          <w:lang w:eastAsia="ja-JP"/>
        </w:rPr>
        <w:t xml:space="preserve">Proposal: the CCE-to-REG mapping can be localized or distributed and time-first or frequency-first. </w:t>
      </w:r>
    </w:p>
    <w:p w:rsidR="0038640E" w:rsidRDefault="0038640E" w:rsidP="0091463C">
      <w:pPr>
        <w:jc w:val="both"/>
        <w:rPr>
          <w:lang w:eastAsia="ja-JP"/>
        </w:rPr>
      </w:pPr>
    </w:p>
    <w:p w:rsidR="0091463C" w:rsidRDefault="00B83974" w:rsidP="0091463C">
      <w:pPr>
        <w:jc w:val="both"/>
        <w:rPr>
          <w:rFonts w:eastAsia="SimSun"/>
          <w:lang w:eastAsia="zh-CN"/>
        </w:rPr>
      </w:pPr>
      <w:r>
        <w:rPr>
          <w:rFonts w:eastAsia="SimSun"/>
          <w:lang w:eastAsia="zh-CN"/>
        </w:rPr>
        <w:t xml:space="preserve">An open issue is the bundle size, where it was agreed to consider </w:t>
      </w:r>
      <w:r w:rsidR="00BF5023" w:rsidRPr="00BF5023">
        <w:rPr>
          <w:rFonts w:eastAsia="SimSun"/>
          <w:lang w:eastAsia="zh-CN"/>
        </w:rPr>
        <w:t>bundle sizes of 2 and 3</w:t>
      </w:r>
      <w:r w:rsidR="00BF5023">
        <w:rPr>
          <w:rFonts w:eastAsia="SimSun"/>
          <w:lang w:eastAsia="zh-CN"/>
        </w:rPr>
        <w:t>.</w:t>
      </w:r>
      <w:r>
        <w:rPr>
          <w:rFonts w:eastAsia="SimSun"/>
          <w:lang w:eastAsia="zh-CN"/>
        </w:rPr>
        <w:t xml:space="preserve"> We provide a preliminary performance evaluation for small and large delay spreads in </w:t>
      </w:r>
      <w:r w:rsidR="00432356">
        <w:rPr>
          <w:rFonts w:eastAsia="SimSun"/>
          <w:lang w:eastAsia="zh-CN"/>
        </w:rPr>
        <w:fldChar w:fldCharType="begin"/>
      </w:r>
      <w:r w:rsidR="00432356">
        <w:rPr>
          <w:rFonts w:eastAsia="SimSun"/>
          <w:lang w:eastAsia="zh-CN"/>
        </w:rPr>
        <w:instrText xml:space="preserve"> REF _Ref481801157 \h </w:instrText>
      </w:r>
      <w:r w:rsidR="00432356">
        <w:rPr>
          <w:rFonts w:eastAsia="SimSun"/>
          <w:lang w:eastAsia="zh-CN"/>
        </w:rPr>
      </w:r>
      <w:r w:rsidR="00432356">
        <w:rPr>
          <w:rFonts w:eastAsia="SimSun"/>
          <w:lang w:eastAsia="zh-CN"/>
        </w:rPr>
        <w:fldChar w:fldCharType="separate"/>
      </w:r>
      <w:r w:rsidR="00432356">
        <w:t xml:space="preserve">Figure </w:t>
      </w:r>
      <w:r w:rsidR="00432356">
        <w:rPr>
          <w:noProof/>
        </w:rPr>
        <w:t>3</w:t>
      </w:r>
      <w:r w:rsidR="00432356">
        <w:rPr>
          <w:rFonts w:eastAsia="SimSun"/>
          <w:lang w:eastAsia="zh-CN"/>
        </w:rPr>
        <w:fldChar w:fldCharType="end"/>
      </w:r>
      <w:r w:rsidR="00432356">
        <w:rPr>
          <w:rFonts w:eastAsia="SimSun"/>
          <w:lang w:eastAsia="zh-CN"/>
        </w:rPr>
        <w:t xml:space="preserve"> and </w:t>
      </w:r>
      <w:r w:rsidR="00432356">
        <w:rPr>
          <w:rFonts w:eastAsia="SimSun"/>
          <w:lang w:eastAsia="zh-CN"/>
        </w:rPr>
        <w:fldChar w:fldCharType="begin"/>
      </w:r>
      <w:r w:rsidR="00432356">
        <w:rPr>
          <w:rFonts w:eastAsia="SimSun"/>
          <w:lang w:eastAsia="zh-CN"/>
        </w:rPr>
        <w:instrText xml:space="preserve"> REF _Ref481801189 \h </w:instrText>
      </w:r>
      <w:r w:rsidR="00432356">
        <w:rPr>
          <w:rFonts w:eastAsia="SimSun"/>
          <w:lang w:eastAsia="zh-CN"/>
        </w:rPr>
      </w:r>
      <w:r w:rsidR="00432356">
        <w:rPr>
          <w:rFonts w:eastAsia="SimSun"/>
          <w:lang w:eastAsia="zh-CN"/>
        </w:rPr>
        <w:fldChar w:fldCharType="separate"/>
      </w:r>
      <w:r w:rsidR="00432356">
        <w:t xml:space="preserve">Figure </w:t>
      </w:r>
      <w:r w:rsidR="00432356">
        <w:rPr>
          <w:noProof/>
        </w:rPr>
        <w:t>4</w:t>
      </w:r>
      <w:r w:rsidR="00432356">
        <w:rPr>
          <w:rFonts w:eastAsia="SimSun"/>
          <w:lang w:eastAsia="zh-CN"/>
        </w:rPr>
        <w:fldChar w:fldCharType="end"/>
      </w:r>
      <w:r>
        <w:rPr>
          <w:rFonts w:eastAsia="SimSun"/>
          <w:lang w:eastAsia="zh-CN"/>
        </w:rPr>
        <w:t xml:space="preserve">. </w:t>
      </w:r>
      <w:r w:rsidR="00432356">
        <w:rPr>
          <w:rFonts w:eastAsia="SimSun"/>
          <w:lang w:eastAsia="zh-CN"/>
        </w:rPr>
        <w:t xml:space="preserve"> The simulation assumptions are described in Table 1 of the Appendix.</w:t>
      </w:r>
    </w:p>
    <w:p w:rsidR="00B83974" w:rsidRDefault="00B83974" w:rsidP="0091463C">
      <w:pPr>
        <w:jc w:val="both"/>
        <w:rPr>
          <w:rFonts w:eastAsia="SimSun"/>
          <w:lang w:eastAsia="zh-CN"/>
        </w:rPr>
      </w:pPr>
    </w:p>
    <w:p w:rsidR="00432356" w:rsidRDefault="00B83974" w:rsidP="00432356">
      <w:pPr>
        <w:keepNext/>
        <w:jc w:val="center"/>
      </w:pPr>
      <w:r>
        <w:rPr>
          <w:rFonts w:eastAsia="SimSun"/>
          <w:noProof/>
          <w:lang w:eastAsia="zh-CN"/>
        </w:rPr>
        <w:drawing>
          <wp:inline distT="0" distB="0" distL="0" distR="0">
            <wp:extent cx="3409524" cy="2628572"/>
            <wp:effectExtent l="19050" t="0" r="426" b="0"/>
            <wp:docPr id="6" name="Picture 5" descr="bundling-comparison_tdlc_30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ndling-comparison_tdlc_30ns.png"/>
                    <pic:cNvPicPr/>
                  </pic:nvPicPr>
                  <pic:blipFill>
                    <a:blip r:embed="rId10"/>
                    <a:stretch>
                      <a:fillRect/>
                    </a:stretch>
                  </pic:blipFill>
                  <pic:spPr>
                    <a:xfrm>
                      <a:off x="0" y="0"/>
                      <a:ext cx="3409524" cy="2628572"/>
                    </a:xfrm>
                    <a:prstGeom prst="rect">
                      <a:avLst/>
                    </a:prstGeom>
                  </pic:spPr>
                </pic:pic>
              </a:graphicData>
            </a:graphic>
          </wp:inline>
        </w:drawing>
      </w:r>
    </w:p>
    <w:p w:rsidR="00B83974" w:rsidRDefault="00432356" w:rsidP="00432356">
      <w:pPr>
        <w:pStyle w:val="Caption"/>
        <w:jc w:val="center"/>
      </w:pPr>
      <w:bookmarkStart w:id="5" w:name="_Ref481801157"/>
      <w:r>
        <w:t xml:space="preserve">Figure </w:t>
      </w:r>
      <w:fldSimple w:instr=" SEQ Figure \* ARABIC ">
        <w:r>
          <w:rPr>
            <w:noProof/>
          </w:rPr>
          <w:t>3</w:t>
        </w:r>
      </w:fldSimple>
      <w:bookmarkEnd w:id="5"/>
      <w:r>
        <w:t xml:space="preserve"> Performance comparison of different REG bundle sizes for TDL-C DS=30ns</w:t>
      </w:r>
    </w:p>
    <w:p w:rsidR="00866086" w:rsidRDefault="00432356" w:rsidP="00866086">
      <w:pPr>
        <w:jc w:val="both"/>
        <w:rPr>
          <w:lang w:eastAsia="ja-JP"/>
        </w:rPr>
      </w:pPr>
      <w:r>
        <w:rPr>
          <w:rFonts w:eastAsia="SimSun"/>
          <w:lang w:val="en-GB"/>
        </w:rPr>
        <w:t xml:space="preserve">It can be observed in </w:t>
      </w:r>
      <w:r>
        <w:rPr>
          <w:rFonts w:eastAsia="SimSun"/>
          <w:lang w:val="en-GB"/>
        </w:rPr>
        <w:fldChar w:fldCharType="begin"/>
      </w:r>
      <w:r>
        <w:rPr>
          <w:rFonts w:eastAsia="SimSun"/>
          <w:lang w:val="en-GB"/>
        </w:rPr>
        <w:instrText xml:space="preserve"> REF _Ref481801157 \h </w:instrText>
      </w:r>
      <w:r>
        <w:rPr>
          <w:rFonts w:eastAsia="SimSun"/>
          <w:lang w:val="en-GB"/>
        </w:rPr>
      </w:r>
      <w:r>
        <w:rPr>
          <w:rFonts w:eastAsia="SimSun"/>
          <w:lang w:val="en-GB"/>
        </w:rPr>
        <w:fldChar w:fldCharType="separate"/>
      </w:r>
      <w:r>
        <w:t xml:space="preserve">Figure </w:t>
      </w:r>
      <w:r>
        <w:rPr>
          <w:noProof/>
        </w:rPr>
        <w:t>3</w:t>
      </w:r>
      <w:r>
        <w:rPr>
          <w:rFonts w:eastAsia="SimSun"/>
          <w:lang w:val="en-GB"/>
        </w:rPr>
        <w:fldChar w:fldCharType="end"/>
      </w:r>
      <w:r>
        <w:rPr>
          <w:rFonts w:eastAsia="SimSun"/>
          <w:lang w:val="en-GB"/>
        </w:rPr>
        <w:t xml:space="preserve"> that when the channel frequency selectivity is low a larger bundling size is better for AL1 since the coding gain cannot compensate for the poorer channel estimation. On the other hand, for highly frequency selective channel as shown in </w:t>
      </w:r>
      <w:r>
        <w:rPr>
          <w:rFonts w:eastAsia="SimSun"/>
          <w:lang w:val="en-GB"/>
        </w:rPr>
        <w:fldChar w:fldCharType="begin"/>
      </w:r>
      <w:r>
        <w:rPr>
          <w:rFonts w:eastAsia="SimSun"/>
          <w:lang w:val="en-GB"/>
        </w:rPr>
        <w:instrText xml:space="preserve"> REF _Ref481801189 \h </w:instrText>
      </w:r>
      <w:r>
        <w:rPr>
          <w:rFonts w:eastAsia="SimSun"/>
          <w:lang w:val="en-GB"/>
        </w:rPr>
      </w:r>
      <w:r>
        <w:rPr>
          <w:rFonts w:eastAsia="SimSun"/>
          <w:lang w:val="en-GB"/>
        </w:rPr>
        <w:fldChar w:fldCharType="separate"/>
      </w:r>
      <w:r>
        <w:t xml:space="preserve">Figure </w:t>
      </w:r>
      <w:r>
        <w:rPr>
          <w:noProof/>
        </w:rPr>
        <w:t>4</w:t>
      </w:r>
      <w:r>
        <w:rPr>
          <w:rFonts w:eastAsia="SimSun"/>
          <w:lang w:val="en-GB"/>
        </w:rPr>
        <w:fldChar w:fldCharType="end"/>
      </w:r>
      <w:r>
        <w:rPr>
          <w:rFonts w:eastAsia="SimSun"/>
          <w:lang w:val="en-GB"/>
        </w:rPr>
        <w:t xml:space="preserve">, larger bundling has no </w:t>
      </w:r>
      <w:r w:rsidR="00866086">
        <w:rPr>
          <w:rFonts w:eastAsia="SimSun"/>
          <w:lang w:val="en-GB"/>
        </w:rPr>
        <w:t xml:space="preserve">performance </w:t>
      </w:r>
      <w:r>
        <w:rPr>
          <w:rFonts w:eastAsia="SimSun"/>
          <w:lang w:val="en-GB"/>
        </w:rPr>
        <w:t xml:space="preserve">gain </w:t>
      </w:r>
      <w:r w:rsidR="00866086">
        <w:rPr>
          <w:rFonts w:eastAsia="SimSun"/>
          <w:lang w:val="en-GB"/>
        </w:rPr>
        <w:t xml:space="preserve">even for AL1 </w:t>
      </w:r>
      <w:r>
        <w:rPr>
          <w:rFonts w:eastAsia="SimSun"/>
          <w:lang w:val="en-GB"/>
        </w:rPr>
        <w:t xml:space="preserve">as </w:t>
      </w:r>
      <w:r w:rsidR="00866086">
        <w:rPr>
          <w:rFonts w:eastAsia="SimSun"/>
          <w:lang w:val="en-GB"/>
        </w:rPr>
        <w:t>the frequency selectivity becomes a limiting factor.</w:t>
      </w:r>
      <w:r w:rsidR="00866086" w:rsidRPr="00866086">
        <w:rPr>
          <w:lang w:eastAsia="ja-JP"/>
        </w:rPr>
        <w:t xml:space="preserve"> </w:t>
      </w:r>
      <w:r w:rsidR="00866086">
        <w:rPr>
          <w:lang w:eastAsia="ja-JP"/>
        </w:rPr>
        <w:t>Thus we have a slight preference for the smaller bundle size.</w:t>
      </w:r>
    </w:p>
    <w:p w:rsidR="00432356" w:rsidRPr="00866086" w:rsidRDefault="00432356" w:rsidP="00432356">
      <w:pPr>
        <w:rPr>
          <w:rFonts w:eastAsia="SimSun"/>
        </w:rPr>
      </w:pPr>
    </w:p>
    <w:p w:rsidR="00432356" w:rsidRDefault="00B83974" w:rsidP="00432356">
      <w:pPr>
        <w:keepNext/>
        <w:jc w:val="center"/>
      </w:pPr>
      <w:r>
        <w:rPr>
          <w:rFonts w:eastAsia="SimSun"/>
          <w:noProof/>
          <w:lang w:eastAsia="zh-CN"/>
        </w:rPr>
        <w:drawing>
          <wp:inline distT="0" distB="0" distL="0" distR="0">
            <wp:extent cx="3310601" cy="2373549"/>
            <wp:effectExtent l="19050" t="0" r="4099" b="0"/>
            <wp:docPr id="7" name="Picture 6" descr="bundling-comparison_tdlc_1000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ndling-comparison_tdlc_1000ns.png"/>
                    <pic:cNvPicPr/>
                  </pic:nvPicPr>
                  <pic:blipFill>
                    <a:blip r:embed="rId11"/>
                    <a:stretch>
                      <a:fillRect/>
                    </a:stretch>
                  </pic:blipFill>
                  <pic:spPr>
                    <a:xfrm>
                      <a:off x="0" y="0"/>
                      <a:ext cx="3314690" cy="2376481"/>
                    </a:xfrm>
                    <a:prstGeom prst="rect">
                      <a:avLst/>
                    </a:prstGeom>
                  </pic:spPr>
                </pic:pic>
              </a:graphicData>
            </a:graphic>
          </wp:inline>
        </w:drawing>
      </w:r>
    </w:p>
    <w:p w:rsidR="00B83974" w:rsidRPr="00BF5023" w:rsidRDefault="00432356" w:rsidP="00432356">
      <w:pPr>
        <w:pStyle w:val="Caption"/>
        <w:jc w:val="center"/>
        <w:rPr>
          <w:rFonts w:eastAsia="SimSun"/>
          <w:lang w:eastAsia="zh-CN"/>
        </w:rPr>
      </w:pPr>
      <w:bookmarkStart w:id="6" w:name="_Ref481801189"/>
      <w:r>
        <w:t xml:space="preserve">Figure </w:t>
      </w:r>
      <w:fldSimple w:instr=" SEQ Figure \* ARABIC ">
        <w:r>
          <w:rPr>
            <w:noProof/>
          </w:rPr>
          <w:t>4</w:t>
        </w:r>
      </w:fldSimple>
      <w:bookmarkEnd w:id="6"/>
      <w:r>
        <w:t xml:space="preserve"> </w:t>
      </w:r>
      <w:r w:rsidRPr="005A2409">
        <w:t>Performance comparison of different</w:t>
      </w:r>
      <w:r>
        <w:t xml:space="preserve"> REG bundle sizes for TDL-C DS=100</w:t>
      </w:r>
      <w:r w:rsidRPr="005A2409">
        <w:t>0ns</w:t>
      </w:r>
    </w:p>
    <w:p w:rsidR="0091463C" w:rsidRDefault="0091463C" w:rsidP="0091463C">
      <w:pPr>
        <w:rPr>
          <w:rFonts w:eastAsia="SimSun"/>
          <w:lang w:eastAsia="zh-CN"/>
        </w:rPr>
      </w:pPr>
    </w:p>
    <w:p w:rsidR="00432356" w:rsidRDefault="00432356" w:rsidP="005E1789">
      <w:pPr>
        <w:jc w:val="both"/>
        <w:rPr>
          <w:lang w:eastAsia="ja-JP"/>
        </w:rPr>
      </w:pPr>
    </w:p>
    <w:p w:rsidR="00432356" w:rsidRPr="00432356" w:rsidRDefault="00432356" w:rsidP="005E1789">
      <w:pPr>
        <w:jc w:val="both"/>
        <w:rPr>
          <w:b/>
          <w:lang w:eastAsia="ja-JP"/>
        </w:rPr>
      </w:pPr>
      <w:r w:rsidRPr="00432356">
        <w:rPr>
          <w:b/>
          <w:lang w:eastAsia="ja-JP"/>
        </w:rPr>
        <w:t>Proposal: REG bundle size of 2 is sufficient for CCE-to-REG mapping</w:t>
      </w:r>
    </w:p>
    <w:p w:rsidR="002D6617" w:rsidRDefault="002D6617" w:rsidP="005E1789">
      <w:pPr>
        <w:jc w:val="both"/>
        <w:rPr>
          <w:lang w:eastAsia="ja-JP"/>
        </w:rPr>
      </w:pPr>
    </w:p>
    <w:p w:rsidR="005935B8" w:rsidRDefault="00830F4E" w:rsidP="001B027C">
      <w:pPr>
        <w:pStyle w:val="Heading1"/>
        <w:jc w:val="both"/>
      </w:pPr>
      <w:r w:rsidRPr="0052231C">
        <w:rPr>
          <w:rFonts w:hint="eastAsia"/>
        </w:rPr>
        <w:t>Conclusion</w:t>
      </w:r>
    </w:p>
    <w:p w:rsidR="00907D28" w:rsidRDefault="00C22604" w:rsidP="001B027C">
      <w:pPr>
        <w:pStyle w:val="BodyText"/>
        <w:ind w:left="-2"/>
        <w:rPr>
          <w:rFonts w:eastAsia="SimSun"/>
          <w:lang w:eastAsia="zh-CN"/>
        </w:rPr>
      </w:pPr>
      <w:r>
        <w:rPr>
          <w:rFonts w:eastAsia="SimSun"/>
          <w:lang w:eastAsia="zh-CN"/>
        </w:rPr>
        <w:t xml:space="preserve">This contribution </w:t>
      </w:r>
      <w:r w:rsidR="0004523C">
        <w:rPr>
          <w:rFonts w:eastAsia="SimSun"/>
          <w:lang w:eastAsia="zh-CN"/>
        </w:rPr>
        <w:t xml:space="preserve">discussed </w:t>
      </w:r>
      <w:r w:rsidR="00222E6A">
        <w:rPr>
          <w:rFonts w:eastAsia="SimSun"/>
          <w:lang w:eastAsia="zh-CN"/>
        </w:rPr>
        <w:t>some outstanding details regarding the NR PDCCH structure. The proposals are summarized here as follows</w:t>
      </w:r>
      <w:r w:rsidR="0004523C">
        <w:rPr>
          <w:rFonts w:eastAsia="SimSun"/>
          <w:lang w:eastAsia="zh-CN"/>
        </w:rPr>
        <w:t>,</w:t>
      </w:r>
    </w:p>
    <w:p w:rsidR="00FA2BB3" w:rsidRPr="00432356" w:rsidRDefault="00FA2BB3" w:rsidP="008B169F">
      <w:pPr>
        <w:numPr>
          <w:ilvl w:val="0"/>
          <w:numId w:val="6"/>
        </w:numPr>
        <w:jc w:val="both"/>
        <w:rPr>
          <w:b/>
          <w:lang w:eastAsia="ja-JP"/>
        </w:rPr>
      </w:pPr>
      <w:r w:rsidRPr="00432356">
        <w:rPr>
          <w:b/>
          <w:lang w:eastAsia="ja-JP"/>
        </w:rPr>
        <w:t xml:space="preserve">Proposal 1: </w:t>
      </w:r>
      <w:r w:rsidR="00FE5EB5" w:rsidRPr="00432356">
        <w:rPr>
          <w:b/>
          <w:lang w:eastAsia="ja-JP"/>
        </w:rPr>
        <w:t>Confirm the working assumption that the CCE size is 6 REGs</w:t>
      </w:r>
      <w:r w:rsidR="00117B7B" w:rsidRPr="00432356">
        <w:rPr>
          <w:b/>
          <w:lang w:eastAsia="ja-JP"/>
        </w:rPr>
        <w:t>.</w:t>
      </w:r>
    </w:p>
    <w:p w:rsidR="00432356" w:rsidRPr="00432356" w:rsidRDefault="00432356" w:rsidP="00432356">
      <w:pPr>
        <w:pStyle w:val="ListParagraph"/>
        <w:numPr>
          <w:ilvl w:val="0"/>
          <w:numId w:val="6"/>
        </w:numPr>
        <w:ind w:firstLineChars="0"/>
        <w:jc w:val="both"/>
        <w:rPr>
          <w:rFonts w:ascii="Times New Roman" w:hAnsi="Times New Roman"/>
          <w:b/>
          <w:sz w:val="20"/>
          <w:szCs w:val="20"/>
          <w:lang w:eastAsia="ja-JP"/>
        </w:rPr>
      </w:pPr>
      <w:r w:rsidRPr="00432356">
        <w:rPr>
          <w:rFonts w:ascii="Times New Roman" w:hAnsi="Times New Roman"/>
          <w:b/>
          <w:sz w:val="20"/>
          <w:szCs w:val="20"/>
          <w:lang w:eastAsia="ja-JP"/>
        </w:rPr>
        <w:t>Observation: the gNB has the flexibility to configure the control resource set duration and/or the CCE-to-REG mapping such that multiple CCEs do not share the same PRB.</w:t>
      </w:r>
    </w:p>
    <w:p w:rsidR="00432356" w:rsidRPr="00432356" w:rsidRDefault="00432356" w:rsidP="00432356">
      <w:pPr>
        <w:pStyle w:val="ListParagraph"/>
        <w:numPr>
          <w:ilvl w:val="0"/>
          <w:numId w:val="6"/>
        </w:numPr>
        <w:ind w:firstLineChars="0"/>
        <w:jc w:val="both"/>
        <w:rPr>
          <w:rFonts w:ascii="Times New Roman" w:hAnsi="Times New Roman"/>
          <w:b/>
          <w:sz w:val="20"/>
          <w:szCs w:val="20"/>
          <w:lang w:eastAsia="ja-JP"/>
        </w:rPr>
      </w:pPr>
      <w:r w:rsidRPr="00432356">
        <w:rPr>
          <w:rFonts w:ascii="Times New Roman" w:hAnsi="Times New Roman"/>
          <w:b/>
          <w:sz w:val="20"/>
          <w:szCs w:val="20"/>
          <w:lang w:eastAsia="ja-JP"/>
        </w:rPr>
        <w:t>Proposal</w:t>
      </w:r>
      <w:r>
        <w:rPr>
          <w:rFonts w:ascii="Times New Roman" w:hAnsi="Times New Roman"/>
          <w:b/>
          <w:sz w:val="20"/>
          <w:szCs w:val="20"/>
          <w:lang w:eastAsia="ja-JP"/>
        </w:rPr>
        <w:t xml:space="preserve"> 2</w:t>
      </w:r>
      <w:r w:rsidRPr="00432356">
        <w:rPr>
          <w:rFonts w:ascii="Times New Roman" w:hAnsi="Times New Roman"/>
          <w:b/>
          <w:sz w:val="20"/>
          <w:szCs w:val="20"/>
          <w:lang w:eastAsia="ja-JP"/>
        </w:rPr>
        <w:t xml:space="preserve">: the CCE-to-REG mapping can be localized or distributed and time-first or frequency-first. </w:t>
      </w:r>
    </w:p>
    <w:p w:rsidR="00432356" w:rsidRPr="00432356" w:rsidRDefault="00432356" w:rsidP="008B169F">
      <w:pPr>
        <w:numPr>
          <w:ilvl w:val="0"/>
          <w:numId w:val="6"/>
        </w:numPr>
        <w:jc w:val="both"/>
        <w:rPr>
          <w:b/>
          <w:lang w:eastAsia="ja-JP"/>
        </w:rPr>
      </w:pPr>
      <w:r w:rsidRPr="00432356">
        <w:rPr>
          <w:b/>
          <w:lang w:eastAsia="ja-JP"/>
        </w:rPr>
        <w:t>Proposal</w:t>
      </w:r>
      <w:r>
        <w:rPr>
          <w:b/>
          <w:lang w:eastAsia="ja-JP"/>
        </w:rPr>
        <w:t xml:space="preserve"> 3</w:t>
      </w:r>
      <w:r w:rsidRPr="00432356">
        <w:rPr>
          <w:b/>
          <w:lang w:eastAsia="ja-JP"/>
        </w:rPr>
        <w:t>: REG bundle size of 2 is sufficient for CCE-to-REG mapping</w:t>
      </w:r>
    </w:p>
    <w:p w:rsidR="00801613" w:rsidRPr="00B44330" w:rsidRDefault="00801613" w:rsidP="001B027C">
      <w:pPr>
        <w:pStyle w:val="BodyText"/>
        <w:rPr>
          <w:rFonts w:eastAsia="SimSun"/>
          <w:b/>
          <w:lang w:eastAsia="zh-CN"/>
        </w:rPr>
      </w:pPr>
    </w:p>
    <w:p w:rsidR="00830F4E" w:rsidRPr="0052231C" w:rsidRDefault="00830F4E" w:rsidP="00E9523A">
      <w:pPr>
        <w:pStyle w:val="Heading1"/>
      </w:pPr>
      <w:r w:rsidRPr="0052231C">
        <w:t>References</w:t>
      </w:r>
    </w:p>
    <w:p w:rsidR="00480F42" w:rsidRPr="00E42CEB" w:rsidRDefault="00480F42"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7" w:name="_Ref473730316"/>
      <w:r>
        <w:rPr>
          <w:rFonts w:eastAsia="SimSun"/>
          <w:noProof/>
          <w:lang w:eastAsia="zh-CN"/>
        </w:rPr>
        <w:t xml:space="preserve">RAN1 Chairman’s meeting notes, RAN1 </w:t>
      </w:r>
      <w:r w:rsidR="004000F4">
        <w:rPr>
          <w:rFonts w:eastAsia="SimSun"/>
          <w:noProof/>
          <w:lang w:eastAsia="zh-CN"/>
        </w:rPr>
        <w:t>#88</w:t>
      </w:r>
      <w:bookmarkEnd w:id="7"/>
      <w:r w:rsidR="00EA0EE3">
        <w:rPr>
          <w:rFonts w:eastAsia="SimSun"/>
          <w:noProof/>
          <w:lang w:eastAsia="zh-CN"/>
        </w:rPr>
        <w:t>bis</w:t>
      </w:r>
    </w:p>
    <w:p w:rsidR="00E42CEB" w:rsidRDefault="00E42CEB"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73916641"/>
      <w:bookmarkStart w:id="9" w:name="_Ref481749951"/>
      <w:r>
        <w:rPr>
          <w:lang w:eastAsia="ja-JP"/>
        </w:rPr>
        <w:t>R1-170</w:t>
      </w:r>
      <w:r w:rsidR="0029624C">
        <w:rPr>
          <w:lang w:eastAsia="ja-JP"/>
        </w:rPr>
        <w:t>7499</w:t>
      </w:r>
      <w:r>
        <w:rPr>
          <w:rFonts w:eastAsia="SimSun" w:hint="eastAsia"/>
          <w:lang w:eastAsia="zh-CN"/>
        </w:rPr>
        <w:t xml:space="preserve">, </w:t>
      </w:r>
      <w:r>
        <w:rPr>
          <w:rFonts w:eastAsia="SimSun"/>
          <w:lang w:eastAsia="zh-CN"/>
        </w:rPr>
        <w:t>“</w:t>
      </w:r>
      <w:r w:rsidR="0029624C" w:rsidRPr="0029624C">
        <w:rPr>
          <w:lang w:eastAsia="ja-JP"/>
        </w:rPr>
        <w:t>Discussion on NR DCI formats</w:t>
      </w:r>
      <w:r w:rsidRPr="00E42CEB">
        <w:rPr>
          <w:rFonts w:eastAsia="SimSun"/>
          <w:noProof/>
          <w:lang w:eastAsia="zh-CN"/>
        </w:rPr>
        <w:t>”</w:t>
      </w:r>
      <w:r>
        <w:rPr>
          <w:rFonts w:eastAsia="SimSun" w:hint="eastAsia"/>
          <w:noProof/>
          <w:lang w:eastAsia="zh-CN"/>
        </w:rPr>
        <w:t xml:space="preserve">, </w:t>
      </w:r>
      <w:r w:rsidR="0029624C">
        <w:rPr>
          <w:rFonts w:eastAsia="SimSun"/>
          <w:noProof/>
          <w:lang w:eastAsia="zh-CN"/>
        </w:rPr>
        <w:t>CATT</w:t>
      </w:r>
      <w:r>
        <w:rPr>
          <w:rFonts w:eastAsia="SimSun" w:hint="eastAsia"/>
          <w:noProof/>
          <w:lang w:eastAsia="zh-CN"/>
        </w:rPr>
        <w:t xml:space="preserve">, </w:t>
      </w:r>
      <w:r>
        <w:rPr>
          <w:rFonts w:eastAsia="SimSun"/>
          <w:noProof/>
          <w:lang w:eastAsia="zh-CN"/>
        </w:rPr>
        <w:t xml:space="preserve">RAN1 </w:t>
      </w:r>
      <w:r w:rsidR="00B239DE">
        <w:rPr>
          <w:rFonts w:eastAsia="SimSun"/>
          <w:noProof/>
          <w:lang w:eastAsia="zh-CN"/>
        </w:rPr>
        <w:t>#8</w:t>
      </w:r>
      <w:bookmarkEnd w:id="8"/>
      <w:r w:rsidR="0029624C">
        <w:rPr>
          <w:rFonts w:eastAsia="SimSun"/>
          <w:noProof/>
          <w:lang w:eastAsia="zh-CN"/>
        </w:rPr>
        <w:t>9</w:t>
      </w:r>
      <w:bookmarkEnd w:id="9"/>
    </w:p>
    <w:p w:rsidR="00622EC4" w:rsidRDefault="00622EC4"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81793600"/>
      <w:r>
        <w:rPr>
          <w:lang w:eastAsia="ja-JP"/>
        </w:rPr>
        <w:t>R1-1704571, “Details of NR-PDCCH Structure”, CATT, RAN1 #88bis</w:t>
      </w:r>
      <w:bookmarkEnd w:id="10"/>
    </w:p>
    <w:p w:rsidR="001A087F" w:rsidRPr="00622EC4" w:rsidRDefault="001A087F" w:rsidP="003453ED">
      <w:pPr>
        <w:pStyle w:val="BodyText"/>
        <w:numPr>
          <w:ilvl w:val="1"/>
          <w:numId w:val="1"/>
        </w:numPr>
        <w:tabs>
          <w:tab w:val="clear" w:pos="1545"/>
          <w:tab w:val="left" w:pos="0"/>
          <w:tab w:val="left" w:pos="540"/>
        </w:tabs>
        <w:ind w:left="540" w:hangingChars="270" w:hanging="540"/>
        <w:rPr>
          <w:rFonts w:eastAsia="SimSun"/>
          <w:noProof/>
          <w:lang w:eastAsia="zh-CN"/>
        </w:rPr>
      </w:pPr>
      <w:r>
        <w:rPr>
          <w:lang w:eastAsia="ja-JP"/>
        </w:rPr>
        <w:t>R1-1706026, “</w:t>
      </w:r>
      <w:r w:rsidRPr="001A087F">
        <w:rPr>
          <w:lang w:eastAsia="ja-JP"/>
        </w:rPr>
        <w:t>On NR-PDCCH Structure</w:t>
      </w:r>
      <w:r>
        <w:rPr>
          <w:lang w:eastAsia="ja-JP"/>
        </w:rPr>
        <w:t>”, Ericsson, RAN1 #88bis</w:t>
      </w:r>
    </w:p>
    <w:p w:rsidR="00622EC4" w:rsidRPr="00C137D2" w:rsidRDefault="00622EC4"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11" w:name="_Ref481793610"/>
      <w:r>
        <w:rPr>
          <w:lang w:eastAsia="ja-JP"/>
        </w:rPr>
        <w:t>R1-1705376, “</w:t>
      </w:r>
      <w:r w:rsidRPr="006013F2">
        <w:rPr>
          <w:iCs/>
          <w:lang w:eastAsia="ja-JP"/>
        </w:rPr>
        <w:t>Resource mapping for NR-PDCCH</w:t>
      </w:r>
      <w:r>
        <w:rPr>
          <w:lang w:eastAsia="ja-JP"/>
        </w:rPr>
        <w:t>”, Samsung, RAN1 #88bis</w:t>
      </w:r>
      <w:bookmarkEnd w:id="11"/>
    </w:p>
    <w:p w:rsidR="00C137D2" w:rsidRDefault="00C137D2" w:rsidP="00C137D2">
      <w:pPr>
        <w:pStyle w:val="BodyText"/>
        <w:tabs>
          <w:tab w:val="left" w:pos="0"/>
          <w:tab w:val="left" w:pos="540"/>
        </w:tabs>
        <w:rPr>
          <w:lang w:eastAsia="ja-JP"/>
        </w:rPr>
      </w:pPr>
    </w:p>
    <w:p w:rsidR="00C137D2" w:rsidRDefault="00C137D2" w:rsidP="00C137D2">
      <w:pPr>
        <w:pStyle w:val="Heading1"/>
      </w:pPr>
      <w:r>
        <w:t>Appendix</w:t>
      </w:r>
    </w:p>
    <w:p w:rsidR="00C137D2" w:rsidRDefault="00C137D2" w:rsidP="00C137D2">
      <w:pPr>
        <w:pStyle w:val="Caption"/>
        <w:keepNext/>
        <w:jc w:val="center"/>
      </w:pPr>
      <w:r>
        <w:t xml:space="preserve">Table </w:t>
      </w:r>
      <w:fldSimple w:instr=" SEQ Table \* ARABIC ">
        <w:r>
          <w:rPr>
            <w:noProof/>
          </w:rPr>
          <w:t>1</w:t>
        </w:r>
      </w:fldSimple>
      <w:r>
        <w:t xml:space="preserve"> Simulation assumptions</w:t>
      </w:r>
    </w:p>
    <w:tbl>
      <w:tblPr>
        <w:tblW w:w="0" w:type="auto"/>
        <w:jc w:val="center"/>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1"/>
        <w:gridCol w:w="4577"/>
      </w:tblGrid>
      <w:tr w:rsidR="00C137D2" w:rsidTr="002642B8">
        <w:trPr>
          <w:jc w:val="center"/>
        </w:trPr>
        <w:tc>
          <w:tcPr>
            <w:tcW w:w="3081" w:type="dxa"/>
            <w:shd w:val="clear" w:color="auto" w:fill="FDE9D9"/>
          </w:tcPr>
          <w:p w:rsidR="00C137D2" w:rsidRPr="008D2F9F" w:rsidRDefault="00C137D2" w:rsidP="002642B8">
            <w:pPr>
              <w:pStyle w:val="1"/>
              <w:ind w:left="0"/>
              <w:rPr>
                <w:rFonts w:eastAsia="SimSun"/>
                <w:sz w:val="20"/>
                <w:szCs w:val="20"/>
                <w:lang w:eastAsia="zh-CN"/>
              </w:rPr>
            </w:pPr>
            <w:r>
              <w:rPr>
                <w:rFonts w:eastAsia="SimSun" w:hint="eastAsia"/>
                <w:sz w:val="20"/>
                <w:szCs w:val="20"/>
                <w:lang w:eastAsia="zh-CN"/>
              </w:rPr>
              <w:t>Parameters</w:t>
            </w:r>
          </w:p>
        </w:tc>
        <w:tc>
          <w:tcPr>
            <w:tcW w:w="4577" w:type="dxa"/>
            <w:shd w:val="clear" w:color="auto" w:fill="FDE9D9"/>
          </w:tcPr>
          <w:p w:rsidR="00C137D2" w:rsidRPr="008D2F9F" w:rsidRDefault="00C137D2" w:rsidP="002642B8">
            <w:pPr>
              <w:pStyle w:val="1"/>
              <w:ind w:left="0"/>
              <w:rPr>
                <w:rFonts w:eastAsia="SimSun"/>
                <w:sz w:val="20"/>
                <w:szCs w:val="20"/>
                <w:lang w:eastAsia="zh-CN"/>
              </w:rPr>
            </w:pPr>
            <w:r>
              <w:rPr>
                <w:rFonts w:eastAsia="SimSun" w:hint="eastAsia"/>
                <w:sz w:val="20"/>
                <w:szCs w:val="20"/>
                <w:lang w:eastAsia="zh-CN"/>
              </w:rPr>
              <w:t>Value</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sz w:val="20"/>
                <w:szCs w:val="20"/>
                <w:lang w:eastAsia="zh-CN"/>
              </w:rPr>
              <w:t xml:space="preserve">Carrier </w:t>
            </w:r>
            <w:r w:rsidRPr="008D2F9F">
              <w:rPr>
                <w:rFonts w:eastAsia="SimSun" w:hint="eastAsia"/>
                <w:sz w:val="20"/>
                <w:szCs w:val="20"/>
                <w:lang w:eastAsia="zh-CN"/>
              </w:rPr>
              <w:t>frequency</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4GHz</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Subcarrier spacing</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15KHz</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DS Scaling</w:t>
            </w:r>
          </w:p>
        </w:tc>
        <w:tc>
          <w:tcPr>
            <w:tcW w:w="4577" w:type="dxa"/>
          </w:tcPr>
          <w:p w:rsidR="00C137D2" w:rsidRPr="008D2F9F" w:rsidRDefault="00C137D2" w:rsidP="002642B8">
            <w:pPr>
              <w:pStyle w:val="1"/>
              <w:ind w:left="0"/>
              <w:rPr>
                <w:rFonts w:eastAsia="SimSun"/>
                <w:sz w:val="20"/>
                <w:szCs w:val="20"/>
                <w:lang w:eastAsia="zh-CN"/>
              </w:rPr>
            </w:pPr>
            <w:r>
              <w:rPr>
                <w:rFonts w:eastAsia="SimSun"/>
                <w:sz w:val="20"/>
                <w:szCs w:val="20"/>
                <w:lang w:eastAsia="zh-CN"/>
              </w:rPr>
              <w:t xml:space="preserve">30ns, </w:t>
            </w:r>
            <w:r w:rsidRPr="008D2F9F">
              <w:rPr>
                <w:rFonts w:eastAsia="SimSun" w:hint="eastAsia"/>
                <w:sz w:val="20"/>
                <w:szCs w:val="20"/>
                <w:lang w:eastAsia="zh-CN"/>
              </w:rPr>
              <w:t>1000ns</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UE speed</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3Km/h</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CCE size</w:t>
            </w:r>
          </w:p>
        </w:tc>
        <w:tc>
          <w:tcPr>
            <w:tcW w:w="4577" w:type="dxa"/>
          </w:tcPr>
          <w:p w:rsidR="00C137D2" w:rsidRPr="008D2F9F" w:rsidRDefault="00C137D2" w:rsidP="002642B8">
            <w:pPr>
              <w:pStyle w:val="1"/>
              <w:ind w:left="0"/>
              <w:rPr>
                <w:rFonts w:eastAsia="SimSun"/>
                <w:sz w:val="20"/>
                <w:szCs w:val="20"/>
                <w:lang w:eastAsia="zh-CN"/>
              </w:rPr>
            </w:pPr>
            <w:r>
              <w:rPr>
                <w:rFonts w:eastAsia="SimSun" w:hint="eastAsia"/>
                <w:sz w:val="20"/>
                <w:szCs w:val="20"/>
                <w:lang w:eastAsia="zh-CN"/>
              </w:rPr>
              <w:t>6</w:t>
            </w:r>
            <w:r w:rsidRPr="008D2F9F">
              <w:rPr>
                <w:rFonts w:eastAsia="SimSun" w:hint="eastAsia"/>
                <w:sz w:val="20"/>
                <w:szCs w:val="20"/>
                <w:lang w:eastAsia="zh-CN"/>
              </w:rPr>
              <w:t xml:space="preserve"> REG</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lastRenderedPageBreak/>
              <w:t>REG size</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1 RB in frequency and 1 OFDM symbol in time</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CCE to REG mapping</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 xml:space="preserve">For precoder cycling: </w:t>
            </w:r>
            <w:r>
              <w:rPr>
                <w:rFonts w:eastAsia="SimSun" w:hint="eastAsia"/>
                <w:sz w:val="20"/>
                <w:szCs w:val="20"/>
                <w:lang w:eastAsia="zh-CN"/>
              </w:rPr>
              <w:t>Distributed</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DCI size</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20bits+16bits CRC</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Aggregation level</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1, 4</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Number of OFDM symbols</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1</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DMRS density</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33%</w:t>
            </w:r>
            <w:r>
              <w:rPr>
                <w:rFonts w:eastAsia="SimSun"/>
                <w:sz w:val="20"/>
                <w:szCs w:val="20"/>
                <w:lang w:eastAsia="zh-CN"/>
              </w:rPr>
              <w:t xml:space="preserve"> </w:t>
            </w:r>
            <w:r w:rsidRPr="008D2F9F">
              <w:rPr>
                <w:rFonts w:eastAsia="SimSun" w:hint="eastAsia"/>
                <w:sz w:val="20"/>
                <w:szCs w:val="20"/>
                <w:lang w:eastAsia="zh-CN"/>
              </w:rPr>
              <w:t>(4 R</w:t>
            </w:r>
            <w:r>
              <w:rPr>
                <w:rFonts w:eastAsia="SimSun"/>
                <w:sz w:val="20"/>
                <w:szCs w:val="20"/>
                <w:lang w:eastAsia="zh-CN"/>
              </w:rPr>
              <w:t>E</w:t>
            </w:r>
            <w:r w:rsidRPr="008D2F9F">
              <w:rPr>
                <w:rFonts w:eastAsia="SimSun" w:hint="eastAsia"/>
                <w:sz w:val="20"/>
                <w:szCs w:val="20"/>
                <w:lang w:eastAsia="zh-CN"/>
              </w:rPr>
              <w:t>s per R</w:t>
            </w:r>
            <w:r>
              <w:rPr>
                <w:rFonts w:eastAsia="SimSun"/>
                <w:sz w:val="20"/>
                <w:szCs w:val="20"/>
                <w:lang w:eastAsia="zh-CN"/>
              </w:rPr>
              <w:t>EG</w:t>
            </w:r>
            <w:r w:rsidRPr="008D2F9F">
              <w:rPr>
                <w:rFonts w:eastAsia="SimSun" w:hint="eastAsia"/>
                <w:sz w:val="20"/>
                <w:szCs w:val="20"/>
                <w:lang w:eastAsia="zh-CN"/>
              </w:rPr>
              <w:t>)</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Control resource set size</w:t>
            </w:r>
          </w:p>
        </w:tc>
        <w:tc>
          <w:tcPr>
            <w:tcW w:w="4577" w:type="dxa"/>
          </w:tcPr>
          <w:p w:rsidR="00C137D2" w:rsidRPr="008D2F9F" w:rsidRDefault="00C137D2" w:rsidP="002642B8">
            <w:pPr>
              <w:pStyle w:val="1"/>
              <w:ind w:left="0"/>
              <w:rPr>
                <w:rFonts w:eastAsia="SimSun"/>
                <w:sz w:val="20"/>
                <w:szCs w:val="20"/>
                <w:lang w:eastAsia="zh-CN"/>
              </w:rPr>
            </w:pPr>
            <w:r>
              <w:rPr>
                <w:rFonts w:eastAsia="SimSun" w:hint="eastAsia"/>
                <w:sz w:val="20"/>
                <w:szCs w:val="20"/>
                <w:lang w:eastAsia="zh-CN"/>
              </w:rPr>
              <w:t>100</w:t>
            </w:r>
            <w:r w:rsidRPr="008D2F9F">
              <w:rPr>
                <w:rFonts w:eastAsia="SimSun" w:hint="eastAsia"/>
                <w:sz w:val="20"/>
                <w:szCs w:val="20"/>
                <w:lang w:eastAsia="zh-CN"/>
              </w:rPr>
              <w:t xml:space="preserve"> RBs</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TXD</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Precoder cycling(RB level)</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sz w:val="20"/>
                <w:szCs w:val="20"/>
                <w:lang w:eastAsia="zh-CN"/>
              </w:rPr>
              <w:t>C</w:t>
            </w:r>
            <w:r w:rsidRPr="008D2F9F">
              <w:rPr>
                <w:rFonts w:eastAsia="SimSun" w:hint="eastAsia"/>
                <w:sz w:val="20"/>
                <w:szCs w:val="20"/>
                <w:lang w:eastAsia="zh-CN"/>
              </w:rPr>
              <w:t>hannel estimation</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Practical: MMSE</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Channel model</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TDL-C</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Channel estimation size</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sz w:val="20"/>
                <w:szCs w:val="20"/>
                <w:lang w:eastAsia="zh-CN"/>
              </w:rPr>
              <w:t>P</w:t>
            </w:r>
            <w:r w:rsidRPr="008D2F9F">
              <w:rPr>
                <w:rFonts w:eastAsia="SimSun" w:hint="eastAsia"/>
                <w:sz w:val="20"/>
                <w:szCs w:val="20"/>
                <w:lang w:eastAsia="zh-CN"/>
              </w:rPr>
              <w:t>recoder cycling:</w:t>
            </w:r>
            <w:r>
              <w:rPr>
                <w:rFonts w:eastAsia="SimSun" w:hint="eastAsia"/>
                <w:sz w:val="20"/>
                <w:szCs w:val="20"/>
                <w:lang w:eastAsia="zh-CN"/>
              </w:rPr>
              <w:t>2</w:t>
            </w:r>
            <w:r w:rsidRPr="008D2F9F">
              <w:rPr>
                <w:rFonts w:eastAsia="SimSun" w:hint="eastAsia"/>
                <w:sz w:val="20"/>
                <w:szCs w:val="20"/>
                <w:lang w:eastAsia="zh-CN"/>
              </w:rPr>
              <w:t>RB</w:t>
            </w:r>
            <w:r>
              <w:rPr>
                <w:rFonts w:eastAsia="SimSun" w:hint="eastAsia"/>
                <w:sz w:val="20"/>
                <w:szCs w:val="20"/>
                <w:lang w:eastAsia="zh-CN"/>
              </w:rPr>
              <w:t>/3RB</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Antenna configuration</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2 TX 2 RX</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sz w:val="20"/>
                <w:szCs w:val="20"/>
                <w:lang w:eastAsia="zh-CN"/>
              </w:rPr>
              <w:t>N</w:t>
            </w:r>
            <w:r w:rsidRPr="008D2F9F">
              <w:rPr>
                <w:rFonts w:eastAsia="SimSun" w:hint="eastAsia"/>
                <w:sz w:val="20"/>
                <w:szCs w:val="20"/>
                <w:lang w:eastAsia="zh-CN"/>
              </w:rPr>
              <w:t>umber of antenna port</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Precoder cycling: one antenna port</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Modulation order</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QPSK</w:t>
            </w:r>
          </w:p>
        </w:tc>
      </w:tr>
      <w:tr w:rsidR="00C137D2" w:rsidTr="002642B8">
        <w:trPr>
          <w:jc w:val="center"/>
        </w:trPr>
        <w:tc>
          <w:tcPr>
            <w:tcW w:w="3081"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Channel coding</w:t>
            </w:r>
          </w:p>
        </w:tc>
        <w:tc>
          <w:tcPr>
            <w:tcW w:w="4577" w:type="dxa"/>
          </w:tcPr>
          <w:p w:rsidR="00C137D2" w:rsidRPr="008D2F9F" w:rsidRDefault="00C137D2" w:rsidP="002642B8">
            <w:pPr>
              <w:pStyle w:val="1"/>
              <w:ind w:left="0"/>
              <w:rPr>
                <w:rFonts w:eastAsia="SimSun"/>
                <w:sz w:val="20"/>
                <w:szCs w:val="20"/>
                <w:lang w:eastAsia="zh-CN"/>
              </w:rPr>
            </w:pPr>
            <w:r w:rsidRPr="008D2F9F">
              <w:rPr>
                <w:rFonts w:eastAsia="SimSun" w:hint="eastAsia"/>
                <w:sz w:val="20"/>
                <w:szCs w:val="20"/>
                <w:lang w:eastAsia="zh-CN"/>
              </w:rPr>
              <w:t>TBCC</w:t>
            </w:r>
          </w:p>
        </w:tc>
      </w:tr>
    </w:tbl>
    <w:p w:rsidR="00C137D2" w:rsidRPr="00C137D2" w:rsidRDefault="00C137D2" w:rsidP="00C137D2">
      <w:pPr>
        <w:pStyle w:val="BodyText"/>
        <w:rPr>
          <w:lang w:eastAsia="zh-CN"/>
        </w:rPr>
      </w:pPr>
    </w:p>
    <w:sectPr w:rsidR="00C137D2" w:rsidRPr="00C137D2"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DE4" w:rsidRDefault="00AF6DE4" w:rsidP="00E9523A">
      <w:pPr>
        <w:ind w:left="-2"/>
      </w:pPr>
      <w:r>
        <w:separator/>
      </w:r>
    </w:p>
  </w:endnote>
  <w:endnote w:type="continuationSeparator" w:id="1">
    <w:p w:rsidR="00AF6DE4" w:rsidRDefault="00AF6DE4"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DE4" w:rsidRDefault="00AF6DE4" w:rsidP="00E9523A">
      <w:pPr>
        <w:ind w:left="-2"/>
      </w:pPr>
      <w:r>
        <w:separator/>
      </w:r>
    </w:p>
  </w:footnote>
  <w:footnote w:type="continuationSeparator" w:id="1">
    <w:p w:rsidR="00AF6DE4" w:rsidRDefault="00AF6DE4"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B8" w:rsidRPr="001A329E" w:rsidRDefault="003A13B8"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906008"/>
    <w:multiLevelType w:val="hybridMultilevel"/>
    <w:tmpl w:val="D7E6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536153F"/>
    <w:multiLevelType w:val="hybridMultilevel"/>
    <w:tmpl w:val="91969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57651FA"/>
    <w:multiLevelType w:val="hybridMultilevel"/>
    <w:tmpl w:val="32AA0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6"/>
  </w:num>
  <w:num w:numId="6">
    <w:abstractNumId w:val="4"/>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70338"/>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6EA"/>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23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2DA0"/>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BD8"/>
    <w:rsid w:val="000A3EA2"/>
    <w:rsid w:val="000A4105"/>
    <w:rsid w:val="000A4E64"/>
    <w:rsid w:val="000A4E6C"/>
    <w:rsid w:val="000A5603"/>
    <w:rsid w:val="000A585B"/>
    <w:rsid w:val="000A5D86"/>
    <w:rsid w:val="000A7B16"/>
    <w:rsid w:val="000A7DD9"/>
    <w:rsid w:val="000B0156"/>
    <w:rsid w:val="000B028A"/>
    <w:rsid w:val="000B0FDF"/>
    <w:rsid w:val="000B3EB3"/>
    <w:rsid w:val="000B4C79"/>
    <w:rsid w:val="000B5A9D"/>
    <w:rsid w:val="000B5AE7"/>
    <w:rsid w:val="000B731D"/>
    <w:rsid w:val="000B760E"/>
    <w:rsid w:val="000C1740"/>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710"/>
    <w:rsid w:val="000E1CBE"/>
    <w:rsid w:val="000E344D"/>
    <w:rsid w:val="000E39F1"/>
    <w:rsid w:val="000E3A85"/>
    <w:rsid w:val="000E3C57"/>
    <w:rsid w:val="000E3DE5"/>
    <w:rsid w:val="000E445D"/>
    <w:rsid w:val="000E4E83"/>
    <w:rsid w:val="000E60AD"/>
    <w:rsid w:val="000E7386"/>
    <w:rsid w:val="000E7917"/>
    <w:rsid w:val="000F266C"/>
    <w:rsid w:val="000F38B7"/>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1CDE"/>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566"/>
    <w:rsid w:val="0011486C"/>
    <w:rsid w:val="001149EB"/>
    <w:rsid w:val="00117B7B"/>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1DE"/>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5DA0"/>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A56"/>
    <w:rsid w:val="00192F90"/>
    <w:rsid w:val="00194245"/>
    <w:rsid w:val="0019433C"/>
    <w:rsid w:val="001956D1"/>
    <w:rsid w:val="00197327"/>
    <w:rsid w:val="00197A7E"/>
    <w:rsid w:val="00197C69"/>
    <w:rsid w:val="00197C83"/>
    <w:rsid w:val="00197F6E"/>
    <w:rsid w:val="001A0216"/>
    <w:rsid w:val="001A087F"/>
    <w:rsid w:val="001A0A5E"/>
    <w:rsid w:val="001A11C7"/>
    <w:rsid w:val="001A12F3"/>
    <w:rsid w:val="001A18B1"/>
    <w:rsid w:val="001A1EA4"/>
    <w:rsid w:val="001A246C"/>
    <w:rsid w:val="001A2CEF"/>
    <w:rsid w:val="001A329E"/>
    <w:rsid w:val="001A4454"/>
    <w:rsid w:val="001A5EB8"/>
    <w:rsid w:val="001A6234"/>
    <w:rsid w:val="001A7743"/>
    <w:rsid w:val="001A7C6C"/>
    <w:rsid w:val="001B027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BF4"/>
    <w:rsid w:val="001E0EFF"/>
    <w:rsid w:val="001E1361"/>
    <w:rsid w:val="001E13C0"/>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331E"/>
    <w:rsid w:val="001F4F88"/>
    <w:rsid w:val="001F538F"/>
    <w:rsid w:val="001F5A9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2E6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04"/>
    <w:rsid w:val="00235763"/>
    <w:rsid w:val="002367CF"/>
    <w:rsid w:val="00236AF5"/>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2D8"/>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24C"/>
    <w:rsid w:val="002967ED"/>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A7D61"/>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B7B6C"/>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5177"/>
    <w:rsid w:val="002D6617"/>
    <w:rsid w:val="002D6CA7"/>
    <w:rsid w:val="002D6D27"/>
    <w:rsid w:val="002D7310"/>
    <w:rsid w:val="002D7406"/>
    <w:rsid w:val="002D7918"/>
    <w:rsid w:val="002E09EB"/>
    <w:rsid w:val="002E0A17"/>
    <w:rsid w:val="002E0E81"/>
    <w:rsid w:val="002E0F24"/>
    <w:rsid w:val="002E1D6F"/>
    <w:rsid w:val="002E1F7B"/>
    <w:rsid w:val="002E4D82"/>
    <w:rsid w:val="002E608C"/>
    <w:rsid w:val="002F0B10"/>
    <w:rsid w:val="002F1494"/>
    <w:rsid w:val="002F1E52"/>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9CC"/>
    <w:rsid w:val="00303AAD"/>
    <w:rsid w:val="00304265"/>
    <w:rsid w:val="003045FF"/>
    <w:rsid w:val="00305948"/>
    <w:rsid w:val="00306DF6"/>
    <w:rsid w:val="003072FA"/>
    <w:rsid w:val="00307395"/>
    <w:rsid w:val="003101FE"/>
    <w:rsid w:val="0031166C"/>
    <w:rsid w:val="003116CB"/>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620"/>
    <w:rsid w:val="003249C3"/>
    <w:rsid w:val="00324F09"/>
    <w:rsid w:val="00325385"/>
    <w:rsid w:val="003254CB"/>
    <w:rsid w:val="0032550C"/>
    <w:rsid w:val="00326898"/>
    <w:rsid w:val="003270A3"/>
    <w:rsid w:val="00327AD4"/>
    <w:rsid w:val="00327D38"/>
    <w:rsid w:val="0033010F"/>
    <w:rsid w:val="0033158B"/>
    <w:rsid w:val="00332356"/>
    <w:rsid w:val="00333FCA"/>
    <w:rsid w:val="003345B8"/>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8F"/>
    <w:rsid w:val="00350AC1"/>
    <w:rsid w:val="00350CE3"/>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640E"/>
    <w:rsid w:val="003879C2"/>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3B8"/>
    <w:rsid w:val="003A142A"/>
    <w:rsid w:val="003A192F"/>
    <w:rsid w:val="003A21C7"/>
    <w:rsid w:val="003A38EE"/>
    <w:rsid w:val="003A3B24"/>
    <w:rsid w:val="003A3FFE"/>
    <w:rsid w:val="003A4800"/>
    <w:rsid w:val="003A4C09"/>
    <w:rsid w:val="003A5A31"/>
    <w:rsid w:val="003A5C69"/>
    <w:rsid w:val="003A5D50"/>
    <w:rsid w:val="003A5E94"/>
    <w:rsid w:val="003A6B9D"/>
    <w:rsid w:val="003B06DC"/>
    <w:rsid w:val="003B169F"/>
    <w:rsid w:val="003B3094"/>
    <w:rsid w:val="003B4861"/>
    <w:rsid w:val="003B4A27"/>
    <w:rsid w:val="003B4D36"/>
    <w:rsid w:val="003B5001"/>
    <w:rsid w:val="003B5312"/>
    <w:rsid w:val="003B5CA5"/>
    <w:rsid w:val="003B6363"/>
    <w:rsid w:val="003B6E41"/>
    <w:rsid w:val="003B710A"/>
    <w:rsid w:val="003C03FF"/>
    <w:rsid w:val="003C04F2"/>
    <w:rsid w:val="003C0878"/>
    <w:rsid w:val="003C3175"/>
    <w:rsid w:val="003C3248"/>
    <w:rsid w:val="003C3EB7"/>
    <w:rsid w:val="003C4B5A"/>
    <w:rsid w:val="003C550A"/>
    <w:rsid w:val="003C5965"/>
    <w:rsid w:val="003C5D7D"/>
    <w:rsid w:val="003C5F3F"/>
    <w:rsid w:val="003C65D2"/>
    <w:rsid w:val="003C68A4"/>
    <w:rsid w:val="003C7DD1"/>
    <w:rsid w:val="003D01CE"/>
    <w:rsid w:val="003D1030"/>
    <w:rsid w:val="003D1434"/>
    <w:rsid w:val="003D14A2"/>
    <w:rsid w:val="003D1770"/>
    <w:rsid w:val="003D1C55"/>
    <w:rsid w:val="003D29D0"/>
    <w:rsid w:val="003D4A14"/>
    <w:rsid w:val="003D4F17"/>
    <w:rsid w:val="003D533C"/>
    <w:rsid w:val="003D590F"/>
    <w:rsid w:val="003D59BE"/>
    <w:rsid w:val="003D6D5C"/>
    <w:rsid w:val="003D7EFC"/>
    <w:rsid w:val="003E081A"/>
    <w:rsid w:val="003E089E"/>
    <w:rsid w:val="003E0D42"/>
    <w:rsid w:val="003E1A33"/>
    <w:rsid w:val="003E2DD0"/>
    <w:rsid w:val="003E2FA7"/>
    <w:rsid w:val="003E3145"/>
    <w:rsid w:val="003E3E3B"/>
    <w:rsid w:val="003E40AD"/>
    <w:rsid w:val="003E4F8A"/>
    <w:rsid w:val="003E5014"/>
    <w:rsid w:val="003E5B2F"/>
    <w:rsid w:val="003E709F"/>
    <w:rsid w:val="003E71B3"/>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0F4"/>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356"/>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6D36"/>
    <w:rsid w:val="00447781"/>
    <w:rsid w:val="004504DE"/>
    <w:rsid w:val="00450658"/>
    <w:rsid w:val="00450F34"/>
    <w:rsid w:val="00451296"/>
    <w:rsid w:val="00451715"/>
    <w:rsid w:val="00452083"/>
    <w:rsid w:val="00452BE0"/>
    <w:rsid w:val="00452C18"/>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6D8"/>
    <w:rsid w:val="00466B8E"/>
    <w:rsid w:val="00467023"/>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2C9"/>
    <w:rsid w:val="00475AB6"/>
    <w:rsid w:val="004763D5"/>
    <w:rsid w:val="004776B9"/>
    <w:rsid w:val="00477829"/>
    <w:rsid w:val="00477BD8"/>
    <w:rsid w:val="0048039B"/>
    <w:rsid w:val="00480F42"/>
    <w:rsid w:val="0048211F"/>
    <w:rsid w:val="00482CDE"/>
    <w:rsid w:val="00483BF0"/>
    <w:rsid w:val="0048620C"/>
    <w:rsid w:val="004864D8"/>
    <w:rsid w:val="0048684E"/>
    <w:rsid w:val="00486E8A"/>
    <w:rsid w:val="00486F30"/>
    <w:rsid w:val="004873BB"/>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60A"/>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59C"/>
    <w:rsid w:val="004E0A7F"/>
    <w:rsid w:val="004E16A7"/>
    <w:rsid w:val="004E26D8"/>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4ED2"/>
    <w:rsid w:val="00506674"/>
    <w:rsid w:val="005066E5"/>
    <w:rsid w:val="00506CF1"/>
    <w:rsid w:val="00510A0F"/>
    <w:rsid w:val="00510F08"/>
    <w:rsid w:val="005123DB"/>
    <w:rsid w:val="00513080"/>
    <w:rsid w:val="00513183"/>
    <w:rsid w:val="00513467"/>
    <w:rsid w:val="00513A1A"/>
    <w:rsid w:val="005140B7"/>
    <w:rsid w:val="00514730"/>
    <w:rsid w:val="00514F4C"/>
    <w:rsid w:val="00514FD6"/>
    <w:rsid w:val="005159CF"/>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007"/>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472AE"/>
    <w:rsid w:val="00550479"/>
    <w:rsid w:val="00550AFF"/>
    <w:rsid w:val="00550D6E"/>
    <w:rsid w:val="00552FD9"/>
    <w:rsid w:val="00553E3E"/>
    <w:rsid w:val="00554745"/>
    <w:rsid w:val="005549D6"/>
    <w:rsid w:val="00554F50"/>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39C"/>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4D33"/>
    <w:rsid w:val="00576415"/>
    <w:rsid w:val="00576465"/>
    <w:rsid w:val="00576F0F"/>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178"/>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8F7"/>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1789"/>
    <w:rsid w:val="005E591D"/>
    <w:rsid w:val="005E5F9E"/>
    <w:rsid w:val="005E7304"/>
    <w:rsid w:val="005E7E22"/>
    <w:rsid w:val="005F05FD"/>
    <w:rsid w:val="005F0BCA"/>
    <w:rsid w:val="005F3A15"/>
    <w:rsid w:val="005F481D"/>
    <w:rsid w:val="005F5017"/>
    <w:rsid w:val="005F52A2"/>
    <w:rsid w:val="005F5647"/>
    <w:rsid w:val="005F639C"/>
    <w:rsid w:val="005F7226"/>
    <w:rsid w:val="005F7A16"/>
    <w:rsid w:val="0060023D"/>
    <w:rsid w:val="00600659"/>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4E0"/>
    <w:rsid w:val="00616AC5"/>
    <w:rsid w:val="00616BC5"/>
    <w:rsid w:val="006172BB"/>
    <w:rsid w:val="00620D3F"/>
    <w:rsid w:val="00620F26"/>
    <w:rsid w:val="00622EC4"/>
    <w:rsid w:val="00623451"/>
    <w:rsid w:val="006236BB"/>
    <w:rsid w:val="00624D60"/>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6B1D"/>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87C5B"/>
    <w:rsid w:val="006901BE"/>
    <w:rsid w:val="0069120C"/>
    <w:rsid w:val="00691AA1"/>
    <w:rsid w:val="00691C80"/>
    <w:rsid w:val="0069212E"/>
    <w:rsid w:val="006921D6"/>
    <w:rsid w:val="006924F3"/>
    <w:rsid w:val="00692795"/>
    <w:rsid w:val="0069295B"/>
    <w:rsid w:val="00692F11"/>
    <w:rsid w:val="0069364E"/>
    <w:rsid w:val="00693D26"/>
    <w:rsid w:val="00694C72"/>
    <w:rsid w:val="00694C79"/>
    <w:rsid w:val="00694EB6"/>
    <w:rsid w:val="0069576E"/>
    <w:rsid w:val="00695CC0"/>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264"/>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229"/>
    <w:rsid w:val="00706AB0"/>
    <w:rsid w:val="00706AF2"/>
    <w:rsid w:val="00706C26"/>
    <w:rsid w:val="00707342"/>
    <w:rsid w:val="00707386"/>
    <w:rsid w:val="0071040B"/>
    <w:rsid w:val="007113C8"/>
    <w:rsid w:val="0071194B"/>
    <w:rsid w:val="00711C26"/>
    <w:rsid w:val="007122E1"/>
    <w:rsid w:val="00712650"/>
    <w:rsid w:val="007136AE"/>
    <w:rsid w:val="00714710"/>
    <w:rsid w:val="00720D8E"/>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5892"/>
    <w:rsid w:val="00766612"/>
    <w:rsid w:val="0076704B"/>
    <w:rsid w:val="00767788"/>
    <w:rsid w:val="0076779B"/>
    <w:rsid w:val="007702BA"/>
    <w:rsid w:val="00770408"/>
    <w:rsid w:val="007715F1"/>
    <w:rsid w:val="00771A19"/>
    <w:rsid w:val="00771FE2"/>
    <w:rsid w:val="007736C1"/>
    <w:rsid w:val="00773A3A"/>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2CAA"/>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2D1"/>
    <w:rsid w:val="007B45E1"/>
    <w:rsid w:val="007B545A"/>
    <w:rsid w:val="007B5582"/>
    <w:rsid w:val="007B5802"/>
    <w:rsid w:val="007B5C90"/>
    <w:rsid w:val="007B6D70"/>
    <w:rsid w:val="007B7CC1"/>
    <w:rsid w:val="007B7F4A"/>
    <w:rsid w:val="007C1611"/>
    <w:rsid w:val="007C1716"/>
    <w:rsid w:val="007C2364"/>
    <w:rsid w:val="007C3180"/>
    <w:rsid w:val="007C3498"/>
    <w:rsid w:val="007C35BE"/>
    <w:rsid w:val="007C3903"/>
    <w:rsid w:val="007C3A6A"/>
    <w:rsid w:val="007C3F13"/>
    <w:rsid w:val="007C5413"/>
    <w:rsid w:val="007C6FAD"/>
    <w:rsid w:val="007D03E8"/>
    <w:rsid w:val="007D06DB"/>
    <w:rsid w:val="007D0AB4"/>
    <w:rsid w:val="007D1879"/>
    <w:rsid w:val="007D1DF9"/>
    <w:rsid w:val="007D242D"/>
    <w:rsid w:val="007D284E"/>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65E"/>
    <w:rsid w:val="00811F27"/>
    <w:rsid w:val="00813856"/>
    <w:rsid w:val="00813BB0"/>
    <w:rsid w:val="00813C6B"/>
    <w:rsid w:val="008143E9"/>
    <w:rsid w:val="0081548E"/>
    <w:rsid w:val="008156FA"/>
    <w:rsid w:val="00816C6D"/>
    <w:rsid w:val="00816EB5"/>
    <w:rsid w:val="00817070"/>
    <w:rsid w:val="00817AE5"/>
    <w:rsid w:val="008204BC"/>
    <w:rsid w:val="008208C4"/>
    <w:rsid w:val="008210EE"/>
    <w:rsid w:val="00821599"/>
    <w:rsid w:val="00821707"/>
    <w:rsid w:val="00822005"/>
    <w:rsid w:val="00823B30"/>
    <w:rsid w:val="00823DCB"/>
    <w:rsid w:val="008240CD"/>
    <w:rsid w:val="00824A63"/>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55A3"/>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086"/>
    <w:rsid w:val="0087001D"/>
    <w:rsid w:val="00870635"/>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1ABB"/>
    <w:rsid w:val="00892043"/>
    <w:rsid w:val="00892694"/>
    <w:rsid w:val="00892753"/>
    <w:rsid w:val="008938D2"/>
    <w:rsid w:val="00894753"/>
    <w:rsid w:val="00894A42"/>
    <w:rsid w:val="00894A65"/>
    <w:rsid w:val="00894CF9"/>
    <w:rsid w:val="00895FA7"/>
    <w:rsid w:val="008963AC"/>
    <w:rsid w:val="00896790"/>
    <w:rsid w:val="00896873"/>
    <w:rsid w:val="008A0DB3"/>
    <w:rsid w:val="008A19A6"/>
    <w:rsid w:val="008A1F01"/>
    <w:rsid w:val="008A22DC"/>
    <w:rsid w:val="008A25FF"/>
    <w:rsid w:val="008A275F"/>
    <w:rsid w:val="008A2A67"/>
    <w:rsid w:val="008A3330"/>
    <w:rsid w:val="008A44AF"/>
    <w:rsid w:val="008A49E5"/>
    <w:rsid w:val="008A4C82"/>
    <w:rsid w:val="008A4D7E"/>
    <w:rsid w:val="008A4F93"/>
    <w:rsid w:val="008A5377"/>
    <w:rsid w:val="008A5431"/>
    <w:rsid w:val="008A575C"/>
    <w:rsid w:val="008A5C90"/>
    <w:rsid w:val="008B1460"/>
    <w:rsid w:val="008B169F"/>
    <w:rsid w:val="008B1D42"/>
    <w:rsid w:val="008B2D25"/>
    <w:rsid w:val="008B38A9"/>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1878"/>
    <w:rsid w:val="008E1EF1"/>
    <w:rsid w:val="008E26A6"/>
    <w:rsid w:val="008E36C3"/>
    <w:rsid w:val="008E38F9"/>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D71"/>
    <w:rsid w:val="008F6211"/>
    <w:rsid w:val="008F6A82"/>
    <w:rsid w:val="008F6F1F"/>
    <w:rsid w:val="008F744C"/>
    <w:rsid w:val="008F771A"/>
    <w:rsid w:val="008F7B11"/>
    <w:rsid w:val="008F7BFD"/>
    <w:rsid w:val="00900B30"/>
    <w:rsid w:val="00900D9D"/>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63C"/>
    <w:rsid w:val="00914774"/>
    <w:rsid w:val="00914E1E"/>
    <w:rsid w:val="0091571D"/>
    <w:rsid w:val="00916093"/>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5E7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0E8"/>
    <w:rsid w:val="00983631"/>
    <w:rsid w:val="00983850"/>
    <w:rsid w:val="009838B2"/>
    <w:rsid w:val="009839DE"/>
    <w:rsid w:val="00983AAF"/>
    <w:rsid w:val="00984BAC"/>
    <w:rsid w:val="00985A70"/>
    <w:rsid w:val="009869F5"/>
    <w:rsid w:val="00987636"/>
    <w:rsid w:val="009878FB"/>
    <w:rsid w:val="009910D9"/>
    <w:rsid w:val="00991C43"/>
    <w:rsid w:val="00992800"/>
    <w:rsid w:val="00992F64"/>
    <w:rsid w:val="00993971"/>
    <w:rsid w:val="009939C6"/>
    <w:rsid w:val="00994DA0"/>
    <w:rsid w:val="00994E80"/>
    <w:rsid w:val="009971CC"/>
    <w:rsid w:val="009976E3"/>
    <w:rsid w:val="009A0173"/>
    <w:rsid w:val="009A060B"/>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34C"/>
    <w:rsid w:val="009A646E"/>
    <w:rsid w:val="009A6542"/>
    <w:rsid w:val="009A65DE"/>
    <w:rsid w:val="009A6FC8"/>
    <w:rsid w:val="009A7B6E"/>
    <w:rsid w:val="009B00EC"/>
    <w:rsid w:val="009B027D"/>
    <w:rsid w:val="009B0C11"/>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1EEE"/>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54CF"/>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3C1D"/>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6894"/>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3DB1"/>
    <w:rsid w:val="00A44081"/>
    <w:rsid w:val="00A44945"/>
    <w:rsid w:val="00A453DA"/>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357E"/>
    <w:rsid w:val="00A64242"/>
    <w:rsid w:val="00A644F8"/>
    <w:rsid w:val="00A663D4"/>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6F0C"/>
    <w:rsid w:val="00A77316"/>
    <w:rsid w:val="00A7772E"/>
    <w:rsid w:val="00A77D62"/>
    <w:rsid w:val="00A81DC7"/>
    <w:rsid w:val="00A822EA"/>
    <w:rsid w:val="00A82C94"/>
    <w:rsid w:val="00A83816"/>
    <w:rsid w:val="00A839AC"/>
    <w:rsid w:val="00A85EDD"/>
    <w:rsid w:val="00A8649F"/>
    <w:rsid w:val="00A866AA"/>
    <w:rsid w:val="00A86E10"/>
    <w:rsid w:val="00A8781A"/>
    <w:rsid w:val="00A90C0E"/>
    <w:rsid w:val="00A91295"/>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0624"/>
    <w:rsid w:val="00AB27AF"/>
    <w:rsid w:val="00AB2C35"/>
    <w:rsid w:val="00AB38D1"/>
    <w:rsid w:val="00AB4411"/>
    <w:rsid w:val="00AB4BB7"/>
    <w:rsid w:val="00AB56DD"/>
    <w:rsid w:val="00AB60C7"/>
    <w:rsid w:val="00AB6C31"/>
    <w:rsid w:val="00AB6E73"/>
    <w:rsid w:val="00AB7D25"/>
    <w:rsid w:val="00AC19B0"/>
    <w:rsid w:val="00AC1FC3"/>
    <w:rsid w:val="00AC213E"/>
    <w:rsid w:val="00AC2E57"/>
    <w:rsid w:val="00AC3441"/>
    <w:rsid w:val="00AC3C46"/>
    <w:rsid w:val="00AC42F1"/>
    <w:rsid w:val="00AC60E1"/>
    <w:rsid w:val="00AC6521"/>
    <w:rsid w:val="00AC688D"/>
    <w:rsid w:val="00AC6A9F"/>
    <w:rsid w:val="00AC6CA3"/>
    <w:rsid w:val="00AC70E1"/>
    <w:rsid w:val="00AC70F1"/>
    <w:rsid w:val="00AC72C2"/>
    <w:rsid w:val="00AC7903"/>
    <w:rsid w:val="00AD08DC"/>
    <w:rsid w:val="00AD0A02"/>
    <w:rsid w:val="00AD0F73"/>
    <w:rsid w:val="00AD1C9C"/>
    <w:rsid w:val="00AD2C92"/>
    <w:rsid w:val="00AD2CDB"/>
    <w:rsid w:val="00AD2D29"/>
    <w:rsid w:val="00AD32EB"/>
    <w:rsid w:val="00AD41DD"/>
    <w:rsid w:val="00AD46D9"/>
    <w:rsid w:val="00AD47BB"/>
    <w:rsid w:val="00AD574E"/>
    <w:rsid w:val="00AD6642"/>
    <w:rsid w:val="00AD6C5D"/>
    <w:rsid w:val="00AD6D60"/>
    <w:rsid w:val="00AD6F0B"/>
    <w:rsid w:val="00AD76D8"/>
    <w:rsid w:val="00AD7E03"/>
    <w:rsid w:val="00AE23C6"/>
    <w:rsid w:val="00AE3917"/>
    <w:rsid w:val="00AE4A96"/>
    <w:rsid w:val="00AE4B9C"/>
    <w:rsid w:val="00AE511E"/>
    <w:rsid w:val="00AE547B"/>
    <w:rsid w:val="00AE6FFA"/>
    <w:rsid w:val="00AF049A"/>
    <w:rsid w:val="00AF0727"/>
    <w:rsid w:val="00AF0B07"/>
    <w:rsid w:val="00AF0CD2"/>
    <w:rsid w:val="00AF181E"/>
    <w:rsid w:val="00AF238D"/>
    <w:rsid w:val="00AF33EE"/>
    <w:rsid w:val="00AF3629"/>
    <w:rsid w:val="00AF3736"/>
    <w:rsid w:val="00AF4370"/>
    <w:rsid w:val="00AF5677"/>
    <w:rsid w:val="00AF5A6A"/>
    <w:rsid w:val="00AF6397"/>
    <w:rsid w:val="00AF6DE4"/>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1DE8"/>
    <w:rsid w:val="00B239DE"/>
    <w:rsid w:val="00B23D06"/>
    <w:rsid w:val="00B24092"/>
    <w:rsid w:val="00B24615"/>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28E"/>
    <w:rsid w:val="00B42340"/>
    <w:rsid w:val="00B429B6"/>
    <w:rsid w:val="00B43EED"/>
    <w:rsid w:val="00B44000"/>
    <w:rsid w:val="00B44330"/>
    <w:rsid w:val="00B44420"/>
    <w:rsid w:val="00B44708"/>
    <w:rsid w:val="00B44B39"/>
    <w:rsid w:val="00B454FA"/>
    <w:rsid w:val="00B45562"/>
    <w:rsid w:val="00B45B4B"/>
    <w:rsid w:val="00B45BDF"/>
    <w:rsid w:val="00B50A4B"/>
    <w:rsid w:val="00B5152E"/>
    <w:rsid w:val="00B523D1"/>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041D"/>
    <w:rsid w:val="00B821F2"/>
    <w:rsid w:val="00B835EA"/>
    <w:rsid w:val="00B83797"/>
    <w:rsid w:val="00B83974"/>
    <w:rsid w:val="00B83BE9"/>
    <w:rsid w:val="00B83E2E"/>
    <w:rsid w:val="00B8541C"/>
    <w:rsid w:val="00B86145"/>
    <w:rsid w:val="00B867BA"/>
    <w:rsid w:val="00B86B70"/>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3F34"/>
    <w:rsid w:val="00BA4852"/>
    <w:rsid w:val="00BA4AD0"/>
    <w:rsid w:val="00BA4B57"/>
    <w:rsid w:val="00BA5928"/>
    <w:rsid w:val="00BA5A33"/>
    <w:rsid w:val="00BA6B9D"/>
    <w:rsid w:val="00BA6C8F"/>
    <w:rsid w:val="00BA7593"/>
    <w:rsid w:val="00BB164B"/>
    <w:rsid w:val="00BB1AD6"/>
    <w:rsid w:val="00BB20DA"/>
    <w:rsid w:val="00BB2ECB"/>
    <w:rsid w:val="00BB3092"/>
    <w:rsid w:val="00BB35DA"/>
    <w:rsid w:val="00BB3920"/>
    <w:rsid w:val="00BB473E"/>
    <w:rsid w:val="00BB5BB4"/>
    <w:rsid w:val="00BB647B"/>
    <w:rsid w:val="00BB70F6"/>
    <w:rsid w:val="00BC1890"/>
    <w:rsid w:val="00BC198A"/>
    <w:rsid w:val="00BC2CE7"/>
    <w:rsid w:val="00BC2D98"/>
    <w:rsid w:val="00BC31DF"/>
    <w:rsid w:val="00BC3265"/>
    <w:rsid w:val="00BC33E9"/>
    <w:rsid w:val="00BC372B"/>
    <w:rsid w:val="00BC3FED"/>
    <w:rsid w:val="00BC4273"/>
    <w:rsid w:val="00BC45AF"/>
    <w:rsid w:val="00BC69F5"/>
    <w:rsid w:val="00BC6FD1"/>
    <w:rsid w:val="00BD00BD"/>
    <w:rsid w:val="00BD00E3"/>
    <w:rsid w:val="00BD06BD"/>
    <w:rsid w:val="00BD0B7E"/>
    <w:rsid w:val="00BD0CF8"/>
    <w:rsid w:val="00BD0E04"/>
    <w:rsid w:val="00BD1F81"/>
    <w:rsid w:val="00BD273A"/>
    <w:rsid w:val="00BD2BE4"/>
    <w:rsid w:val="00BD3177"/>
    <w:rsid w:val="00BD467C"/>
    <w:rsid w:val="00BD4785"/>
    <w:rsid w:val="00BD64B9"/>
    <w:rsid w:val="00BD71AE"/>
    <w:rsid w:val="00BD759D"/>
    <w:rsid w:val="00BD7B93"/>
    <w:rsid w:val="00BE0D28"/>
    <w:rsid w:val="00BE0E29"/>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630"/>
    <w:rsid w:val="00BF2BB6"/>
    <w:rsid w:val="00BF3968"/>
    <w:rsid w:val="00BF4324"/>
    <w:rsid w:val="00BF497C"/>
    <w:rsid w:val="00BF5023"/>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07CFE"/>
    <w:rsid w:val="00C1051A"/>
    <w:rsid w:val="00C10858"/>
    <w:rsid w:val="00C119DD"/>
    <w:rsid w:val="00C11D78"/>
    <w:rsid w:val="00C11ED7"/>
    <w:rsid w:val="00C12E8F"/>
    <w:rsid w:val="00C130B1"/>
    <w:rsid w:val="00C1374C"/>
    <w:rsid w:val="00C137D2"/>
    <w:rsid w:val="00C138C6"/>
    <w:rsid w:val="00C14A6F"/>
    <w:rsid w:val="00C14CCE"/>
    <w:rsid w:val="00C15205"/>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50E"/>
    <w:rsid w:val="00C266FD"/>
    <w:rsid w:val="00C26D87"/>
    <w:rsid w:val="00C2724A"/>
    <w:rsid w:val="00C301DE"/>
    <w:rsid w:val="00C30615"/>
    <w:rsid w:val="00C3090F"/>
    <w:rsid w:val="00C30BFA"/>
    <w:rsid w:val="00C30F48"/>
    <w:rsid w:val="00C319C9"/>
    <w:rsid w:val="00C31C33"/>
    <w:rsid w:val="00C32423"/>
    <w:rsid w:val="00C325F9"/>
    <w:rsid w:val="00C3362D"/>
    <w:rsid w:val="00C338F9"/>
    <w:rsid w:val="00C33C77"/>
    <w:rsid w:val="00C345AC"/>
    <w:rsid w:val="00C34EF0"/>
    <w:rsid w:val="00C35910"/>
    <w:rsid w:val="00C36A25"/>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1E2"/>
    <w:rsid w:val="00C63522"/>
    <w:rsid w:val="00C643FB"/>
    <w:rsid w:val="00C64DB4"/>
    <w:rsid w:val="00C65754"/>
    <w:rsid w:val="00C67309"/>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4BA8"/>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0E0"/>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60C6"/>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4DC"/>
    <w:rsid w:val="00CD7A2C"/>
    <w:rsid w:val="00CE111D"/>
    <w:rsid w:val="00CE1C99"/>
    <w:rsid w:val="00CE1EBE"/>
    <w:rsid w:val="00CE2056"/>
    <w:rsid w:val="00CE22FA"/>
    <w:rsid w:val="00CE27FF"/>
    <w:rsid w:val="00CE31BA"/>
    <w:rsid w:val="00CE3A4A"/>
    <w:rsid w:val="00CE412B"/>
    <w:rsid w:val="00CE45EA"/>
    <w:rsid w:val="00CE51A1"/>
    <w:rsid w:val="00CE656D"/>
    <w:rsid w:val="00CE7C59"/>
    <w:rsid w:val="00CF0A2F"/>
    <w:rsid w:val="00CF117D"/>
    <w:rsid w:val="00CF13F3"/>
    <w:rsid w:val="00CF1B3D"/>
    <w:rsid w:val="00CF2B8F"/>
    <w:rsid w:val="00CF3ADD"/>
    <w:rsid w:val="00CF3C97"/>
    <w:rsid w:val="00CF3E08"/>
    <w:rsid w:val="00CF3E2D"/>
    <w:rsid w:val="00CF4F81"/>
    <w:rsid w:val="00CF5623"/>
    <w:rsid w:val="00CF5CFB"/>
    <w:rsid w:val="00CF6856"/>
    <w:rsid w:val="00CF6DC4"/>
    <w:rsid w:val="00CF7293"/>
    <w:rsid w:val="00CF78A0"/>
    <w:rsid w:val="00CF794D"/>
    <w:rsid w:val="00D00CB2"/>
    <w:rsid w:val="00D01245"/>
    <w:rsid w:val="00D03042"/>
    <w:rsid w:val="00D03538"/>
    <w:rsid w:val="00D04363"/>
    <w:rsid w:val="00D04E4B"/>
    <w:rsid w:val="00D0564A"/>
    <w:rsid w:val="00D06181"/>
    <w:rsid w:val="00D06397"/>
    <w:rsid w:val="00D06510"/>
    <w:rsid w:val="00D06631"/>
    <w:rsid w:val="00D07965"/>
    <w:rsid w:val="00D11787"/>
    <w:rsid w:val="00D11A9B"/>
    <w:rsid w:val="00D1276E"/>
    <w:rsid w:val="00D12E88"/>
    <w:rsid w:val="00D136BB"/>
    <w:rsid w:val="00D13F62"/>
    <w:rsid w:val="00D14672"/>
    <w:rsid w:val="00D14B48"/>
    <w:rsid w:val="00D156C7"/>
    <w:rsid w:val="00D16A78"/>
    <w:rsid w:val="00D20934"/>
    <w:rsid w:val="00D20CC2"/>
    <w:rsid w:val="00D20D3C"/>
    <w:rsid w:val="00D20D6A"/>
    <w:rsid w:val="00D21B4D"/>
    <w:rsid w:val="00D2208F"/>
    <w:rsid w:val="00D2216F"/>
    <w:rsid w:val="00D2260B"/>
    <w:rsid w:val="00D226F8"/>
    <w:rsid w:val="00D2277A"/>
    <w:rsid w:val="00D23584"/>
    <w:rsid w:val="00D23706"/>
    <w:rsid w:val="00D23891"/>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2E1"/>
    <w:rsid w:val="00D35B2F"/>
    <w:rsid w:val="00D36E52"/>
    <w:rsid w:val="00D37A1C"/>
    <w:rsid w:val="00D413A7"/>
    <w:rsid w:val="00D4264C"/>
    <w:rsid w:val="00D43FAC"/>
    <w:rsid w:val="00D449B5"/>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4530"/>
    <w:rsid w:val="00D65877"/>
    <w:rsid w:val="00D65976"/>
    <w:rsid w:val="00D6615C"/>
    <w:rsid w:val="00D672B9"/>
    <w:rsid w:val="00D67AF4"/>
    <w:rsid w:val="00D70FCF"/>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A55"/>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0C3D"/>
    <w:rsid w:val="00DB103E"/>
    <w:rsid w:val="00DB15BA"/>
    <w:rsid w:val="00DB1D9A"/>
    <w:rsid w:val="00DB4BCB"/>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279C"/>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59EF"/>
    <w:rsid w:val="00DE629A"/>
    <w:rsid w:val="00DE7005"/>
    <w:rsid w:val="00DF0859"/>
    <w:rsid w:val="00DF1A39"/>
    <w:rsid w:val="00DF20F3"/>
    <w:rsid w:val="00DF2307"/>
    <w:rsid w:val="00DF2AE0"/>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17FB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37111"/>
    <w:rsid w:val="00E40961"/>
    <w:rsid w:val="00E414E0"/>
    <w:rsid w:val="00E414E2"/>
    <w:rsid w:val="00E41822"/>
    <w:rsid w:val="00E42AE8"/>
    <w:rsid w:val="00E42CEB"/>
    <w:rsid w:val="00E432A3"/>
    <w:rsid w:val="00E442A4"/>
    <w:rsid w:val="00E445B3"/>
    <w:rsid w:val="00E44ECD"/>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67B03"/>
    <w:rsid w:val="00E703D9"/>
    <w:rsid w:val="00E708CE"/>
    <w:rsid w:val="00E70904"/>
    <w:rsid w:val="00E7200C"/>
    <w:rsid w:val="00E72726"/>
    <w:rsid w:val="00E7299F"/>
    <w:rsid w:val="00E730B2"/>
    <w:rsid w:val="00E739BE"/>
    <w:rsid w:val="00E73CA0"/>
    <w:rsid w:val="00E740A7"/>
    <w:rsid w:val="00E74230"/>
    <w:rsid w:val="00E74E76"/>
    <w:rsid w:val="00E75A51"/>
    <w:rsid w:val="00E76EBB"/>
    <w:rsid w:val="00E771BD"/>
    <w:rsid w:val="00E80809"/>
    <w:rsid w:val="00E809E0"/>
    <w:rsid w:val="00E81B5D"/>
    <w:rsid w:val="00E82593"/>
    <w:rsid w:val="00E835C0"/>
    <w:rsid w:val="00E83909"/>
    <w:rsid w:val="00E83BF8"/>
    <w:rsid w:val="00E8472A"/>
    <w:rsid w:val="00E848AA"/>
    <w:rsid w:val="00E85F50"/>
    <w:rsid w:val="00E86932"/>
    <w:rsid w:val="00E878A3"/>
    <w:rsid w:val="00E87E29"/>
    <w:rsid w:val="00E90AD7"/>
    <w:rsid w:val="00E91795"/>
    <w:rsid w:val="00E92460"/>
    <w:rsid w:val="00E9253F"/>
    <w:rsid w:val="00E933A7"/>
    <w:rsid w:val="00E9523A"/>
    <w:rsid w:val="00E95459"/>
    <w:rsid w:val="00E979A6"/>
    <w:rsid w:val="00E97FF0"/>
    <w:rsid w:val="00EA0118"/>
    <w:rsid w:val="00EA0EE3"/>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096"/>
    <w:rsid w:val="00EC6F40"/>
    <w:rsid w:val="00EC7D13"/>
    <w:rsid w:val="00EC7E31"/>
    <w:rsid w:val="00ED0DAD"/>
    <w:rsid w:val="00ED126C"/>
    <w:rsid w:val="00ED1520"/>
    <w:rsid w:val="00ED1A60"/>
    <w:rsid w:val="00ED1CA1"/>
    <w:rsid w:val="00ED2066"/>
    <w:rsid w:val="00ED2323"/>
    <w:rsid w:val="00ED2798"/>
    <w:rsid w:val="00ED2A29"/>
    <w:rsid w:val="00ED2E06"/>
    <w:rsid w:val="00ED3046"/>
    <w:rsid w:val="00ED34B4"/>
    <w:rsid w:val="00ED35EE"/>
    <w:rsid w:val="00ED39D8"/>
    <w:rsid w:val="00ED50CE"/>
    <w:rsid w:val="00ED514B"/>
    <w:rsid w:val="00ED533E"/>
    <w:rsid w:val="00ED68E0"/>
    <w:rsid w:val="00ED6C9B"/>
    <w:rsid w:val="00ED7CAD"/>
    <w:rsid w:val="00EE1399"/>
    <w:rsid w:val="00EE141F"/>
    <w:rsid w:val="00EE143D"/>
    <w:rsid w:val="00EE15DE"/>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2630"/>
    <w:rsid w:val="00F03AC7"/>
    <w:rsid w:val="00F0575F"/>
    <w:rsid w:val="00F061F9"/>
    <w:rsid w:val="00F07EBF"/>
    <w:rsid w:val="00F1006C"/>
    <w:rsid w:val="00F10EC4"/>
    <w:rsid w:val="00F11160"/>
    <w:rsid w:val="00F111E5"/>
    <w:rsid w:val="00F12441"/>
    <w:rsid w:val="00F12454"/>
    <w:rsid w:val="00F124AB"/>
    <w:rsid w:val="00F124BE"/>
    <w:rsid w:val="00F1298C"/>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1F6D"/>
    <w:rsid w:val="00F21FD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666E4"/>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D1E"/>
    <w:rsid w:val="00F96FC6"/>
    <w:rsid w:val="00F9713C"/>
    <w:rsid w:val="00F97335"/>
    <w:rsid w:val="00F97568"/>
    <w:rsid w:val="00FA0166"/>
    <w:rsid w:val="00FA0FAC"/>
    <w:rsid w:val="00FA104B"/>
    <w:rsid w:val="00FA1AE3"/>
    <w:rsid w:val="00FA1C82"/>
    <w:rsid w:val="00FA1CBB"/>
    <w:rsid w:val="00FA1D2E"/>
    <w:rsid w:val="00FA298D"/>
    <w:rsid w:val="00FA2BB3"/>
    <w:rsid w:val="00FA2F74"/>
    <w:rsid w:val="00FA3557"/>
    <w:rsid w:val="00FA445D"/>
    <w:rsid w:val="00FA54BA"/>
    <w:rsid w:val="00FA5F5C"/>
    <w:rsid w:val="00FA6028"/>
    <w:rsid w:val="00FA6DAC"/>
    <w:rsid w:val="00FA7756"/>
    <w:rsid w:val="00FB0641"/>
    <w:rsid w:val="00FB140E"/>
    <w:rsid w:val="00FB19F5"/>
    <w:rsid w:val="00FB258F"/>
    <w:rsid w:val="00FB27B4"/>
    <w:rsid w:val="00FB3AB5"/>
    <w:rsid w:val="00FB3C25"/>
    <w:rsid w:val="00FB589E"/>
    <w:rsid w:val="00FB5DE3"/>
    <w:rsid w:val="00FB680E"/>
    <w:rsid w:val="00FB68DF"/>
    <w:rsid w:val="00FB6A3C"/>
    <w:rsid w:val="00FB7BFE"/>
    <w:rsid w:val="00FB7E0F"/>
    <w:rsid w:val="00FC0A71"/>
    <w:rsid w:val="00FC1EEC"/>
    <w:rsid w:val="00FC3288"/>
    <w:rsid w:val="00FC3389"/>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02B"/>
    <w:rsid w:val="00FE0905"/>
    <w:rsid w:val="00FE0A0E"/>
    <w:rsid w:val="00FE1E16"/>
    <w:rsid w:val="00FE2D65"/>
    <w:rsid w:val="00FE4CD9"/>
    <w:rsid w:val="00FE55DE"/>
    <w:rsid w:val="00FE585E"/>
    <w:rsid w:val="00FE5EB5"/>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8E1878"/>
    <w:rPr>
      <w:rFonts w:ascii="SimSun" w:hAnsi="SimSun" w:cs="SimSun"/>
      <w:sz w:val="24"/>
      <w:szCs w:val="24"/>
    </w:rPr>
  </w:style>
  <w:style w:type="paragraph" w:customStyle="1" w:styleId="1">
    <w:name w:val="列出段落1"/>
    <w:basedOn w:val="Normal"/>
    <w:link w:val="Char"/>
    <w:uiPriority w:val="34"/>
    <w:qFormat/>
    <w:rsid w:val="00C137D2"/>
    <w:pPr>
      <w:ind w:left="720"/>
      <w:contextualSpacing/>
    </w:pPr>
    <w:rPr>
      <w:sz w:val="24"/>
      <w:szCs w:val="24"/>
    </w:rPr>
  </w:style>
  <w:style w:type="character" w:customStyle="1" w:styleId="Char">
    <w:name w:val="列出段落 Char"/>
    <w:link w:val="1"/>
    <w:uiPriority w:val="34"/>
    <w:rsid w:val="00C137D2"/>
    <w:rPr>
      <w:rFonts w:eastAsia="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383490">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4122399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DA5F2-04DF-4AD9-95C0-3EFBF5C3E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Pages>
  <Words>1452</Words>
  <Characters>8278</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Tony Ekpenyong</cp:lastModifiedBy>
  <cp:revision>5</cp:revision>
  <dcterms:created xsi:type="dcterms:W3CDTF">2017-05-02T18:56:00Z</dcterms:created>
  <dcterms:modified xsi:type="dcterms:W3CDTF">2017-05-06T09:39:00Z</dcterms:modified>
</cp:coreProperties>
</file>