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01A67B31" w:rsidR="00A85E54" w:rsidRPr="001047B5" w:rsidRDefault="00A85E54" w:rsidP="00A85E54">
      <w:pPr>
        <w:pStyle w:val="Header"/>
        <w:tabs>
          <w:tab w:val="clear" w:pos="4536"/>
        </w:tabs>
        <w:rPr>
          <w:i/>
          <w:lang w:val="de-DE"/>
        </w:rPr>
      </w:pPr>
      <w:r w:rsidRPr="001047B5">
        <w:rPr>
          <w:lang w:val="de-DE"/>
        </w:rPr>
        <w:t>TSG-RAN WG1</w:t>
      </w:r>
      <w:r w:rsidR="00C02081">
        <w:rPr>
          <w:lang w:val="de-DE"/>
        </w:rPr>
        <w:t xml:space="preserve"> Meeting</w:t>
      </w:r>
      <w:r w:rsidR="00A720F9">
        <w:rPr>
          <w:lang w:val="de-DE"/>
        </w:rPr>
        <w:t>#89</w:t>
      </w:r>
      <w:r w:rsidRPr="001047B5">
        <w:rPr>
          <w:lang w:val="de-DE"/>
        </w:rPr>
        <w:tab/>
      </w:r>
      <w:r w:rsidR="006556BF" w:rsidRPr="001047B5">
        <w:rPr>
          <w:lang w:val="de-DE"/>
        </w:rPr>
        <w:t>R1-17</w:t>
      </w:r>
      <w:r w:rsidR="00E242E0">
        <w:rPr>
          <w:lang w:val="de-DE"/>
        </w:rPr>
        <w:t>09105</w:t>
      </w:r>
      <w:bookmarkStart w:id="0" w:name="_GoBack"/>
      <w:bookmarkEnd w:id="0"/>
    </w:p>
    <w:p w14:paraId="4587AF62" w14:textId="29837D94" w:rsidR="00A85E54" w:rsidRPr="000833FA" w:rsidRDefault="00FB168E" w:rsidP="00A85E54">
      <w:pPr>
        <w:pStyle w:val="Header"/>
        <w:rPr>
          <w:color w:val="000000"/>
        </w:rPr>
      </w:pPr>
      <w:r>
        <w:t>Hangzhou, China, May 15 – 19</w:t>
      </w:r>
      <w:r w:rsidR="006556BF">
        <w:t>,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2BD68B5" w:rsidR="00FE5799" w:rsidRPr="00E220C0" w:rsidRDefault="00FE5799" w:rsidP="00FE5799">
      <w:pPr>
        <w:pStyle w:val="Header"/>
        <w:tabs>
          <w:tab w:val="clear" w:pos="4536"/>
          <w:tab w:val="left" w:pos="1800"/>
        </w:tabs>
      </w:pPr>
      <w:r w:rsidRPr="0003368D">
        <w:t>Title:</w:t>
      </w:r>
      <w:bookmarkStart w:id="1" w:name="Title"/>
      <w:bookmarkEnd w:id="1"/>
      <w:r w:rsidRPr="0003368D">
        <w:tab/>
      </w:r>
      <w:r w:rsidR="002B3B98">
        <w:rPr>
          <w:iCs/>
          <w:lang w:eastAsia="ja-JP"/>
        </w:rPr>
        <w:t xml:space="preserve">On </w:t>
      </w:r>
      <w:r w:rsidR="00C02081">
        <w:rPr>
          <w:iCs/>
          <w:lang w:eastAsia="ja-JP"/>
        </w:rPr>
        <w:t>the Number of HARQ P</w:t>
      </w:r>
      <w:r w:rsidR="00B869D2">
        <w:rPr>
          <w:iCs/>
          <w:lang w:eastAsia="ja-JP"/>
        </w:rPr>
        <w:t>rocesses in</w:t>
      </w:r>
      <w:r w:rsidR="00B977A0">
        <w:rPr>
          <w:iCs/>
          <w:lang w:eastAsia="ja-JP"/>
        </w:rPr>
        <w:t xml:space="preserve"> NR</w:t>
      </w:r>
    </w:p>
    <w:p w14:paraId="7DAFFA69" w14:textId="75A74280" w:rsidR="00FE5799" w:rsidRPr="00E220C0" w:rsidRDefault="00FE5799" w:rsidP="00FE5799">
      <w:pPr>
        <w:pStyle w:val="Header"/>
        <w:tabs>
          <w:tab w:val="left" w:pos="1800"/>
        </w:tabs>
      </w:pPr>
      <w:r w:rsidRPr="00E220C0">
        <w:t>Agenda Item:</w:t>
      </w:r>
      <w:bookmarkStart w:id="2" w:name="Source"/>
      <w:bookmarkEnd w:id="2"/>
      <w:r w:rsidRPr="00E220C0">
        <w:tab/>
      </w:r>
      <w:r w:rsidR="00FB168E">
        <w:t>7</w:t>
      </w:r>
      <w:r w:rsidR="00E87E0C">
        <w:t>.1.3.3.</w:t>
      </w:r>
      <w:r w:rsidR="00FB168E">
        <w:t>4</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065F4FF1" w:rsidR="0056282E" w:rsidRDefault="0056282E" w:rsidP="00FE5799">
      <w:pPr>
        <w:pStyle w:val="Heading1"/>
        <w:spacing w:before="180"/>
        <w:ind w:left="562" w:hanging="562"/>
      </w:pPr>
      <w:r>
        <w:t>Introduction</w:t>
      </w:r>
    </w:p>
    <w:p w14:paraId="118A7246" w14:textId="7835CAF9" w:rsidR="006252B5" w:rsidRPr="006252B5" w:rsidRDefault="006252B5" w:rsidP="006252B5">
      <w:pPr>
        <w:pStyle w:val="BodyText"/>
      </w:pPr>
      <w:r>
        <w:t>NR will support hybrid ARQ retransmissions using multiple hybrid-ARQ processes in a similar way as done for LTE. However, the number of hybrid-ARQ processes have not yet been decided upon, which impact the number of bits for the hybrid-ARQ process number in the DCI as well as (indirectly) the amount of soft buffer memory in</w:t>
      </w:r>
      <w:r w:rsidR="0035088C">
        <w:t xml:space="preserve"> the</w:t>
      </w:r>
      <w:r>
        <w:t xml:space="preserve"> UE and </w:t>
      </w:r>
      <w:proofErr w:type="spellStart"/>
      <w:r>
        <w:t>gNodeB</w:t>
      </w:r>
      <w:proofErr w:type="spellEnd"/>
      <w:r>
        <w:t>.</w:t>
      </w:r>
    </w:p>
    <w:p w14:paraId="643B3910" w14:textId="7198D250" w:rsidR="000A74B8" w:rsidRDefault="00113113" w:rsidP="000A74B8">
      <w:pPr>
        <w:pStyle w:val="Heading1"/>
      </w:pPr>
      <w:r>
        <w:t>Discussion</w:t>
      </w:r>
    </w:p>
    <w:p w14:paraId="0EC92D58" w14:textId="677D3522" w:rsidR="008F6B66" w:rsidRPr="008F6B66" w:rsidRDefault="008F6B66" w:rsidP="008F6B66">
      <w:pPr>
        <w:pStyle w:val="Heading2"/>
      </w:pPr>
      <w:r>
        <w:t>The number of HARQ processes</w:t>
      </w:r>
    </w:p>
    <w:p w14:paraId="6AC0AF25" w14:textId="01EADBCB" w:rsidR="006252B5" w:rsidRDefault="006252B5" w:rsidP="006252B5">
      <w:pPr>
        <w:pStyle w:val="BodyText"/>
      </w:pPr>
      <w:r>
        <w:t xml:space="preserve">Retransmissions are scheduled in a similar way as the original transmission. Hence, upon reception of a negative acknowledgement (for downlink data transmissions) or detection of incorrectly received uplink data (for uplink data transmission), the </w:t>
      </w:r>
      <w:proofErr w:type="spellStart"/>
      <w:r>
        <w:t>gNodeB</w:t>
      </w:r>
      <w:proofErr w:type="spellEnd"/>
      <w:r>
        <w:t xml:space="preserve"> needs to schedule a retransmission.</w:t>
      </w:r>
    </w:p>
    <w:p w14:paraId="2E0563D0" w14:textId="77777777" w:rsidR="0035088C" w:rsidRDefault="006252B5" w:rsidP="006252B5">
      <w:pPr>
        <w:pStyle w:val="BodyText"/>
      </w:pPr>
      <w:r>
        <w:t>The number of hybrid ARQ processes depends on the overall roundtrip time</w:t>
      </w:r>
      <w:r w:rsidR="0035088C">
        <w:t xml:space="preserve">. For downlink data transmission this </w:t>
      </w:r>
      <w:r>
        <w:t xml:space="preserve">includes the UE processing time </w:t>
      </w:r>
      <w:r w:rsidR="0035088C">
        <w:t xml:space="preserve">to generate the acknowledgement, network-side processing time for scheduling the retransmission, and front-haul delays in case remote radio units are used to separate the baseband processing from the actual transmission site. </w:t>
      </w:r>
    </w:p>
    <w:p w14:paraId="42334B2E" w14:textId="61274941" w:rsidR="0004456D" w:rsidRDefault="0035088C" w:rsidP="006252B5">
      <w:pPr>
        <w:pStyle w:val="BodyText"/>
      </w:pPr>
      <w:r>
        <w:t>The speed of light in an optical fiber is approximatively 2·10</w:t>
      </w:r>
      <w:r w:rsidRPr="0035088C">
        <w:rPr>
          <w:vertAlign w:val="superscript"/>
        </w:rPr>
        <w:t>8</w:t>
      </w:r>
      <w:r>
        <w:t xml:space="preserve"> m/s. Hence, for a 15 km distance, which is not an unlikely distance, the two-way delay is 150 </w:t>
      </w:r>
      <w:proofErr w:type="spellStart"/>
      <w:r>
        <w:t>μs</w:t>
      </w:r>
      <w:proofErr w:type="spellEnd"/>
      <w:r>
        <w:t xml:space="preserve">. The scheduling delays can be in a similar range, depending on implementation, network load, </w:t>
      </w:r>
      <w:r w:rsidR="0004456D">
        <w:t xml:space="preserve">scheduling complexity in terms of </w:t>
      </w:r>
      <w:r>
        <w:t>quality-of-service handling</w:t>
      </w:r>
      <w:r w:rsidR="0004456D">
        <w:t>, exploitation of channel conditions, multi-user MIMO aspects</w:t>
      </w:r>
      <w:r>
        <w:t>, etc. As a comparison, the slot length is 125</w:t>
      </w:r>
      <w:r w:rsidRPr="0035088C">
        <w:t xml:space="preserve"> </w:t>
      </w:r>
      <w:proofErr w:type="spellStart"/>
      <w:r>
        <w:t>μs</w:t>
      </w:r>
      <w:proofErr w:type="spellEnd"/>
      <w:r>
        <w:t xml:space="preserve"> assuming 14 symbol slots and 120 kHz subcarrier spacing</w:t>
      </w:r>
      <w:r w:rsidR="0004456D">
        <w:t>.</w:t>
      </w:r>
    </w:p>
    <w:p w14:paraId="3B321D5A" w14:textId="7158BBA2" w:rsidR="000903F2" w:rsidRDefault="000903F2" w:rsidP="006252B5">
      <w:pPr>
        <w:pStyle w:val="BodyText"/>
      </w:pPr>
      <w:r>
        <w:t>Coexistence with TD-LTE is another example where multiple hybrid-ARQ processes are needed as there, for coexistence reasons, can be multiple slots (corresponding to LTE subframes) where it is not possible to transmit an uplink acknowledgement. For a typical case of TDD uplink-downlink allocation #2, there are four downlink slots followed by one uplink slot. In principle, four processes would be sufficient to handle this if the UE is capable of ‘same slot’ ACK, otherwise a couple of more processes are needed.</w:t>
      </w:r>
      <w:r w:rsidR="00B91988">
        <w:t xml:space="preserve"> Furthermore, LTE supports several uplink-downlink allocations, many of which are not used in practice, and it can be considered if coexistence with all these possibilities need to be able to support the peak data rate.</w:t>
      </w:r>
    </w:p>
    <w:p w14:paraId="29FEAC5A" w14:textId="496C40D4" w:rsidR="006252B5" w:rsidRDefault="0004456D" w:rsidP="006252B5">
      <w:pPr>
        <w:pStyle w:val="BodyText"/>
      </w:pPr>
      <w:r>
        <w:t>From the simplified discussion above, it is seen that the time from transmission to retransmission can be in the order of several slots, motivating multiple hybrid-ARQ processes</w:t>
      </w:r>
      <w:r w:rsidR="0035088C">
        <w:t xml:space="preserve">. </w:t>
      </w:r>
      <w:r>
        <w:t xml:space="preserve">At the same </w:t>
      </w:r>
      <w:r w:rsidR="00B91988">
        <w:t>time,</w:t>
      </w:r>
      <w:r>
        <w:t xml:space="preserve"> it is beneficial to keep the number of hybrid-ARQ processes small</w:t>
      </w:r>
      <w:r w:rsidR="00B435FE">
        <w:t xml:space="preserve"> as NR is supposed to provide low latency</w:t>
      </w:r>
      <w:r>
        <w:t>. Furthermore, supporting different number of hybrid-ARQ processes for different numerologies would complicate the overall structure and a single number is preferable. It is therefore recommended to support 8 hybrid-ARQ processes in NR, i.e. use 3 bits for the hybrid-ARQ process number in the DCI.</w:t>
      </w:r>
    </w:p>
    <w:p w14:paraId="58FFD8EF" w14:textId="3E951EED" w:rsidR="008F6B66" w:rsidRDefault="008F6B66" w:rsidP="008F6B66">
      <w:pPr>
        <w:pStyle w:val="Heading2"/>
      </w:pPr>
      <w:r>
        <w:t>Slots and mini-slot</w:t>
      </w:r>
    </w:p>
    <w:p w14:paraId="15C7B5CC" w14:textId="79D0516C" w:rsidR="008F6B66" w:rsidRDefault="008F6B66" w:rsidP="008F6B66">
      <w:pPr>
        <w:pStyle w:val="BodyText"/>
      </w:pPr>
      <w:r>
        <w:t xml:space="preserve">For the scheduling purpose either a slot or mini-slot can be scheduled on a </w:t>
      </w:r>
      <w:proofErr w:type="gramStart"/>
      <w:r>
        <w:t>specific carrier</w:t>
      </w:r>
      <w:proofErr w:type="gramEnd"/>
      <w:r>
        <w:t xml:space="preserve">. To allow full flexibility in scheduling within a single carrier it would make sense to have the same HARQ processes being applicable for both mini-slots and slots. This allows the </w:t>
      </w:r>
      <w:proofErr w:type="spellStart"/>
      <w:r>
        <w:t>gNodeb</w:t>
      </w:r>
      <w:proofErr w:type="spellEnd"/>
      <w:r>
        <w:t xml:space="preserve"> to dynamically move between slot and mini-slot transmission and is in line with the general intention in RAN1 to harmonize slots and mini-slots into the same framework. </w:t>
      </w:r>
    </w:p>
    <w:p w14:paraId="47D08895" w14:textId="63984572" w:rsidR="008F6B66" w:rsidRDefault="008F6B66" w:rsidP="008F6B66">
      <w:pPr>
        <w:pStyle w:val="Heading2"/>
      </w:pPr>
      <w:r>
        <w:t>Carrier aggregation</w:t>
      </w:r>
    </w:p>
    <w:p w14:paraId="299606D0" w14:textId="63AD09EB" w:rsidR="008F6B66" w:rsidRDefault="008F6B66" w:rsidP="008F6B66">
      <w:pPr>
        <w:pStyle w:val="BodyText"/>
      </w:pPr>
      <w:r>
        <w:t xml:space="preserve">An additional aspect to consider is whether a single HARQ processes can be moved across component carriers or not. It can be noted that this aspect has been discussed for LTE and not introduced there. There are multiple aspects to consider for this topic. Firstly, how to address the HARQ processes on L1 and the MAC handling for this. The </w:t>
      </w:r>
      <w:proofErr w:type="gramStart"/>
      <w:r>
        <w:t>specific gains</w:t>
      </w:r>
      <w:proofErr w:type="gramEnd"/>
      <w:r>
        <w:t xml:space="preserve"> for the feature in itself is at the same time not directly clear, although increased frequency diversity </w:t>
      </w:r>
      <w:r>
        <w:lastRenderedPageBreak/>
        <w:t xml:space="preserve">gains could potentially be achieved. It is noted further that if the feature is not supported on L1 and MAC it will be supported on RLC level. </w:t>
      </w:r>
    </w:p>
    <w:p w14:paraId="7FA2682D" w14:textId="77777777" w:rsidR="008F6B66" w:rsidRDefault="008F6B66" w:rsidP="006252B5">
      <w:pPr>
        <w:pStyle w:val="BodyText"/>
      </w:pPr>
    </w:p>
    <w:p w14:paraId="28284343" w14:textId="5E1F1412" w:rsidR="007A018A" w:rsidRDefault="007A018A" w:rsidP="007A018A">
      <w:pPr>
        <w:pStyle w:val="Heading1"/>
      </w:pPr>
      <w:r>
        <w:t>Conclusion</w:t>
      </w:r>
    </w:p>
    <w:p w14:paraId="6951E701" w14:textId="40375E9B" w:rsidR="0004456D" w:rsidRPr="00C02081" w:rsidRDefault="0004456D" w:rsidP="0004456D">
      <w:pPr>
        <w:pStyle w:val="BodyText"/>
        <w:rPr>
          <w:b/>
        </w:rPr>
      </w:pPr>
      <w:r w:rsidRPr="00C02081">
        <w:rPr>
          <w:b/>
        </w:rPr>
        <w:t>Proposal:</w:t>
      </w:r>
    </w:p>
    <w:p w14:paraId="27354A09" w14:textId="58D418CE" w:rsidR="0004456D" w:rsidRDefault="0004456D" w:rsidP="0004456D">
      <w:pPr>
        <w:pStyle w:val="BodyText"/>
        <w:numPr>
          <w:ilvl w:val="0"/>
          <w:numId w:val="16"/>
        </w:numPr>
      </w:pPr>
      <w:r>
        <w:t xml:space="preserve">3 bits are used for hybrid </w:t>
      </w:r>
      <w:r w:rsidR="00ED5ABF">
        <w:t>ARQ process number in the DCI (i.e.</w:t>
      </w:r>
      <w:r w:rsidR="00B435FE">
        <w:t xml:space="preserve"> at most </w:t>
      </w:r>
      <w:r w:rsidR="00ED5ABF">
        <w:t>8 hybrid ARQ processes</w:t>
      </w:r>
      <w:r w:rsidR="00B435FE">
        <w:t xml:space="preserve"> are supported</w:t>
      </w:r>
      <w:r w:rsidR="00ED5ABF">
        <w:t>)</w:t>
      </w:r>
    </w:p>
    <w:p w14:paraId="5BC86F07" w14:textId="4E87678E" w:rsidR="008F6B66" w:rsidRPr="008F6B66" w:rsidRDefault="008F6B66" w:rsidP="008F6B66">
      <w:pPr>
        <w:pStyle w:val="BodyText"/>
        <w:numPr>
          <w:ilvl w:val="0"/>
          <w:numId w:val="16"/>
        </w:numPr>
      </w:pPr>
      <w:r w:rsidRPr="008F6B66">
        <w:t>The same HARQ processes space is used for both mini-slot and slot on the same carrier</w:t>
      </w:r>
    </w:p>
    <w:sectPr w:rsidR="008F6B66" w:rsidRPr="008F6B6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18D48" w14:textId="77777777" w:rsidR="00FE756C" w:rsidRDefault="00FE756C">
      <w:r>
        <w:separator/>
      </w:r>
    </w:p>
  </w:endnote>
  <w:endnote w:type="continuationSeparator" w:id="0">
    <w:p w14:paraId="350A02CB" w14:textId="77777777" w:rsidR="00FE756C" w:rsidRDefault="00FE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3643B" w14:textId="77777777" w:rsidR="00FE756C" w:rsidRDefault="00FE756C">
      <w:r>
        <w:separator/>
      </w:r>
    </w:p>
  </w:footnote>
  <w:footnote w:type="continuationSeparator" w:id="0">
    <w:p w14:paraId="703664AF" w14:textId="77777777" w:rsidR="00FE756C" w:rsidRDefault="00FE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FE756C"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14"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5"/>
  </w:num>
  <w:num w:numId="2">
    <w:abstractNumId w:val="12"/>
  </w:num>
  <w:num w:numId="3">
    <w:abstractNumId w:val="8"/>
  </w:num>
  <w:num w:numId="4">
    <w:abstractNumId w:val="5"/>
  </w:num>
  <w:num w:numId="5">
    <w:abstractNumId w:val="4"/>
  </w:num>
  <w:num w:numId="6">
    <w:abstractNumId w:val="7"/>
  </w:num>
  <w:num w:numId="7">
    <w:abstractNumId w:val="10"/>
  </w:num>
  <w:num w:numId="8">
    <w:abstractNumId w:val="16"/>
  </w:num>
  <w:num w:numId="9">
    <w:abstractNumId w:val="1"/>
  </w:num>
  <w:num w:numId="10">
    <w:abstractNumId w:val="0"/>
  </w:num>
  <w:num w:numId="11">
    <w:abstractNumId w:val="2"/>
  </w:num>
  <w:num w:numId="12">
    <w:abstractNumId w:val="9"/>
  </w:num>
  <w:num w:numId="13">
    <w:abstractNumId w:val="11"/>
  </w:num>
  <w:num w:numId="14">
    <w:abstractNumId w:val="3"/>
  </w:num>
  <w:num w:numId="15">
    <w:abstractNumId w:val="14"/>
  </w:num>
  <w:num w:numId="16">
    <w:abstractNumId w:val="6"/>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5432"/>
    <w:rsid w:val="000375DD"/>
    <w:rsid w:val="00037C51"/>
    <w:rsid w:val="00041947"/>
    <w:rsid w:val="0004251E"/>
    <w:rsid w:val="0004456D"/>
    <w:rsid w:val="00055C3F"/>
    <w:rsid w:val="00056F8C"/>
    <w:rsid w:val="0009038A"/>
    <w:rsid w:val="000903F2"/>
    <w:rsid w:val="000944E4"/>
    <w:rsid w:val="000A258F"/>
    <w:rsid w:val="000A4E5A"/>
    <w:rsid w:val="000A74B8"/>
    <w:rsid w:val="000B0B5C"/>
    <w:rsid w:val="000C02AC"/>
    <w:rsid w:val="0010025E"/>
    <w:rsid w:val="001018DF"/>
    <w:rsid w:val="001027FF"/>
    <w:rsid w:val="001047B5"/>
    <w:rsid w:val="00112E18"/>
    <w:rsid w:val="00113113"/>
    <w:rsid w:val="00114B6A"/>
    <w:rsid w:val="00120E84"/>
    <w:rsid w:val="0012468C"/>
    <w:rsid w:val="00133C81"/>
    <w:rsid w:val="00141448"/>
    <w:rsid w:val="00142260"/>
    <w:rsid w:val="00171B31"/>
    <w:rsid w:val="0017310F"/>
    <w:rsid w:val="00175D32"/>
    <w:rsid w:val="00191E60"/>
    <w:rsid w:val="001B4110"/>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078F6"/>
    <w:rsid w:val="0031422F"/>
    <w:rsid w:val="00314A93"/>
    <w:rsid w:val="00343A18"/>
    <w:rsid w:val="00350180"/>
    <w:rsid w:val="0035088C"/>
    <w:rsid w:val="00361CA8"/>
    <w:rsid w:val="00363390"/>
    <w:rsid w:val="003875A3"/>
    <w:rsid w:val="003A1F9F"/>
    <w:rsid w:val="003A3E47"/>
    <w:rsid w:val="003B5644"/>
    <w:rsid w:val="003C040C"/>
    <w:rsid w:val="003E2560"/>
    <w:rsid w:val="00402FB2"/>
    <w:rsid w:val="004067C0"/>
    <w:rsid w:val="004165C9"/>
    <w:rsid w:val="004217B5"/>
    <w:rsid w:val="00422F7B"/>
    <w:rsid w:val="00437ACB"/>
    <w:rsid w:val="004837C7"/>
    <w:rsid w:val="00492A78"/>
    <w:rsid w:val="00495C80"/>
    <w:rsid w:val="004B57FD"/>
    <w:rsid w:val="004C321E"/>
    <w:rsid w:val="004C4387"/>
    <w:rsid w:val="004D7360"/>
    <w:rsid w:val="004E70DB"/>
    <w:rsid w:val="004F27B2"/>
    <w:rsid w:val="00511453"/>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E80"/>
    <w:rsid w:val="005A2873"/>
    <w:rsid w:val="005A4D1F"/>
    <w:rsid w:val="005A7EF1"/>
    <w:rsid w:val="005B0522"/>
    <w:rsid w:val="005C439D"/>
    <w:rsid w:val="005D67F9"/>
    <w:rsid w:val="005E0AF0"/>
    <w:rsid w:val="005E2BCF"/>
    <w:rsid w:val="005F57CF"/>
    <w:rsid w:val="0060203F"/>
    <w:rsid w:val="0061336B"/>
    <w:rsid w:val="006252B5"/>
    <w:rsid w:val="0062673F"/>
    <w:rsid w:val="006348C5"/>
    <w:rsid w:val="00636F01"/>
    <w:rsid w:val="0064164A"/>
    <w:rsid w:val="00643A16"/>
    <w:rsid w:val="006549E5"/>
    <w:rsid w:val="006556BF"/>
    <w:rsid w:val="00665E2A"/>
    <w:rsid w:val="00670FD9"/>
    <w:rsid w:val="006A286A"/>
    <w:rsid w:val="006A4578"/>
    <w:rsid w:val="006B271B"/>
    <w:rsid w:val="006E0D45"/>
    <w:rsid w:val="006F06B7"/>
    <w:rsid w:val="00714D20"/>
    <w:rsid w:val="00726A12"/>
    <w:rsid w:val="00726C96"/>
    <w:rsid w:val="00736860"/>
    <w:rsid w:val="00741E68"/>
    <w:rsid w:val="007506C7"/>
    <w:rsid w:val="0075384C"/>
    <w:rsid w:val="007563CC"/>
    <w:rsid w:val="007569CA"/>
    <w:rsid w:val="00762DF4"/>
    <w:rsid w:val="0076348D"/>
    <w:rsid w:val="00765485"/>
    <w:rsid w:val="00777330"/>
    <w:rsid w:val="007A018A"/>
    <w:rsid w:val="007A01C0"/>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6B66"/>
    <w:rsid w:val="008F77A7"/>
    <w:rsid w:val="0091488F"/>
    <w:rsid w:val="00944B89"/>
    <w:rsid w:val="0096027F"/>
    <w:rsid w:val="00973F8C"/>
    <w:rsid w:val="0097401A"/>
    <w:rsid w:val="00977B9E"/>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20F9"/>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435FE"/>
    <w:rsid w:val="00B52C5F"/>
    <w:rsid w:val="00B5516A"/>
    <w:rsid w:val="00B63298"/>
    <w:rsid w:val="00B8400F"/>
    <w:rsid w:val="00B85DCB"/>
    <w:rsid w:val="00B869D2"/>
    <w:rsid w:val="00B91988"/>
    <w:rsid w:val="00B977A0"/>
    <w:rsid w:val="00BA2CDD"/>
    <w:rsid w:val="00BA3D9B"/>
    <w:rsid w:val="00BA76BC"/>
    <w:rsid w:val="00BB73A0"/>
    <w:rsid w:val="00BF7E13"/>
    <w:rsid w:val="00C02081"/>
    <w:rsid w:val="00C04B3F"/>
    <w:rsid w:val="00C073DB"/>
    <w:rsid w:val="00C13452"/>
    <w:rsid w:val="00C1560A"/>
    <w:rsid w:val="00C16DB9"/>
    <w:rsid w:val="00C325A2"/>
    <w:rsid w:val="00C326A6"/>
    <w:rsid w:val="00C50B3C"/>
    <w:rsid w:val="00C55346"/>
    <w:rsid w:val="00C61496"/>
    <w:rsid w:val="00C632C3"/>
    <w:rsid w:val="00C76E90"/>
    <w:rsid w:val="00C93774"/>
    <w:rsid w:val="00CB4D3D"/>
    <w:rsid w:val="00CE02E7"/>
    <w:rsid w:val="00CE15A4"/>
    <w:rsid w:val="00CE1E70"/>
    <w:rsid w:val="00CE28B2"/>
    <w:rsid w:val="00CE3E00"/>
    <w:rsid w:val="00CE4E11"/>
    <w:rsid w:val="00CE7F2E"/>
    <w:rsid w:val="00CF2225"/>
    <w:rsid w:val="00CF67BE"/>
    <w:rsid w:val="00CF7534"/>
    <w:rsid w:val="00D02349"/>
    <w:rsid w:val="00D02E0C"/>
    <w:rsid w:val="00D03119"/>
    <w:rsid w:val="00D04257"/>
    <w:rsid w:val="00D11960"/>
    <w:rsid w:val="00D23CBA"/>
    <w:rsid w:val="00D338CE"/>
    <w:rsid w:val="00D350E3"/>
    <w:rsid w:val="00D516DD"/>
    <w:rsid w:val="00D63209"/>
    <w:rsid w:val="00D650BD"/>
    <w:rsid w:val="00D701A0"/>
    <w:rsid w:val="00D83B62"/>
    <w:rsid w:val="00DA110D"/>
    <w:rsid w:val="00DB3BC8"/>
    <w:rsid w:val="00DC085D"/>
    <w:rsid w:val="00DC0996"/>
    <w:rsid w:val="00DC32CC"/>
    <w:rsid w:val="00DD1935"/>
    <w:rsid w:val="00DD4245"/>
    <w:rsid w:val="00DD48EB"/>
    <w:rsid w:val="00DE3421"/>
    <w:rsid w:val="00DE5946"/>
    <w:rsid w:val="00DE63BC"/>
    <w:rsid w:val="00DF49ED"/>
    <w:rsid w:val="00DF6135"/>
    <w:rsid w:val="00DF71DB"/>
    <w:rsid w:val="00DF762C"/>
    <w:rsid w:val="00E0407B"/>
    <w:rsid w:val="00E13BDA"/>
    <w:rsid w:val="00E220C0"/>
    <w:rsid w:val="00E242E0"/>
    <w:rsid w:val="00E30E59"/>
    <w:rsid w:val="00E31041"/>
    <w:rsid w:val="00E45EB0"/>
    <w:rsid w:val="00E57CED"/>
    <w:rsid w:val="00E6268C"/>
    <w:rsid w:val="00E63D88"/>
    <w:rsid w:val="00E83054"/>
    <w:rsid w:val="00E87E0C"/>
    <w:rsid w:val="00E92A9B"/>
    <w:rsid w:val="00EA148A"/>
    <w:rsid w:val="00EA172F"/>
    <w:rsid w:val="00EA1984"/>
    <w:rsid w:val="00EA479A"/>
    <w:rsid w:val="00EC1E57"/>
    <w:rsid w:val="00EC61BE"/>
    <w:rsid w:val="00EC76D4"/>
    <w:rsid w:val="00ED5ABF"/>
    <w:rsid w:val="00EE478D"/>
    <w:rsid w:val="00EF4B30"/>
    <w:rsid w:val="00F0587F"/>
    <w:rsid w:val="00F21365"/>
    <w:rsid w:val="00F24DDE"/>
    <w:rsid w:val="00F302D9"/>
    <w:rsid w:val="00F37D49"/>
    <w:rsid w:val="00F4190F"/>
    <w:rsid w:val="00F47068"/>
    <w:rsid w:val="00F51EB4"/>
    <w:rsid w:val="00F87832"/>
    <w:rsid w:val="00FA3B0E"/>
    <w:rsid w:val="00FB04C4"/>
    <w:rsid w:val="00FB168E"/>
    <w:rsid w:val="00FB1B57"/>
    <w:rsid w:val="00FD4D0F"/>
    <w:rsid w:val="00FD6BED"/>
    <w:rsid w:val="00FE304E"/>
    <w:rsid w:val="00FE5799"/>
    <w:rsid w:val="00FE6E6F"/>
    <w:rsid w:val="00FE756C"/>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F5ECF-465B-45C9-8420-FC88CF8A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Thomas Cheng</cp:lastModifiedBy>
  <cp:revision>11</cp:revision>
  <cp:lastPrinted>2017-03-14T12:16:00Z</cp:lastPrinted>
  <dcterms:created xsi:type="dcterms:W3CDTF">2017-05-02T13:26:00Z</dcterms:created>
  <dcterms:modified xsi:type="dcterms:W3CDTF">2017-05-06T00:27:00Z</dcterms:modified>
</cp:coreProperties>
</file>