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2BCB51" w14:textId="3BA1B75C" w:rsidR="009C299B" w:rsidRPr="001047B5" w:rsidRDefault="009C299B" w:rsidP="009C299B">
      <w:pPr>
        <w:pStyle w:val="Header"/>
        <w:tabs>
          <w:tab w:val="clear" w:pos="4536"/>
        </w:tabs>
        <w:rPr>
          <w:i/>
          <w:lang w:val="de-DE"/>
        </w:rPr>
      </w:pPr>
      <w:r w:rsidRPr="001047B5">
        <w:rPr>
          <w:lang w:val="de-DE"/>
        </w:rPr>
        <w:t>TSG-RAN WG1</w:t>
      </w:r>
      <w:r>
        <w:rPr>
          <w:lang w:val="de-DE"/>
        </w:rPr>
        <w:t xml:space="preserve"> Meeting#89</w:t>
      </w:r>
      <w:r w:rsidRPr="001047B5">
        <w:rPr>
          <w:lang w:val="de-DE"/>
        </w:rPr>
        <w:tab/>
        <w:t>R1-17</w:t>
      </w:r>
      <w:r w:rsidR="006364CD">
        <w:rPr>
          <w:lang w:val="de-DE"/>
        </w:rPr>
        <w:t>09103</w:t>
      </w:r>
    </w:p>
    <w:p w14:paraId="2D23C0C3" w14:textId="77777777" w:rsidR="009C299B" w:rsidRPr="000833FA" w:rsidRDefault="009C299B" w:rsidP="009C299B">
      <w:pPr>
        <w:pStyle w:val="Header"/>
        <w:rPr>
          <w:color w:val="000000"/>
        </w:rPr>
      </w:pPr>
      <w:r>
        <w:t>Hangzhou, China, May 15 – 19, 2017</w:t>
      </w:r>
    </w:p>
    <w:p w14:paraId="6FA39D90" w14:textId="77777777" w:rsidR="00D754C4" w:rsidRPr="00D754C4" w:rsidRDefault="00D754C4" w:rsidP="00D754C4">
      <w:pPr>
        <w:pStyle w:val="Header"/>
        <w:rPr>
          <w:lang w:val="en-GB"/>
        </w:rPr>
      </w:pPr>
    </w:p>
    <w:p w14:paraId="72E08FCD" w14:textId="77777777" w:rsidR="00F618ED" w:rsidRPr="0003368D" w:rsidRDefault="00F618ED" w:rsidP="00F618ED">
      <w:pPr>
        <w:pStyle w:val="Header"/>
        <w:tabs>
          <w:tab w:val="clear" w:pos="4536"/>
          <w:tab w:val="left" w:pos="1800"/>
        </w:tabs>
        <w:ind w:left="1800" w:hanging="1800"/>
      </w:pPr>
      <w:r w:rsidRPr="0003368D">
        <w:t>Source:</w:t>
      </w:r>
      <w:r w:rsidRPr="0003368D">
        <w:tab/>
        <w:t>Ericsson</w:t>
      </w:r>
    </w:p>
    <w:p w14:paraId="2BF99A4B" w14:textId="6D93B055" w:rsidR="00F618ED" w:rsidRPr="00E220C0" w:rsidRDefault="00F618ED" w:rsidP="00F618ED">
      <w:pPr>
        <w:pStyle w:val="Header"/>
        <w:tabs>
          <w:tab w:val="clear" w:pos="4536"/>
          <w:tab w:val="left" w:pos="1800"/>
        </w:tabs>
      </w:pPr>
      <w:r w:rsidRPr="0003368D">
        <w:t>Title:</w:t>
      </w:r>
      <w:bookmarkStart w:id="0" w:name="Title"/>
      <w:bookmarkEnd w:id="0"/>
      <w:r w:rsidRPr="0003368D">
        <w:tab/>
      </w:r>
      <w:r w:rsidR="00FC3DF6" w:rsidRPr="00FC3DF6">
        <w:t xml:space="preserve">On </w:t>
      </w:r>
      <w:r w:rsidR="00E30ACB">
        <w:t>Minimum Processing T</w:t>
      </w:r>
      <w:bookmarkStart w:id="1" w:name="_GoBack"/>
      <w:bookmarkEnd w:id="1"/>
      <w:r w:rsidR="00902E4A">
        <w:t>ime</w:t>
      </w:r>
    </w:p>
    <w:p w14:paraId="21A0FB9A" w14:textId="3637C157" w:rsidR="00F618ED" w:rsidRPr="00E220C0" w:rsidRDefault="00F618ED" w:rsidP="00F618ED">
      <w:pPr>
        <w:pStyle w:val="Header"/>
        <w:tabs>
          <w:tab w:val="left" w:pos="1800"/>
        </w:tabs>
      </w:pPr>
      <w:r w:rsidRPr="00E220C0">
        <w:t>Agenda Item:</w:t>
      </w:r>
      <w:bookmarkStart w:id="2" w:name="Source"/>
      <w:bookmarkEnd w:id="2"/>
      <w:r w:rsidRPr="00E220C0">
        <w:tab/>
      </w:r>
      <w:r w:rsidR="00117D16">
        <w:t>7</w:t>
      </w:r>
      <w:r w:rsidR="00D754C4">
        <w:t>.1.3.3.</w:t>
      </w:r>
      <w:r w:rsidR="00117D16">
        <w:t>4</w:t>
      </w:r>
    </w:p>
    <w:p w14:paraId="37E0F9F2" w14:textId="77777777" w:rsidR="00F618ED" w:rsidRPr="0003368D" w:rsidRDefault="00F618ED" w:rsidP="00F618ED">
      <w:pPr>
        <w:pStyle w:val="Header"/>
        <w:tabs>
          <w:tab w:val="left" w:pos="1800"/>
        </w:tabs>
      </w:pPr>
      <w:r w:rsidRPr="00E220C0">
        <w:t>Document for:</w:t>
      </w:r>
      <w:r w:rsidRPr="0003368D">
        <w:tab/>
      </w:r>
      <w:bookmarkStart w:id="3" w:name="DocumentFor"/>
      <w:bookmarkEnd w:id="3"/>
      <w:r w:rsidRPr="0003368D">
        <w:t xml:space="preserve">Discussion </w:t>
      </w:r>
      <w:r>
        <w:t>and Decision</w:t>
      </w:r>
    </w:p>
    <w:p w14:paraId="4CE178D4" w14:textId="77777777" w:rsidR="00F618ED" w:rsidRPr="002100D2" w:rsidRDefault="00F618ED" w:rsidP="00F618ED">
      <w:pPr>
        <w:pBdr>
          <w:bottom w:val="single" w:sz="4" w:space="1" w:color="auto"/>
        </w:pBdr>
        <w:tabs>
          <w:tab w:val="left" w:pos="2552"/>
        </w:tabs>
      </w:pPr>
    </w:p>
    <w:p w14:paraId="00E53489" w14:textId="00EF9915" w:rsidR="00F618ED" w:rsidRDefault="00F618ED" w:rsidP="00F618ED">
      <w:pPr>
        <w:pStyle w:val="Heading1"/>
        <w:spacing w:before="180"/>
        <w:ind w:left="562" w:hanging="562"/>
      </w:pPr>
      <w:r>
        <w:t>Introduction</w:t>
      </w:r>
    </w:p>
    <w:p w14:paraId="2527E760" w14:textId="1581BD77" w:rsidR="00D573FE" w:rsidRDefault="00D573FE" w:rsidP="00D573FE">
      <w:pPr>
        <w:pStyle w:val="BodyText"/>
      </w:pPr>
      <w:r>
        <w:t>In this document the minimum values for these quantities from a UE capability perspective are discussed. Note that the network for di</w:t>
      </w:r>
      <w:r w:rsidR="00173A64">
        <w:t>fferent reason may use different timing relations, e.g. hybrid-ARQ feedback later than what the UE is capable of</w:t>
      </w:r>
      <w:r w:rsidR="00AB18E7">
        <w:t>.</w:t>
      </w:r>
    </w:p>
    <w:p w14:paraId="41B1AFA4" w14:textId="7E7C2FF2" w:rsidR="001E76F3" w:rsidRDefault="001E76F3" w:rsidP="001E76F3">
      <w:pPr>
        <w:pStyle w:val="Heading1"/>
        <w:spacing w:before="180"/>
        <w:ind w:left="562" w:hanging="562"/>
      </w:pPr>
      <w:r>
        <w:t>Discussion</w:t>
      </w:r>
    </w:p>
    <w:p w14:paraId="2DFD5735" w14:textId="33479EB7" w:rsidR="00C25EEC" w:rsidRDefault="00C25EEC" w:rsidP="00C25EEC">
      <w:pPr>
        <w:pStyle w:val="Heading2"/>
      </w:pPr>
      <w:r>
        <w:t>LDPC decoder throughput requirement for initial transmissions</w:t>
      </w:r>
    </w:p>
    <w:p w14:paraId="062D13A0" w14:textId="77777777" w:rsidR="00C25EEC" w:rsidRDefault="00C25EEC" w:rsidP="00B57557">
      <w:pPr>
        <w:pStyle w:val="BodyText"/>
      </w:pPr>
      <w:r>
        <w:t xml:space="preserve">For UE category supporting </w:t>
      </w:r>
      <m:oMath>
        <m:r>
          <w:rPr>
            <w:rFonts w:ascii="Cambria Math" w:hAnsi="Cambria Math"/>
          </w:rPr>
          <m:t>ν</m:t>
        </m:r>
      </m:oMath>
      <w:r>
        <w:t xml:space="preserve"> spatial layers on a bandwidth of </w:t>
      </w:r>
      <m:oMath>
        <m:r>
          <w:rPr>
            <w:rFonts w:ascii="Cambria Math" w:hAnsi="Cambria Math"/>
          </w:rPr>
          <m:t>W</m:t>
        </m:r>
      </m:oMath>
      <w:r>
        <w:t>, the LDPC decoder hardware can be designed to support the peak rate corresponding to the highest MCS level (e.g., 256QAM @ 8/9 code rate). The hardware should be at least capable of sustaining this data rate when it is scheduled continuously at this MCS level and assuming no retransmission. However, this is in fact not enough for such UEs to operate correctly in the NR network.</w:t>
      </w:r>
    </w:p>
    <w:p w14:paraId="0A5693A1" w14:textId="04CBE9E8" w:rsidR="00C25EEC" w:rsidRDefault="00C25EEC" w:rsidP="00B57557">
      <w:pPr>
        <w:pStyle w:val="BodyText"/>
      </w:pPr>
      <w:r>
        <w:t xml:space="preserve">As analyzed in </w:t>
      </w:r>
      <w:r>
        <w:fldChar w:fldCharType="begin"/>
      </w:r>
      <w:r>
        <w:instrText xml:space="preserve"> REF _Ref481745189 \r \h </w:instrText>
      </w:r>
      <w:r>
        <w:fldChar w:fldCharType="separate"/>
      </w:r>
      <w:r w:rsidR="008A4BB9">
        <w:t>[1]</w:t>
      </w:r>
      <w:r>
        <w:fldChar w:fldCharType="end"/>
      </w:r>
      <w:r>
        <w:t xml:space="preserve">, LDPC decoders requires 40% more time to decode the same number of coded bits at 2/3 code rate than at 8/9 code rate. Considering across all MCS range, it is shown in </w:t>
      </w:r>
      <w:r>
        <w:fldChar w:fldCharType="begin"/>
      </w:r>
      <w:r>
        <w:instrText xml:space="preserve"> REF _Ref481745189 \r \h </w:instrText>
      </w:r>
      <w:r>
        <w:fldChar w:fldCharType="separate"/>
      </w:r>
      <w:r w:rsidR="008A4BB9">
        <w:t>[1]</w:t>
      </w:r>
      <w:r>
        <w:fldChar w:fldCharType="end"/>
      </w:r>
      <w:r>
        <w:t xml:space="preserve"> (copied in </w:t>
      </w:r>
      <w:r>
        <w:fldChar w:fldCharType="begin"/>
      </w:r>
      <w:r>
        <w:instrText xml:space="preserve"> REF _Ref481604273 \h </w:instrText>
      </w:r>
      <w:r>
        <w:fldChar w:fldCharType="separate"/>
      </w:r>
      <w:r w:rsidR="008A4BB9">
        <w:t xml:space="preserve">Figure </w:t>
      </w:r>
      <w:r w:rsidR="008A4BB9">
        <w:rPr>
          <w:noProof/>
        </w:rPr>
        <w:t>1</w:t>
      </w:r>
      <w:r>
        <w:fldChar w:fldCharType="end"/>
      </w:r>
      <w:r>
        <w:t xml:space="preserve"> below) that more than 10 MCSs out of 26 MCSs requires longer LDPC decoding time than for the peak MCS. If the LDPC decoder hardware is not budgeted to finish decoding these MCSs within a scheduling time unit (e.g., a slot), the UE will always report NACK when these MCSs are scheduled by the gNB. The users will observe the peak data rate only at extreme rate occasion and find the link to achieve no more than half of the advertised peak rate. The NACK feedback will cause the network to unnecessarily retransmit the entire TB(s) further degrading the network performance.</w:t>
      </w:r>
    </w:p>
    <w:p w14:paraId="366A4B4D" w14:textId="77777777" w:rsidR="00C25EEC" w:rsidRDefault="00C25EEC" w:rsidP="00C25EEC"/>
    <w:p w14:paraId="36045FF9" w14:textId="297D13F7" w:rsidR="00C25EEC" w:rsidRDefault="008A4BB9" w:rsidP="008A4BB9">
      <w:pPr>
        <w:spacing w:after="240"/>
        <w:rPr>
          <w:b/>
        </w:rPr>
      </w:pPr>
      <w:r w:rsidRPr="00F46EF2">
        <w:rPr>
          <w:b/>
        </w:rPr>
        <w:t xml:space="preserve">Observation 1 More than 1/3 of </w:t>
      </w:r>
      <w:r>
        <w:rPr>
          <w:b/>
        </w:rPr>
        <w:t xml:space="preserve">the </w:t>
      </w:r>
      <w:r w:rsidRPr="00F46EF2">
        <w:rPr>
          <w:b/>
        </w:rPr>
        <w:t>MCS levels require longer LDPC decoding time</w:t>
      </w:r>
      <w:r>
        <w:rPr>
          <w:b/>
        </w:rPr>
        <w:t>s</w:t>
      </w:r>
      <w:r w:rsidRPr="00F46EF2">
        <w:rPr>
          <w:b/>
        </w:rPr>
        <w:t xml:space="preserve"> than for the peak MCS</w:t>
      </w:r>
      <w:r>
        <w:rPr>
          <w:b/>
        </w:rPr>
        <w:t xml:space="preserve"> level</w:t>
      </w:r>
      <w:r w:rsidRPr="00F46EF2">
        <w:rPr>
          <w:b/>
        </w:rPr>
        <w:t>.</w:t>
      </w:r>
    </w:p>
    <w:p w14:paraId="121A1C0B" w14:textId="77777777" w:rsidR="00C25EEC" w:rsidRDefault="00C25EEC" w:rsidP="003369F1">
      <w:pPr>
        <w:pStyle w:val="Caption"/>
        <w:keepNext/>
        <w:jc w:val="center"/>
      </w:pPr>
      <w:bookmarkStart w:id="4" w:name="_Ref481574169"/>
      <w:r w:rsidRPr="002C0432">
        <w:rPr>
          <w:noProof/>
          <w:lang w:val="sv-SE" w:eastAsia="sv-SE"/>
        </w:rPr>
        <w:drawing>
          <wp:inline distT="0" distB="0" distL="0" distR="0" wp14:anchorId="7094F1B0" wp14:editId="792ACE5C">
            <wp:extent cx="4261104" cy="3200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61104" cy="3200400"/>
                    </a:xfrm>
                    <a:prstGeom prst="rect">
                      <a:avLst/>
                    </a:prstGeom>
                    <a:noFill/>
                    <a:ln>
                      <a:noFill/>
                    </a:ln>
                  </pic:spPr>
                </pic:pic>
              </a:graphicData>
            </a:graphic>
          </wp:inline>
        </w:drawing>
      </w:r>
    </w:p>
    <w:p w14:paraId="0EB27DE8" w14:textId="662B76D6" w:rsidR="00C25EEC" w:rsidRDefault="00C25EEC" w:rsidP="00C25EEC">
      <w:pPr>
        <w:pStyle w:val="Caption"/>
        <w:jc w:val="both"/>
      </w:pPr>
      <w:bookmarkStart w:id="5" w:name="_Ref481604273"/>
      <w:r>
        <w:t xml:space="preserve">Figure </w:t>
      </w:r>
      <w:r w:rsidR="000467C5">
        <w:fldChar w:fldCharType="begin"/>
      </w:r>
      <w:r w:rsidR="000467C5">
        <w:instrText xml:space="preserve"> SEQ Figure \* ARABIC </w:instrText>
      </w:r>
      <w:r w:rsidR="000467C5">
        <w:fldChar w:fldCharType="separate"/>
      </w:r>
      <w:r w:rsidR="008A4BB9">
        <w:rPr>
          <w:noProof/>
        </w:rPr>
        <w:t>1</w:t>
      </w:r>
      <w:r w:rsidR="000467C5">
        <w:rPr>
          <w:noProof/>
        </w:rPr>
        <w:fldChar w:fldCharType="end"/>
      </w:r>
      <w:bookmarkEnd w:id="5"/>
      <w:r>
        <w:t xml:space="preserve"> Normalized decoding latency vs. MCS index. For the 11 MCS levels above the red dashed line, the LDPC decoder requires longer decoding time than for the peak MCS.</w:t>
      </w:r>
    </w:p>
    <w:p w14:paraId="499D6FD0" w14:textId="01140399" w:rsidR="003369F1" w:rsidRDefault="003369F1" w:rsidP="00B57557">
      <w:pPr>
        <w:pStyle w:val="BodyText"/>
      </w:pPr>
      <w:r>
        <w:lastRenderedPageBreak/>
        <w:t xml:space="preserve">It is therefore necessary to set requirement such that a UE category supporting </w:t>
      </w:r>
      <m:oMath>
        <m:r>
          <w:rPr>
            <w:rFonts w:ascii="Cambria Math" w:hAnsi="Cambria Math"/>
          </w:rPr>
          <m:t>ν</m:t>
        </m:r>
      </m:oMath>
      <w:r>
        <w:t xml:space="preserve"> spatial layers on a bandwidth of </w:t>
      </w:r>
      <m:oMath>
        <m:r>
          <w:rPr>
            <w:rFonts w:ascii="Cambria Math" w:hAnsi="Cambria Math"/>
          </w:rPr>
          <m:t>W</m:t>
        </m:r>
      </m:oMath>
      <w:r>
        <w:t xml:space="preserve"> shall sustain continuous reception of any MCS scheduled on these spatial layers and bandwidth assuming no retransmissions. This requirement can be enforced by designing a RAN4 throughput test for the MCS corresponding to the lowest code rate of the highest modulation order (e.g., MCS 20 in </w:t>
      </w:r>
      <w:r>
        <w:fldChar w:fldCharType="begin"/>
      </w:r>
      <w:r>
        <w:instrText xml:space="preserve"> REF _Ref481604273 \h </w:instrText>
      </w:r>
      <w:r>
        <w:fldChar w:fldCharType="separate"/>
      </w:r>
      <w:r w:rsidR="008A4BB9">
        <w:t xml:space="preserve">Figure </w:t>
      </w:r>
      <w:r w:rsidR="008A4BB9">
        <w:rPr>
          <w:noProof/>
        </w:rPr>
        <w:t>1</w:t>
      </w:r>
      <w:r>
        <w:fldChar w:fldCharType="end"/>
      </w:r>
      <w:r>
        <w:t>). For this test, a 99% normalized throughput point should be checked.</w:t>
      </w:r>
    </w:p>
    <w:p w14:paraId="37D7643E" w14:textId="77777777" w:rsidR="003369F1" w:rsidRDefault="003369F1" w:rsidP="003369F1"/>
    <w:p w14:paraId="5D2D64A8" w14:textId="77777777" w:rsidR="003369F1" w:rsidRPr="00F46EF2" w:rsidRDefault="003369F1" w:rsidP="003369F1">
      <w:pPr>
        <w:rPr>
          <w:b/>
        </w:rPr>
      </w:pPr>
      <w:r>
        <w:rPr>
          <w:b/>
        </w:rPr>
        <w:t xml:space="preserve">Proposal 1 </w:t>
      </w:r>
      <w:r w:rsidRPr="00D9772C">
        <w:rPr>
          <w:b/>
        </w:rPr>
        <w:t>a UE category supporting ν spatial layers on a bandwidth of W shall sustain continuous reception of any MCS scheduled on these spatial layers and bandwidth assuming no retransmissions.</w:t>
      </w:r>
    </w:p>
    <w:p w14:paraId="7644D49D" w14:textId="77777777" w:rsidR="003369F1" w:rsidRPr="003369F1" w:rsidRDefault="003369F1" w:rsidP="003369F1"/>
    <w:bookmarkEnd w:id="4"/>
    <w:p w14:paraId="4D4AD293" w14:textId="5170A26A" w:rsidR="00C25EEC" w:rsidRPr="00C25EEC" w:rsidRDefault="00C25EEC" w:rsidP="00C25EEC">
      <w:pPr>
        <w:pStyle w:val="Heading2"/>
      </w:pPr>
      <w:r>
        <w:t>Scheduling and HARQ-ACK timing</w:t>
      </w:r>
    </w:p>
    <w:p w14:paraId="58AC036A" w14:textId="77777777" w:rsidR="001E76F3" w:rsidRPr="00AB18E7" w:rsidRDefault="001E76F3" w:rsidP="001E76F3">
      <w:pPr>
        <w:pStyle w:val="BodyText"/>
      </w:pPr>
      <w:r>
        <w:t>The different timing relations (in slots) are listed below, including our preference in minimum values.</w:t>
      </w:r>
    </w:p>
    <w:p w14:paraId="5A0BD55E" w14:textId="77777777" w:rsidR="001E76F3" w:rsidRDefault="001E76F3" w:rsidP="001E76F3">
      <w:pPr>
        <w:pStyle w:val="ListParagraph"/>
        <w:numPr>
          <w:ilvl w:val="0"/>
          <w:numId w:val="31"/>
        </w:numPr>
        <w:spacing w:after="120"/>
        <w:rPr>
          <w:rFonts w:ascii="Times New Roman" w:hAnsi="Times New Roman"/>
          <w:sz w:val="20"/>
          <w:szCs w:val="20"/>
        </w:rPr>
      </w:pPr>
      <w:r w:rsidRPr="009C0A0A">
        <w:rPr>
          <w:rFonts w:ascii="Times New Roman" w:hAnsi="Times New Roman"/>
          <w:sz w:val="20"/>
          <w:szCs w:val="20"/>
        </w:rPr>
        <w:t>K0: Delay between DL grant and corresponding DL data (PDSCH) reception</w:t>
      </w:r>
    </w:p>
    <w:p w14:paraId="13056B84" w14:textId="77777777" w:rsidR="001E76F3" w:rsidRPr="009C0A0A" w:rsidRDefault="001E76F3" w:rsidP="001E76F3">
      <w:pPr>
        <w:pStyle w:val="ListParagraph"/>
        <w:numPr>
          <w:ilvl w:val="1"/>
          <w:numId w:val="31"/>
        </w:numPr>
        <w:spacing w:after="120"/>
        <w:rPr>
          <w:rFonts w:ascii="Times New Roman" w:hAnsi="Times New Roman"/>
          <w:sz w:val="20"/>
          <w:szCs w:val="20"/>
        </w:rPr>
      </w:pPr>
      <w:r w:rsidRPr="009C0A0A">
        <w:rPr>
          <w:rFonts w:ascii="Times New Roman" w:hAnsi="Times New Roman"/>
          <w:sz w:val="20"/>
          <w:szCs w:val="20"/>
        </w:rPr>
        <w:t xml:space="preserve">LTE supports K0=0 and this should obviously be supported by all NR UEs as well, i.e. all UEs are capable of receiving DL control in the same slot as the associated DL data. </w:t>
      </w:r>
    </w:p>
    <w:p w14:paraId="51FA5DCD" w14:textId="77777777" w:rsidR="001E76F3" w:rsidRDefault="001E76F3" w:rsidP="001E76F3">
      <w:pPr>
        <w:pStyle w:val="ListParagraph"/>
        <w:numPr>
          <w:ilvl w:val="0"/>
          <w:numId w:val="31"/>
        </w:numPr>
        <w:spacing w:after="120"/>
        <w:rPr>
          <w:rFonts w:ascii="Times New Roman" w:hAnsi="Times New Roman"/>
          <w:sz w:val="20"/>
          <w:szCs w:val="20"/>
        </w:rPr>
      </w:pPr>
      <w:r w:rsidRPr="009C0A0A">
        <w:rPr>
          <w:rFonts w:ascii="Times New Roman" w:hAnsi="Times New Roman"/>
          <w:sz w:val="20"/>
          <w:szCs w:val="20"/>
        </w:rPr>
        <w:t>K1: Delay between DL data (PDSCH) reception and corresponding acknowledgement transmission on UL</w:t>
      </w:r>
    </w:p>
    <w:p w14:paraId="0CED59D1" w14:textId="77777777" w:rsidR="001E76F3" w:rsidRPr="009C0A0A" w:rsidRDefault="001E76F3" w:rsidP="001E76F3">
      <w:pPr>
        <w:pStyle w:val="ListParagraph"/>
        <w:numPr>
          <w:ilvl w:val="1"/>
          <w:numId w:val="31"/>
        </w:numPr>
        <w:spacing w:after="120"/>
        <w:rPr>
          <w:rFonts w:ascii="Times New Roman" w:hAnsi="Times New Roman"/>
          <w:sz w:val="20"/>
          <w:szCs w:val="20"/>
        </w:rPr>
      </w:pPr>
      <w:r w:rsidRPr="009C0A0A">
        <w:rPr>
          <w:rFonts w:ascii="Times New Roman" w:hAnsi="Times New Roman"/>
          <w:sz w:val="20"/>
          <w:szCs w:val="20"/>
        </w:rPr>
        <w:t>It is important to have the possibility f</w:t>
      </w:r>
      <w:r>
        <w:rPr>
          <w:rFonts w:ascii="Times New Roman" w:hAnsi="Times New Roman"/>
          <w:sz w:val="20"/>
          <w:szCs w:val="20"/>
        </w:rPr>
        <w:t>or ‘same slot’ ACK, i.e. K1=0. If it is agreed that s</w:t>
      </w:r>
      <w:r w:rsidRPr="009C0A0A">
        <w:rPr>
          <w:rFonts w:ascii="Times New Roman" w:hAnsi="Times New Roman"/>
          <w:sz w:val="20"/>
          <w:szCs w:val="20"/>
        </w:rPr>
        <w:t xml:space="preserve">ome low-end UEs </w:t>
      </w:r>
      <w:r>
        <w:rPr>
          <w:rFonts w:ascii="Times New Roman" w:hAnsi="Times New Roman"/>
          <w:sz w:val="20"/>
          <w:szCs w:val="20"/>
        </w:rPr>
        <w:t xml:space="preserve">cannot </w:t>
      </w:r>
      <w:r w:rsidRPr="009C0A0A">
        <w:rPr>
          <w:rFonts w:ascii="Times New Roman" w:hAnsi="Times New Roman"/>
          <w:sz w:val="20"/>
          <w:szCs w:val="20"/>
        </w:rPr>
        <w:t>support K1=0</w:t>
      </w:r>
      <w:r>
        <w:rPr>
          <w:rFonts w:ascii="Times New Roman" w:hAnsi="Times New Roman"/>
          <w:sz w:val="20"/>
          <w:szCs w:val="20"/>
        </w:rPr>
        <w:t xml:space="preserve"> </w:t>
      </w:r>
      <w:r w:rsidRPr="009C0A0A">
        <w:rPr>
          <w:rFonts w:ascii="Times New Roman" w:hAnsi="Times New Roman"/>
          <w:sz w:val="20"/>
          <w:szCs w:val="20"/>
        </w:rPr>
        <w:t xml:space="preserve">the specifications </w:t>
      </w:r>
      <w:r>
        <w:rPr>
          <w:rFonts w:ascii="Times New Roman" w:hAnsi="Times New Roman"/>
          <w:sz w:val="20"/>
          <w:szCs w:val="20"/>
        </w:rPr>
        <w:t>must</w:t>
      </w:r>
      <w:r w:rsidRPr="009C0A0A">
        <w:rPr>
          <w:rFonts w:ascii="Times New Roman" w:hAnsi="Times New Roman"/>
          <w:sz w:val="20"/>
          <w:szCs w:val="20"/>
        </w:rPr>
        <w:t xml:space="preserve"> support an alternative value. Since technology has progressed significantly since the incarnation of LTE and NR should support significantly lower latency than LTE, it is proposed to make this value K1=1</w:t>
      </w:r>
      <w:r>
        <w:rPr>
          <w:rFonts w:ascii="Times New Roman" w:hAnsi="Times New Roman"/>
          <w:sz w:val="20"/>
          <w:szCs w:val="20"/>
        </w:rPr>
        <w:t>, at least for the short PUCCH.</w:t>
      </w:r>
    </w:p>
    <w:p w14:paraId="089B6053" w14:textId="77777777" w:rsidR="001E76F3" w:rsidRDefault="001E76F3" w:rsidP="001E76F3">
      <w:pPr>
        <w:pStyle w:val="ListParagraph"/>
        <w:numPr>
          <w:ilvl w:val="0"/>
          <w:numId w:val="31"/>
        </w:numPr>
        <w:spacing w:after="120"/>
        <w:rPr>
          <w:rFonts w:ascii="Times New Roman" w:hAnsi="Times New Roman"/>
          <w:sz w:val="20"/>
          <w:szCs w:val="20"/>
        </w:rPr>
      </w:pPr>
      <w:r w:rsidRPr="009C0A0A">
        <w:rPr>
          <w:rFonts w:ascii="Times New Roman" w:hAnsi="Times New Roman"/>
          <w:sz w:val="20"/>
          <w:szCs w:val="20"/>
        </w:rPr>
        <w:t>K2: Delay between UL grant reception in DL and UL data (PUSCH) transmission</w:t>
      </w:r>
    </w:p>
    <w:p w14:paraId="4BCB08DF" w14:textId="77777777" w:rsidR="001E76F3" w:rsidRPr="009C0A0A" w:rsidRDefault="001E76F3" w:rsidP="001E76F3">
      <w:pPr>
        <w:pStyle w:val="ListParagraph"/>
        <w:numPr>
          <w:ilvl w:val="1"/>
          <w:numId w:val="31"/>
        </w:numPr>
        <w:spacing w:after="120"/>
        <w:rPr>
          <w:rFonts w:ascii="Times New Roman" w:hAnsi="Times New Roman"/>
          <w:sz w:val="20"/>
          <w:szCs w:val="20"/>
        </w:rPr>
      </w:pPr>
      <w:r w:rsidRPr="009C0A0A">
        <w:rPr>
          <w:rFonts w:ascii="Times New Roman" w:hAnsi="Times New Roman"/>
          <w:sz w:val="20"/>
          <w:szCs w:val="20"/>
        </w:rPr>
        <w:t xml:space="preserve">For the same reasons, the specifications </w:t>
      </w:r>
      <w:r>
        <w:rPr>
          <w:rFonts w:ascii="Times New Roman" w:hAnsi="Times New Roman"/>
          <w:sz w:val="20"/>
          <w:szCs w:val="20"/>
        </w:rPr>
        <w:t>should support K2=0 while some low-end</w:t>
      </w:r>
      <w:r w:rsidRPr="009C0A0A">
        <w:rPr>
          <w:rFonts w:ascii="Times New Roman" w:hAnsi="Times New Roman"/>
          <w:sz w:val="20"/>
          <w:szCs w:val="20"/>
        </w:rPr>
        <w:t xml:space="preserve"> UEs may support K2=1 only.</w:t>
      </w:r>
    </w:p>
    <w:p w14:paraId="4720401B" w14:textId="77777777" w:rsidR="001E76F3" w:rsidRDefault="001E76F3" w:rsidP="001E76F3">
      <w:pPr>
        <w:pStyle w:val="ListParagraph"/>
        <w:numPr>
          <w:ilvl w:val="0"/>
          <w:numId w:val="31"/>
        </w:numPr>
        <w:spacing w:after="120"/>
        <w:rPr>
          <w:rFonts w:ascii="Times New Roman" w:hAnsi="Times New Roman"/>
          <w:sz w:val="20"/>
          <w:szCs w:val="20"/>
        </w:rPr>
      </w:pPr>
      <w:r w:rsidRPr="009C0A0A">
        <w:rPr>
          <w:rFonts w:ascii="Times New Roman" w:hAnsi="Times New Roman"/>
          <w:sz w:val="20"/>
          <w:szCs w:val="20"/>
        </w:rPr>
        <w:t>K3: Delay between ACK/NAK reception in UL and corresponding retransmission of data (PDSCH) on DL</w:t>
      </w:r>
    </w:p>
    <w:p w14:paraId="3B4837A2" w14:textId="77777777" w:rsidR="001E76F3" w:rsidRPr="00934546" w:rsidRDefault="001E76F3" w:rsidP="001E76F3">
      <w:pPr>
        <w:pStyle w:val="ListParagraph"/>
        <w:numPr>
          <w:ilvl w:val="1"/>
          <w:numId w:val="31"/>
        </w:numPr>
        <w:spacing w:after="120"/>
        <w:rPr>
          <w:rFonts w:ascii="Times New Roman" w:hAnsi="Times New Roman"/>
          <w:sz w:val="20"/>
          <w:szCs w:val="20"/>
        </w:rPr>
      </w:pPr>
      <w:r>
        <w:rPr>
          <w:rFonts w:ascii="Times New Roman" w:hAnsi="Times New Roman"/>
          <w:sz w:val="20"/>
          <w:szCs w:val="20"/>
        </w:rPr>
        <w:t>This is up to the implementation; no need to specify anything.</w:t>
      </w:r>
    </w:p>
    <w:p w14:paraId="5C8B03F0" w14:textId="77777777" w:rsidR="001E76F3" w:rsidRDefault="001E76F3" w:rsidP="00B57557">
      <w:pPr>
        <w:pStyle w:val="BodyText"/>
      </w:pPr>
      <w:r>
        <w:t xml:space="preserve">The timing relations above are given under the assumption that the same numerology is used for control and data. If different numerologies are used, the length of a slot depends on the numerology used. </w:t>
      </w:r>
    </w:p>
    <w:p w14:paraId="5C22EFF8" w14:textId="77777777" w:rsidR="001E76F3" w:rsidRDefault="001E76F3" w:rsidP="00B57557">
      <w:pPr>
        <w:pStyle w:val="BodyText"/>
      </w:pPr>
      <w:r>
        <w:t>Note that the processing times above are what a UE should be capable of. The network may for different reason use different timing relations, e.g. hybrid-ARQ feedback later than what the UE is capable in order to coexist with TD-LTE.</w:t>
      </w:r>
    </w:p>
    <w:p w14:paraId="435CD882" w14:textId="7A3BA53E" w:rsidR="001E76F3" w:rsidRDefault="001E76F3" w:rsidP="00B57557">
      <w:pPr>
        <w:pStyle w:val="BodyText"/>
      </w:pPr>
      <w:r>
        <w:t>Finally, if multiple values of K1 and K2 are supported, the longer value should be the default during e.g. initial access before the UE has declared its capabilities.</w:t>
      </w:r>
    </w:p>
    <w:p w14:paraId="5D3F253F" w14:textId="77777777" w:rsidR="009C1920" w:rsidRDefault="009C1920" w:rsidP="00B57557">
      <w:pPr>
        <w:pStyle w:val="BodyText"/>
      </w:pPr>
    </w:p>
    <w:p w14:paraId="318BDD23" w14:textId="6D510085" w:rsidR="00C25EEC" w:rsidRPr="00C25EEC" w:rsidRDefault="00C25EEC" w:rsidP="00564160">
      <w:pPr>
        <w:rPr>
          <w:b/>
        </w:rPr>
      </w:pPr>
      <w:r w:rsidRPr="00C25EEC">
        <w:rPr>
          <w:b/>
        </w:rPr>
        <w:t>Proposal 2 Adopt the following timing relations for NR:</w:t>
      </w:r>
    </w:p>
    <w:p w14:paraId="45AEC529" w14:textId="77777777" w:rsidR="00C25EEC" w:rsidRPr="00C25EEC" w:rsidRDefault="00C25EEC" w:rsidP="00564160">
      <w:pPr>
        <w:pStyle w:val="BodyText"/>
        <w:numPr>
          <w:ilvl w:val="0"/>
          <w:numId w:val="33"/>
        </w:numPr>
        <w:spacing w:after="0"/>
        <w:rPr>
          <w:b/>
        </w:rPr>
      </w:pPr>
      <w:r w:rsidRPr="00C25EEC">
        <w:rPr>
          <w:b/>
        </w:rPr>
        <w:t>K0=0 supported by all UEs</w:t>
      </w:r>
    </w:p>
    <w:p w14:paraId="5CCEA1CA" w14:textId="77777777" w:rsidR="00C25EEC" w:rsidRPr="00C25EEC" w:rsidRDefault="00C25EEC" w:rsidP="00564160">
      <w:pPr>
        <w:pStyle w:val="BodyText"/>
        <w:numPr>
          <w:ilvl w:val="0"/>
          <w:numId w:val="33"/>
        </w:numPr>
        <w:spacing w:after="0"/>
        <w:rPr>
          <w:b/>
        </w:rPr>
      </w:pPr>
      <w:r w:rsidRPr="00C25EEC">
        <w:rPr>
          <w:b/>
        </w:rPr>
        <w:t>K1=0, possibly also K1=1 depending on UE capability.</w:t>
      </w:r>
    </w:p>
    <w:p w14:paraId="7E21B1CC" w14:textId="77777777" w:rsidR="00C25EEC" w:rsidRPr="00C25EEC" w:rsidRDefault="00C25EEC" w:rsidP="00564160">
      <w:pPr>
        <w:pStyle w:val="BodyText"/>
        <w:numPr>
          <w:ilvl w:val="0"/>
          <w:numId w:val="33"/>
        </w:numPr>
        <w:spacing w:after="0"/>
        <w:rPr>
          <w:b/>
        </w:rPr>
      </w:pPr>
      <w:r w:rsidRPr="00C25EEC">
        <w:rPr>
          <w:b/>
        </w:rPr>
        <w:t>K2=0, possibly also K2=1 depending on UE capability.</w:t>
      </w:r>
    </w:p>
    <w:p w14:paraId="6DAEE321" w14:textId="350BD50E" w:rsidR="00C25EEC" w:rsidRDefault="00C25EEC" w:rsidP="00C25EEC">
      <w:pPr>
        <w:pStyle w:val="BodyText"/>
        <w:numPr>
          <w:ilvl w:val="0"/>
          <w:numId w:val="33"/>
        </w:numPr>
        <w:rPr>
          <w:b/>
        </w:rPr>
      </w:pPr>
      <w:r w:rsidRPr="00C25EEC">
        <w:rPr>
          <w:b/>
        </w:rPr>
        <w:t>No need to specify K3.</w:t>
      </w:r>
    </w:p>
    <w:p w14:paraId="21F947A4" w14:textId="77777777" w:rsidR="009C1920" w:rsidRPr="00C25EEC" w:rsidRDefault="009C1920" w:rsidP="009C1920">
      <w:pPr>
        <w:pStyle w:val="BodyText"/>
        <w:rPr>
          <w:b/>
        </w:rPr>
      </w:pPr>
    </w:p>
    <w:p w14:paraId="22432A9F" w14:textId="77777777" w:rsidR="004B248C" w:rsidRDefault="004B248C">
      <w:pPr>
        <w:spacing w:after="160" w:line="259" w:lineRule="auto"/>
        <w:rPr>
          <w:rFonts w:ascii="Helvetica" w:eastAsia="MS Mincho" w:hAnsi="Helvetica" w:cs="Arial"/>
          <w:b/>
          <w:bCs/>
          <w:kern w:val="32"/>
          <w:sz w:val="28"/>
          <w:szCs w:val="32"/>
        </w:rPr>
      </w:pPr>
      <w:r>
        <w:br w:type="page"/>
      </w:r>
    </w:p>
    <w:p w14:paraId="5BEABDC7" w14:textId="3634CA57" w:rsidR="001E76F3" w:rsidRDefault="001E76F3" w:rsidP="001E76F3">
      <w:pPr>
        <w:pStyle w:val="Heading1"/>
        <w:spacing w:before="180"/>
        <w:ind w:left="562" w:hanging="562"/>
      </w:pPr>
      <w:r>
        <w:lastRenderedPageBreak/>
        <w:t>Conclusion</w:t>
      </w:r>
    </w:p>
    <w:p w14:paraId="7A1E4068" w14:textId="4D6F257C" w:rsidR="00C25EEC" w:rsidRDefault="00C25EEC" w:rsidP="00C25EEC">
      <w:pPr>
        <w:pStyle w:val="BodyText"/>
      </w:pPr>
      <w:r>
        <w:t xml:space="preserve">We analyzed the </w:t>
      </w:r>
      <w:r w:rsidR="00564160">
        <w:t>processing time and made the following observation:</w:t>
      </w:r>
    </w:p>
    <w:p w14:paraId="734B31BE" w14:textId="3DCC179C" w:rsidR="00564160" w:rsidRDefault="00564160" w:rsidP="00F126E3">
      <w:pPr>
        <w:spacing w:after="240"/>
        <w:rPr>
          <w:b/>
        </w:rPr>
      </w:pPr>
      <w:r w:rsidRPr="00F46EF2">
        <w:rPr>
          <w:b/>
        </w:rPr>
        <w:t xml:space="preserve">Observation 1 More than 1/3 of </w:t>
      </w:r>
      <w:r w:rsidR="008A4BB9">
        <w:rPr>
          <w:b/>
        </w:rPr>
        <w:t xml:space="preserve">the </w:t>
      </w:r>
      <w:r w:rsidRPr="00F46EF2">
        <w:rPr>
          <w:b/>
        </w:rPr>
        <w:t>MCS levels require longer LDPC decoding time</w:t>
      </w:r>
      <w:r w:rsidR="008A4BB9">
        <w:rPr>
          <w:b/>
        </w:rPr>
        <w:t>s</w:t>
      </w:r>
      <w:r w:rsidRPr="00F46EF2">
        <w:rPr>
          <w:b/>
        </w:rPr>
        <w:t xml:space="preserve"> than for the peak MCS</w:t>
      </w:r>
      <w:r w:rsidR="008A4BB9">
        <w:rPr>
          <w:b/>
        </w:rPr>
        <w:t xml:space="preserve"> level</w:t>
      </w:r>
      <w:r w:rsidRPr="00F46EF2">
        <w:rPr>
          <w:b/>
        </w:rPr>
        <w:t>.</w:t>
      </w:r>
    </w:p>
    <w:p w14:paraId="75D271C7" w14:textId="450D58B8" w:rsidR="00564160" w:rsidRDefault="00564160" w:rsidP="001E76F3">
      <w:pPr>
        <w:pStyle w:val="BodyText"/>
      </w:pPr>
      <w:r>
        <w:t>We hence propose</w:t>
      </w:r>
    </w:p>
    <w:p w14:paraId="2B661451" w14:textId="77777777" w:rsidR="00564160" w:rsidRPr="00F46EF2" w:rsidRDefault="00564160" w:rsidP="00564160">
      <w:pPr>
        <w:rPr>
          <w:b/>
        </w:rPr>
      </w:pPr>
      <w:r>
        <w:rPr>
          <w:b/>
        </w:rPr>
        <w:t xml:space="preserve">Proposal 1 </w:t>
      </w:r>
      <w:r w:rsidRPr="00D9772C">
        <w:rPr>
          <w:b/>
        </w:rPr>
        <w:t>a UE category supporting ν spatial layers on a bandwidth of W shall sustain continuous reception of any MCS scheduled on these spatial layers and bandwidth assuming no retransmissions.</w:t>
      </w:r>
    </w:p>
    <w:p w14:paraId="7790143C" w14:textId="77777777" w:rsidR="00564160" w:rsidRPr="00C25EEC" w:rsidRDefault="00564160" w:rsidP="00564160">
      <w:pPr>
        <w:spacing w:before="240"/>
        <w:rPr>
          <w:b/>
        </w:rPr>
      </w:pPr>
      <w:r w:rsidRPr="00C25EEC">
        <w:rPr>
          <w:b/>
        </w:rPr>
        <w:t>Proposal 2 Adopt the following timing relations for NR:</w:t>
      </w:r>
    </w:p>
    <w:p w14:paraId="6D65460B" w14:textId="77777777" w:rsidR="00564160" w:rsidRPr="00C25EEC" w:rsidRDefault="00564160" w:rsidP="00564160">
      <w:pPr>
        <w:pStyle w:val="BodyText"/>
        <w:numPr>
          <w:ilvl w:val="0"/>
          <w:numId w:val="33"/>
        </w:numPr>
        <w:spacing w:after="0"/>
        <w:rPr>
          <w:b/>
        </w:rPr>
      </w:pPr>
      <w:r w:rsidRPr="00C25EEC">
        <w:rPr>
          <w:b/>
        </w:rPr>
        <w:t>K0=0 supported by all UEs</w:t>
      </w:r>
    </w:p>
    <w:p w14:paraId="613D04C3" w14:textId="77777777" w:rsidR="00564160" w:rsidRPr="00C25EEC" w:rsidRDefault="00564160" w:rsidP="00564160">
      <w:pPr>
        <w:pStyle w:val="BodyText"/>
        <w:numPr>
          <w:ilvl w:val="0"/>
          <w:numId w:val="33"/>
        </w:numPr>
        <w:spacing w:after="0"/>
        <w:rPr>
          <w:b/>
        </w:rPr>
      </w:pPr>
      <w:r w:rsidRPr="00C25EEC">
        <w:rPr>
          <w:b/>
        </w:rPr>
        <w:t>K1=0, possibly also K1=1 depending on UE capability.</w:t>
      </w:r>
    </w:p>
    <w:p w14:paraId="7CEC94E9" w14:textId="77777777" w:rsidR="00564160" w:rsidRPr="00C25EEC" w:rsidRDefault="00564160" w:rsidP="00564160">
      <w:pPr>
        <w:pStyle w:val="BodyText"/>
        <w:numPr>
          <w:ilvl w:val="0"/>
          <w:numId w:val="33"/>
        </w:numPr>
        <w:spacing w:after="0"/>
        <w:rPr>
          <w:b/>
        </w:rPr>
      </w:pPr>
      <w:r w:rsidRPr="00C25EEC">
        <w:rPr>
          <w:b/>
        </w:rPr>
        <w:t>K2=0, possibly also K2=1 depending on UE capability.</w:t>
      </w:r>
    </w:p>
    <w:p w14:paraId="1B19BA50" w14:textId="77777777" w:rsidR="00564160" w:rsidRPr="00C25EEC" w:rsidRDefault="00564160" w:rsidP="00564160">
      <w:pPr>
        <w:pStyle w:val="BodyText"/>
        <w:numPr>
          <w:ilvl w:val="0"/>
          <w:numId w:val="33"/>
        </w:numPr>
        <w:rPr>
          <w:b/>
        </w:rPr>
      </w:pPr>
      <w:r w:rsidRPr="00C25EEC">
        <w:rPr>
          <w:b/>
        </w:rPr>
        <w:t>No need to specify K3.</w:t>
      </w:r>
    </w:p>
    <w:p w14:paraId="5C02576D" w14:textId="77777777" w:rsidR="00C25EEC" w:rsidRPr="007B78FE" w:rsidRDefault="00C25EEC" w:rsidP="00C25EEC">
      <w:pPr>
        <w:pStyle w:val="Heading1"/>
      </w:pPr>
      <w:r w:rsidRPr="007B78FE">
        <w:t>References</w:t>
      </w:r>
    </w:p>
    <w:p w14:paraId="74F77404" w14:textId="77777777" w:rsidR="00C25EEC" w:rsidRPr="00C25EEC" w:rsidRDefault="00C25EEC" w:rsidP="00C25EEC">
      <w:pPr>
        <w:pStyle w:val="Reference"/>
        <w:rPr>
          <w:rFonts w:ascii="Times New Roman" w:hAnsi="Times New Roman"/>
          <w:lang w:val="en-US"/>
        </w:rPr>
      </w:pPr>
      <w:bookmarkStart w:id="6" w:name="_Ref481745189"/>
      <w:r w:rsidRPr="00C25EEC">
        <w:rPr>
          <w:rFonts w:ascii="Times New Roman" w:hAnsi="Times New Roman"/>
          <w:lang w:val="en-US"/>
        </w:rPr>
        <w:t>R1-1707069 Throughput Requirements of LDPC Decoder, Ericsson</w:t>
      </w:r>
      <w:bookmarkEnd w:id="6"/>
    </w:p>
    <w:p w14:paraId="0CB5D998" w14:textId="7CBEE059" w:rsidR="00934546" w:rsidRPr="00AB18E7" w:rsidRDefault="00934546" w:rsidP="001E76F3">
      <w:pPr>
        <w:pStyle w:val="Heading1"/>
        <w:numPr>
          <w:ilvl w:val="0"/>
          <w:numId w:val="0"/>
        </w:numPr>
        <w:spacing w:before="180"/>
      </w:pPr>
    </w:p>
    <w:sectPr w:rsidR="00934546" w:rsidRPr="00AB18E7"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078306" w14:textId="77777777" w:rsidR="000467C5" w:rsidRDefault="000467C5" w:rsidP="00C01A55">
      <w:r>
        <w:separator/>
      </w:r>
    </w:p>
  </w:endnote>
  <w:endnote w:type="continuationSeparator" w:id="0">
    <w:p w14:paraId="3CBC73EF" w14:textId="77777777" w:rsidR="000467C5" w:rsidRDefault="000467C5" w:rsidP="00C01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977FDB" w14:textId="77777777" w:rsidR="000467C5" w:rsidRDefault="000467C5" w:rsidP="00C01A55">
      <w:r>
        <w:separator/>
      </w:r>
    </w:p>
  </w:footnote>
  <w:footnote w:type="continuationSeparator" w:id="0">
    <w:p w14:paraId="24887CAF" w14:textId="77777777" w:rsidR="000467C5" w:rsidRDefault="000467C5" w:rsidP="00C01A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0C33134"/>
    <w:multiLevelType w:val="hybridMultilevel"/>
    <w:tmpl w:val="882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8B63F3"/>
    <w:multiLevelType w:val="hybridMultilevel"/>
    <w:tmpl w:val="617E9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5B4FAC"/>
    <w:multiLevelType w:val="hybridMultilevel"/>
    <w:tmpl w:val="7D34C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C94D51"/>
    <w:multiLevelType w:val="hybridMultilevel"/>
    <w:tmpl w:val="D84A3B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B2F02AF"/>
    <w:multiLevelType w:val="hybridMultilevel"/>
    <w:tmpl w:val="2E9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A82087"/>
    <w:multiLevelType w:val="hybridMultilevel"/>
    <w:tmpl w:val="1CB0F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CA3D2B"/>
    <w:multiLevelType w:val="hybridMultilevel"/>
    <w:tmpl w:val="9692D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DFC5C8F"/>
    <w:multiLevelType w:val="hybridMultilevel"/>
    <w:tmpl w:val="26AAA8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032D49"/>
    <w:multiLevelType w:val="hybridMultilevel"/>
    <w:tmpl w:val="210E8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F61715"/>
    <w:multiLevelType w:val="hybridMultilevel"/>
    <w:tmpl w:val="862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B50837"/>
    <w:multiLevelType w:val="hybridMultilevel"/>
    <w:tmpl w:val="B09C0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0B5B23"/>
    <w:multiLevelType w:val="hybridMultilevel"/>
    <w:tmpl w:val="2F624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9A1910"/>
    <w:multiLevelType w:val="hybridMultilevel"/>
    <w:tmpl w:val="7C66F9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E5757D3"/>
    <w:multiLevelType w:val="hybridMultilevel"/>
    <w:tmpl w:val="254A1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AD2F05"/>
    <w:multiLevelType w:val="hybridMultilevel"/>
    <w:tmpl w:val="4198DB7C"/>
    <w:lvl w:ilvl="0" w:tplc="E0024872">
      <w:start w:val="1"/>
      <w:numFmt w:val="bullet"/>
      <w:lvlText w:val="•"/>
      <w:lvlJc w:val="left"/>
      <w:pPr>
        <w:tabs>
          <w:tab w:val="num" w:pos="1080"/>
        </w:tabs>
        <w:ind w:left="1080" w:hanging="360"/>
      </w:pPr>
      <w:rPr>
        <w:rFonts w:ascii="Arial" w:hAnsi="Arial" w:hint="default"/>
      </w:rPr>
    </w:lvl>
    <w:lvl w:ilvl="1" w:tplc="C01684CC">
      <w:start w:val="3109"/>
      <w:numFmt w:val="bullet"/>
      <w:lvlText w:val="–"/>
      <w:lvlJc w:val="left"/>
      <w:pPr>
        <w:tabs>
          <w:tab w:val="num" w:pos="1800"/>
        </w:tabs>
        <w:ind w:left="1800" w:hanging="360"/>
      </w:pPr>
      <w:rPr>
        <w:rFonts w:ascii="Arial" w:hAnsi="Arial" w:hint="default"/>
      </w:rPr>
    </w:lvl>
    <w:lvl w:ilvl="2" w:tplc="1312E1BA" w:tentative="1">
      <w:start w:val="1"/>
      <w:numFmt w:val="bullet"/>
      <w:lvlText w:val="•"/>
      <w:lvlJc w:val="left"/>
      <w:pPr>
        <w:tabs>
          <w:tab w:val="num" w:pos="2520"/>
        </w:tabs>
        <w:ind w:left="2520" w:hanging="360"/>
      </w:pPr>
      <w:rPr>
        <w:rFonts w:ascii="Arial" w:hAnsi="Arial" w:hint="default"/>
      </w:rPr>
    </w:lvl>
    <w:lvl w:ilvl="3" w:tplc="5FD4AEB2" w:tentative="1">
      <w:start w:val="1"/>
      <w:numFmt w:val="bullet"/>
      <w:lvlText w:val="•"/>
      <w:lvlJc w:val="left"/>
      <w:pPr>
        <w:tabs>
          <w:tab w:val="num" w:pos="3240"/>
        </w:tabs>
        <w:ind w:left="3240" w:hanging="360"/>
      </w:pPr>
      <w:rPr>
        <w:rFonts w:ascii="Arial" w:hAnsi="Arial" w:hint="default"/>
      </w:rPr>
    </w:lvl>
    <w:lvl w:ilvl="4" w:tplc="77A8D6D8" w:tentative="1">
      <w:start w:val="1"/>
      <w:numFmt w:val="bullet"/>
      <w:lvlText w:val="•"/>
      <w:lvlJc w:val="left"/>
      <w:pPr>
        <w:tabs>
          <w:tab w:val="num" w:pos="3960"/>
        </w:tabs>
        <w:ind w:left="3960" w:hanging="360"/>
      </w:pPr>
      <w:rPr>
        <w:rFonts w:ascii="Arial" w:hAnsi="Arial" w:hint="default"/>
      </w:rPr>
    </w:lvl>
    <w:lvl w:ilvl="5" w:tplc="C76628E0" w:tentative="1">
      <w:start w:val="1"/>
      <w:numFmt w:val="bullet"/>
      <w:lvlText w:val="•"/>
      <w:lvlJc w:val="left"/>
      <w:pPr>
        <w:tabs>
          <w:tab w:val="num" w:pos="4680"/>
        </w:tabs>
        <w:ind w:left="4680" w:hanging="360"/>
      </w:pPr>
      <w:rPr>
        <w:rFonts w:ascii="Arial" w:hAnsi="Arial" w:hint="default"/>
      </w:rPr>
    </w:lvl>
    <w:lvl w:ilvl="6" w:tplc="8E9ED77C" w:tentative="1">
      <w:start w:val="1"/>
      <w:numFmt w:val="bullet"/>
      <w:lvlText w:val="•"/>
      <w:lvlJc w:val="left"/>
      <w:pPr>
        <w:tabs>
          <w:tab w:val="num" w:pos="5400"/>
        </w:tabs>
        <w:ind w:left="5400" w:hanging="360"/>
      </w:pPr>
      <w:rPr>
        <w:rFonts w:ascii="Arial" w:hAnsi="Arial" w:hint="default"/>
      </w:rPr>
    </w:lvl>
    <w:lvl w:ilvl="7" w:tplc="63261E5E" w:tentative="1">
      <w:start w:val="1"/>
      <w:numFmt w:val="bullet"/>
      <w:lvlText w:val="•"/>
      <w:lvlJc w:val="left"/>
      <w:pPr>
        <w:tabs>
          <w:tab w:val="num" w:pos="6120"/>
        </w:tabs>
        <w:ind w:left="6120" w:hanging="360"/>
      </w:pPr>
      <w:rPr>
        <w:rFonts w:ascii="Arial" w:hAnsi="Arial" w:hint="default"/>
      </w:rPr>
    </w:lvl>
    <w:lvl w:ilvl="8" w:tplc="62FA80F8" w:tentative="1">
      <w:start w:val="1"/>
      <w:numFmt w:val="bullet"/>
      <w:lvlText w:val="•"/>
      <w:lvlJc w:val="left"/>
      <w:pPr>
        <w:tabs>
          <w:tab w:val="num" w:pos="6840"/>
        </w:tabs>
        <w:ind w:left="6840" w:hanging="360"/>
      </w:pPr>
      <w:rPr>
        <w:rFonts w:ascii="Arial" w:hAnsi="Arial" w:hint="default"/>
      </w:rPr>
    </w:lvl>
  </w:abstractNum>
  <w:abstractNum w:abstractNumId="19" w15:restartNumberingAfterBreak="0">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E66DDD"/>
    <w:multiLevelType w:val="hybridMultilevel"/>
    <w:tmpl w:val="04DCE2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395066"/>
    <w:multiLevelType w:val="hybridMultilevel"/>
    <w:tmpl w:val="20A0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073E8F"/>
    <w:multiLevelType w:val="hybridMultilevel"/>
    <w:tmpl w:val="89D41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490556"/>
    <w:multiLevelType w:val="hybridMultilevel"/>
    <w:tmpl w:val="E354A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714F4F"/>
    <w:multiLevelType w:val="hybridMultilevel"/>
    <w:tmpl w:val="BB123C06"/>
    <w:lvl w:ilvl="0" w:tplc="041D0001">
      <w:start w:val="1"/>
      <w:numFmt w:val="bullet"/>
      <w:lvlText w:val=""/>
      <w:lvlJc w:val="left"/>
      <w:pPr>
        <w:ind w:left="825" w:hanging="360"/>
      </w:pPr>
      <w:rPr>
        <w:rFonts w:ascii="Symbol" w:hAnsi="Symbol" w:hint="default"/>
      </w:rPr>
    </w:lvl>
    <w:lvl w:ilvl="1" w:tplc="041D0003" w:tentative="1">
      <w:start w:val="1"/>
      <w:numFmt w:val="bullet"/>
      <w:lvlText w:val="o"/>
      <w:lvlJc w:val="left"/>
      <w:pPr>
        <w:ind w:left="1545" w:hanging="360"/>
      </w:pPr>
      <w:rPr>
        <w:rFonts w:ascii="Courier New" w:hAnsi="Courier New" w:cs="Courier New" w:hint="default"/>
      </w:rPr>
    </w:lvl>
    <w:lvl w:ilvl="2" w:tplc="041D0005" w:tentative="1">
      <w:start w:val="1"/>
      <w:numFmt w:val="bullet"/>
      <w:lvlText w:val=""/>
      <w:lvlJc w:val="left"/>
      <w:pPr>
        <w:ind w:left="2265" w:hanging="360"/>
      </w:pPr>
      <w:rPr>
        <w:rFonts w:ascii="Wingdings" w:hAnsi="Wingdings" w:hint="default"/>
      </w:rPr>
    </w:lvl>
    <w:lvl w:ilvl="3" w:tplc="041D0001" w:tentative="1">
      <w:start w:val="1"/>
      <w:numFmt w:val="bullet"/>
      <w:lvlText w:val=""/>
      <w:lvlJc w:val="left"/>
      <w:pPr>
        <w:ind w:left="2985" w:hanging="360"/>
      </w:pPr>
      <w:rPr>
        <w:rFonts w:ascii="Symbol" w:hAnsi="Symbol" w:hint="default"/>
      </w:rPr>
    </w:lvl>
    <w:lvl w:ilvl="4" w:tplc="041D0003" w:tentative="1">
      <w:start w:val="1"/>
      <w:numFmt w:val="bullet"/>
      <w:lvlText w:val="o"/>
      <w:lvlJc w:val="left"/>
      <w:pPr>
        <w:ind w:left="3705" w:hanging="360"/>
      </w:pPr>
      <w:rPr>
        <w:rFonts w:ascii="Courier New" w:hAnsi="Courier New" w:cs="Courier New" w:hint="default"/>
      </w:rPr>
    </w:lvl>
    <w:lvl w:ilvl="5" w:tplc="041D0005" w:tentative="1">
      <w:start w:val="1"/>
      <w:numFmt w:val="bullet"/>
      <w:lvlText w:val=""/>
      <w:lvlJc w:val="left"/>
      <w:pPr>
        <w:ind w:left="4425" w:hanging="360"/>
      </w:pPr>
      <w:rPr>
        <w:rFonts w:ascii="Wingdings" w:hAnsi="Wingdings" w:hint="default"/>
      </w:rPr>
    </w:lvl>
    <w:lvl w:ilvl="6" w:tplc="041D0001" w:tentative="1">
      <w:start w:val="1"/>
      <w:numFmt w:val="bullet"/>
      <w:lvlText w:val=""/>
      <w:lvlJc w:val="left"/>
      <w:pPr>
        <w:ind w:left="5145" w:hanging="360"/>
      </w:pPr>
      <w:rPr>
        <w:rFonts w:ascii="Symbol" w:hAnsi="Symbol" w:hint="default"/>
      </w:rPr>
    </w:lvl>
    <w:lvl w:ilvl="7" w:tplc="041D0003" w:tentative="1">
      <w:start w:val="1"/>
      <w:numFmt w:val="bullet"/>
      <w:lvlText w:val="o"/>
      <w:lvlJc w:val="left"/>
      <w:pPr>
        <w:ind w:left="5865" w:hanging="360"/>
      </w:pPr>
      <w:rPr>
        <w:rFonts w:ascii="Courier New" w:hAnsi="Courier New" w:cs="Courier New" w:hint="default"/>
      </w:rPr>
    </w:lvl>
    <w:lvl w:ilvl="8" w:tplc="041D0005" w:tentative="1">
      <w:start w:val="1"/>
      <w:numFmt w:val="bullet"/>
      <w:lvlText w:val=""/>
      <w:lvlJc w:val="left"/>
      <w:pPr>
        <w:ind w:left="6585" w:hanging="360"/>
      </w:pPr>
      <w:rPr>
        <w:rFonts w:ascii="Wingdings" w:hAnsi="Wingdings" w:hint="default"/>
      </w:rPr>
    </w:lvl>
  </w:abstractNum>
  <w:abstractNum w:abstractNumId="26" w15:restartNumberingAfterBreak="0">
    <w:nsid w:val="6CA6781E"/>
    <w:multiLevelType w:val="hybridMultilevel"/>
    <w:tmpl w:val="F0B4D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B05796"/>
    <w:multiLevelType w:val="hybridMultilevel"/>
    <w:tmpl w:val="AD169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1669BD"/>
    <w:multiLevelType w:val="hybridMultilevel"/>
    <w:tmpl w:val="68449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323596"/>
    <w:multiLevelType w:val="hybridMultilevel"/>
    <w:tmpl w:val="F982A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ED18BC"/>
    <w:multiLevelType w:val="multilevel"/>
    <w:tmpl w:val="32FEA0A4"/>
    <w:lvl w:ilvl="0">
      <w:start w:val="1"/>
      <w:numFmt w:val="decimal"/>
      <w:lvlText w:val="%1."/>
      <w:lvlJc w:val="left"/>
      <w:pPr>
        <w:tabs>
          <w:tab w:val="num" w:pos="3544"/>
        </w:tabs>
        <w:ind w:left="3544"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2" w15:restartNumberingAfterBreak="0">
    <w:nsid w:val="7CF80E4D"/>
    <w:multiLevelType w:val="hybridMultilevel"/>
    <w:tmpl w:val="B29E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9"/>
  </w:num>
  <w:num w:numId="3">
    <w:abstractNumId w:val="1"/>
  </w:num>
  <w:num w:numId="4">
    <w:abstractNumId w:val="31"/>
  </w:num>
  <w:num w:numId="5">
    <w:abstractNumId w:val="28"/>
  </w:num>
  <w:num w:numId="6">
    <w:abstractNumId w:val="24"/>
  </w:num>
  <w:num w:numId="7">
    <w:abstractNumId w:val="30"/>
  </w:num>
  <w:num w:numId="8">
    <w:abstractNumId w:val="29"/>
  </w:num>
  <w:num w:numId="9">
    <w:abstractNumId w:val="12"/>
  </w:num>
  <w:num w:numId="10">
    <w:abstractNumId w:val="5"/>
  </w:num>
  <w:num w:numId="11">
    <w:abstractNumId w:val="22"/>
  </w:num>
  <w:num w:numId="12">
    <w:abstractNumId w:val="32"/>
  </w:num>
  <w:num w:numId="13">
    <w:abstractNumId w:val="2"/>
  </w:num>
  <w:num w:numId="14">
    <w:abstractNumId w:val="6"/>
  </w:num>
  <w:num w:numId="15">
    <w:abstractNumId w:val="16"/>
  </w:num>
  <w:num w:numId="16">
    <w:abstractNumId w:val="7"/>
  </w:num>
  <w:num w:numId="17">
    <w:abstractNumId w:val="31"/>
  </w:num>
  <w:num w:numId="18">
    <w:abstractNumId w:val="21"/>
  </w:num>
  <w:num w:numId="19">
    <w:abstractNumId w:val="26"/>
  </w:num>
  <w:num w:numId="20">
    <w:abstractNumId w:val="9"/>
  </w:num>
  <w:num w:numId="21">
    <w:abstractNumId w:val="8"/>
  </w:num>
  <w:num w:numId="22">
    <w:abstractNumId w:val="27"/>
  </w:num>
  <w:num w:numId="23">
    <w:abstractNumId w:val="14"/>
  </w:num>
  <w:num w:numId="24">
    <w:abstractNumId w:val="13"/>
  </w:num>
  <w:num w:numId="25">
    <w:abstractNumId w:val="18"/>
  </w:num>
  <w:num w:numId="26">
    <w:abstractNumId w:val="23"/>
  </w:num>
  <w:num w:numId="27">
    <w:abstractNumId w:val="15"/>
  </w:num>
  <w:num w:numId="28">
    <w:abstractNumId w:val="25"/>
  </w:num>
  <w:num w:numId="29">
    <w:abstractNumId w:val="4"/>
  </w:num>
  <w:num w:numId="30">
    <w:abstractNumId w:val="3"/>
  </w:num>
  <w:num w:numId="31">
    <w:abstractNumId w:val="11"/>
  </w:num>
  <w:num w:numId="32">
    <w:abstractNumId w:val="10"/>
  </w:num>
  <w:num w:numId="33">
    <w:abstractNumId w:val="17"/>
  </w:num>
  <w:num w:numId="34">
    <w:abstractNumId w:val="0"/>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13EDF"/>
    <w:rsid w:val="000208D5"/>
    <w:rsid w:val="00022B6A"/>
    <w:rsid w:val="00024F13"/>
    <w:rsid w:val="000467C5"/>
    <w:rsid w:val="00060F67"/>
    <w:rsid w:val="0008456D"/>
    <w:rsid w:val="00093FC4"/>
    <w:rsid w:val="00106ABF"/>
    <w:rsid w:val="00117D16"/>
    <w:rsid w:val="00173A64"/>
    <w:rsid w:val="00181E36"/>
    <w:rsid w:val="001B243C"/>
    <w:rsid w:val="001E76F3"/>
    <w:rsid w:val="001F0CAF"/>
    <w:rsid w:val="00213303"/>
    <w:rsid w:val="0022072F"/>
    <w:rsid w:val="00230310"/>
    <w:rsid w:val="00247FAB"/>
    <w:rsid w:val="0028065B"/>
    <w:rsid w:val="00286B6D"/>
    <w:rsid w:val="00292665"/>
    <w:rsid w:val="002C613C"/>
    <w:rsid w:val="002D3036"/>
    <w:rsid w:val="002E444B"/>
    <w:rsid w:val="003369F1"/>
    <w:rsid w:val="0034475B"/>
    <w:rsid w:val="003522A8"/>
    <w:rsid w:val="003C5838"/>
    <w:rsid w:val="003F33ED"/>
    <w:rsid w:val="00400777"/>
    <w:rsid w:val="00407725"/>
    <w:rsid w:val="00426E2E"/>
    <w:rsid w:val="00434CD6"/>
    <w:rsid w:val="0048093F"/>
    <w:rsid w:val="0049799A"/>
    <w:rsid w:val="004A5A0F"/>
    <w:rsid w:val="004B1C8B"/>
    <w:rsid w:val="004B248C"/>
    <w:rsid w:val="00514E06"/>
    <w:rsid w:val="0052140E"/>
    <w:rsid w:val="00546EB1"/>
    <w:rsid w:val="00547BB3"/>
    <w:rsid w:val="005514B5"/>
    <w:rsid w:val="00564160"/>
    <w:rsid w:val="005838EA"/>
    <w:rsid w:val="00627565"/>
    <w:rsid w:val="006364CD"/>
    <w:rsid w:val="00655332"/>
    <w:rsid w:val="0066079C"/>
    <w:rsid w:val="006660F3"/>
    <w:rsid w:val="006A286A"/>
    <w:rsid w:val="006B1453"/>
    <w:rsid w:val="006B481E"/>
    <w:rsid w:val="006D4A4B"/>
    <w:rsid w:val="006E7782"/>
    <w:rsid w:val="007059CD"/>
    <w:rsid w:val="00772E80"/>
    <w:rsid w:val="007A0208"/>
    <w:rsid w:val="007B42B7"/>
    <w:rsid w:val="007C6A4A"/>
    <w:rsid w:val="007C7533"/>
    <w:rsid w:val="008025CA"/>
    <w:rsid w:val="00813D98"/>
    <w:rsid w:val="00845ED1"/>
    <w:rsid w:val="008808D2"/>
    <w:rsid w:val="008A0342"/>
    <w:rsid w:val="008A4BB9"/>
    <w:rsid w:val="008B1A2F"/>
    <w:rsid w:val="008D5332"/>
    <w:rsid w:val="00902E4A"/>
    <w:rsid w:val="00916E30"/>
    <w:rsid w:val="00924E96"/>
    <w:rsid w:val="00934546"/>
    <w:rsid w:val="00942F98"/>
    <w:rsid w:val="009867D7"/>
    <w:rsid w:val="00990B5F"/>
    <w:rsid w:val="009A0611"/>
    <w:rsid w:val="009C0A0A"/>
    <w:rsid w:val="009C1920"/>
    <w:rsid w:val="009C299B"/>
    <w:rsid w:val="009E46CD"/>
    <w:rsid w:val="00A057EA"/>
    <w:rsid w:val="00A857BB"/>
    <w:rsid w:val="00A96D77"/>
    <w:rsid w:val="00AB18E7"/>
    <w:rsid w:val="00AC1F7D"/>
    <w:rsid w:val="00B03ED8"/>
    <w:rsid w:val="00B05159"/>
    <w:rsid w:val="00B27C2D"/>
    <w:rsid w:val="00B368D9"/>
    <w:rsid w:val="00B56159"/>
    <w:rsid w:val="00B57557"/>
    <w:rsid w:val="00BA4CC0"/>
    <w:rsid w:val="00BB2430"/>
    <w:rsid w:val="00BB7B54"/>
    <w:rsid w:val="00BC0FFC"/>
    <w:rsid w:val="00BC202A"/>
    <w:rsid w:val="00BD030B"/>
    <w:rsid w:val="00BD507F"/>
    <w:rsid w:val="00BE1F25"/>
    <w:rsid w:val="00BE4063"/>
    <w:rsid w:val="00BE5EA2"/>
    <w:rsid w:val="00C01A55"/>
    <w:rsid w:val="00C1560A"/>
    <w:rsid w:val="00C25EC4"/>
    <w:rsid w:val="00C25EEC"/>
    <w:rsid w:val="00C51999"/>
    <w:rsid w:val="00C56413"/>
    <w:rsid w:val="00C62894"/>
    <w:rsid w:val="00C8496C"/>
    <w:rsid w:val="00CA5E5D"/>
    <w:rsid w:val="00CB3C3F"/>
    <w:rsid w:val="00CB5A40"/>
    <w:rsid w:val="00CC1CA7"/>
    <w:rsid w:val="00CC260C"/>
    <w:rsid w:val="00CE17A5"/>
    <w:rsid w:val="00CE6CB0"/>
    <w:rsid w:val="00D03072"/>
    <w:rsid w:val="00D03E47"/>
    <w:rsid w:val="00D42C77"/>
    <w:rsid w:val="00D573FE"/>
    <w:rsid w:val="00D577BB"/>
    <w:rsid w:val="00D6598B"/>
    <w:rsid w:val="00D754C4"/>
    <w:rsid w:val="00D84D5E"/>
    <w:rsid w:val="00DA7D33"/>
    <w:rsid w:val="00DB6F36"/>
    <w:rsid w:val="00DD11CB"/>
    <w:rsid w:val="00DE0D8A"/>
    <w:rsid w:val="00DE1BAA"/>
    <w:rsid w:val="00DF0BF6"/>
    <w:rsid w:val="00DF5CA9"/>
    <w:rsid w:val="00E06F73"/>
    <w:rsid w:val="00E10C1F"/>
    <w:rsid w:val="00E15BCE"/>
    <w:rsid w:val="00E20E32"/>
    <w:rsid w:val="00E30ACB"/>
    <w:rsid w:val="00E87FFB"/>
    <w:rsid w:val="00EB26FB"/>
    <w:rsid w:val="00EC06DD"/>
    <w:rsid w:val="00EF2173"/>
    <w:rsid w:val="00F126E3"/>
    <w:rsid w:val="00F23E4F"/>
    <w:rsid w:val="00F33C5D"/>
    <w:rsid w:val="00F346B4"/>
    <w:rsid w:val="00F500D6"/>
    <w:rsid w:val="00F618ED"/>
    <w:rsid w:val="00F81C1C"/>
    <w:rsid w:val="00F92325"/>
    <w:rsid w:val="00F92540"/>
    <w:rsid w:val="00FC3DF6"/>
    <w:rsid w:val="00FE1148"/>
    <w:rsid w:val="00FE1A94"/>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C80CD"/>
  <w15:chartTrackingRefBased/>
  <w15:docId w15:val="{54A907FB-0818-4EAE-A2EF-CCFECD25D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618ED"/>
    <w:pPr>
      <w:keepNext/>
      <w:numPr>
        <w:numId w:val="34"/>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618ED"/>
    <w:pPr>
      <w:keepNext/>
      <w:numPr>
        <w:ilvl w:val="1"/>
        <w:numId w:val="34"/>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34"/>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34"/>
      </w:numPr>
      <w:spacing w:before="240" w:after="60"/>
      <w:outlineLvl w:val="3"/>
    </w:pPr>
    <w:rPr>
      <w:rFonts w:eastAsia="MS Mincho"/>
      <w:b/>
      <w:bCs/>
      <w:sz w:val="28"/>
      <w:szCs w:val="28"/>
    </w:rPr>
  </w:style>
  <w:style w:type="paragraph" w:styleId="Heading5">
    <w:name w:val="heading 5"/>
    <w:basedOn w:val="Heading4"/>
    <w:next w:val="Normal"/>
    <w:link w:val="Heading5Char"/>
    <w:qFormat/>
    <w:rsid w:val="00C25EEC"/>
    <w:pPr>
      <w:keepLines/>
      <w:numPr>
        <w:ilvl w:val="4"/>
      </w:numPr>
      <w:overflowPunct w:val="0"/>
      <w:autoSpaceDE w:val="0"/>
      <w:autoSpaceDN w:val="0"/>
      <w:adjustRightInd w:val="0"/>
      <w:spacing w:before="120" w:after="180"/>
      <w:textAlignment w:val="baseline"/>
      <w:outlineLvl w:val="4"/>
    </w:pPr>
    <w:rPr>
      <w:rFonts w:ascii="Arial" w:eastAsia="Times New Roman" w:hAnsi="Arial" w:cs="Arial"/>
      <w:b w:val="0"/>
      <w:bCs w:val="0"/>
      <w:sz w:val="22"/>
      <w:szCs w:val="22"/>
      <w:lang w:val="en-GB" w:eastAsia="zh-CN"/>
    </w:rPr>
  </w:style>
  <w:style w:type="paragraph" w:styleId="Heading6">
    <w:name w:val="heading 6"/>
    <w:basedOn w:val="Normal"/>
    <w:next w:val="Normal"/>
    <w:link w:val="Heading6Char"/>
    <w:qFormat/>
    <w:rsid w:val="00C25EEC"/>
    <w:pPr>
      <w:keepNext/>
      <w:keepLines/>
      <w:numPr>
        <w:ilvl w:val="5"/>
        <w:numId w:val="34"/>
      </w:numPr>
      <w:overflowPunct w:val="0"/>
      <w:autoSpaceDE w:val="0"/>
      <w:autoSpaceDN w:val="0"/>
      <w:adjustRightInd w:val="0"/>
      <w:spacing w:before="120" w:after="120"/>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C25EEC"/>
    <w:pPr>
      <w:keepNext/>
      <w:keepLines/>
      <w:numPr>
        <w:ilvl w:val="6"/>
        <w:numId w:val="34"/>
      </w:numPr>
      <w:overflowPunct w:val="0"/>
      <w:autoSpaceDE w:val="0"/>
      <w:autoSpaceDN w:val="0"/>
      <w:adjustRightInd w:val="0"/>
      <w:spacing w:before="120" w:after="120"/>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C25EEC"/>
    <w:pPr>
      <w:numPr>
        <w:ilvl w:val="7"/>
      </w:numPr>
      <w:outlineLvl w:val="7"/>
    </w:pPr>
  </w:style>
  <w:style w:type="paragraph" w:styleId="Heading9">
    <w:name w:val="heading 9"/>
    <w:basedOn w:val="Heading8"/>
    <w:next w:val="Normal"/>
    <w:link w:val="Heading9Char"/>
    <w:qFormat/>
    <w:rsid w:val="00C25E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618ED"/>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F618ED"/>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
    <w:basedOn w:val="Normal"/>
    <w:link w:val="BodyTextChar"/>
    <w:rsid w:val="00F618ED"/>
    <w:pPr>
      <w:spacing w:after="120"/>
      <w:jc w:val="both"/>
    </w:pPr>
    <w:rPr>
      <w:rFonts w:eastAsia="MS Mincho"/>
    </w:rPr>
  </w:style>
  <w:style w:type="character" w:customStyle="1" w:styleId="BodyTextChar">
    <w:name w:val="Body Text Char"/>
    <w:aliases w:val="bt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9E46CD"/>
    <w:pPr>
      <w:spacing w:after="200"/>
    </w:pPr>
    <w:rPr>
      <w:iCs/>
      <w:sz w:val="18"/>
      <w:szCs w:val="18"/>
    </w:rPr>
  </w:style>
  <w:style w:type="character" w:styleId="CommentReference">
    <w:name w:val="annotation reference"/>
    <w:basedOn w:val="DefaultParagraphFont"/>
    <w:semiHidden/>
    <w:unhideWhenUsed/>
    <w:rsid w:val="00627565"/>
    <w:rPr>
      <w:sz w:val="16"/>
      <w:szCs w:val="16"/>
    </w:rPr>
  </w:style>
  <w:style w:type="paragraph" w:styleId="CommentText">
    <w:name w:val="annotation text"/>
    <w:basedOn w:val="Normal"/>
    <w:link w:val="CommentTextChar"/>
    <w:semiHidden/>
    <w:unhideWhenUsed/>
    <w:rsid w:val="00627565"/>
    <w:rPr>
      <w:szCs w:val="20"/>
    </w:rPr>
  </w:style>
  <w:style w:type="character" w:customStyle="1" w:styleId="CommentTextChar">
    <w:name w:val="Comment Text Char"/>
    <w:basedOn w:val="DefaultParagraphFont"/>
    <w:link w:val="CommentText"/>
    <w:uiPriority w:val="99"/>
    <w:semiHidden/>
    <w:rsid w:val="00627565"/>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627565"/>
    <w:rPr>
      <w:b/>
      <w:bCs/>
    </w:rPr>
  </w:style>
  <w:style w:type="character" w:customStyle="1" w:styleId="CommentSubjectChar">
    <w:name w:val="Comment Subject Char"/>
    <w:basedOn w:val="CommentTextChar"/>
    <w:link w:val="CommentSubject"/>
    <w:uiPriority w:val="99"/>
    <w:semiHidden/>
    <w:rsid w:val="00627565"/>
    <w:rPr>
      <w:rFonts w:ascii="Times New Roman"/>
      <w:b/>
      <w:bCs/>
      <w:sz w:val="20"/>
      <w:szCs w:val="20"/>
    </w:rPr>
  </w:style>
  <w:style w:type="paragraph" w:styleId="Revision">
    <w:name w:val="Revision"/>
    <w:hidden/>
    <w:uiPriority w:val="99"/>
    <w:semiHidden/>
    <w:rsid w:val="00627565"/>
    <w:pPr>
      <w:spacing w:after="0" w:line="240" w:lineRule="auto"/>
    </w:pPr>
    <w:rPr>
      <w:rFonts w:ascii="Times New Roman"/>
      <w:sz w:val="20"/>
      <w:szCs w:val="24"/>
    </w:rPr>
  </w:style>
  <w:style w:type="paragraph" w:styleId="BalloonText">
    <w:name w:val="Balloon Text"/>
    <w:basedOn w:val="Normal"/>
    <w:link w:val="BalloonTextChar"/>
    <w:uiPriority w:val="99"/>
    <w:semiHidden/>
    <w:unhideWhenUsed/>
    <w:rsid w:val="0062756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7565"/>
    <w:rPr>
      <w:rFonts w:ascii="Segoe UI" w:hAnsi="Segoe UI" w:cs="Segoe UI"/>
      <w:sz w:val="18"/>
      <w:szCs w:val="18"/>
    </w:rPr>
  </w:style>
  <w:style w:type="paragraph" w:styleId="TOC1">
    <w:name w:val="toc 1"/>
    <w:aliases w:val="Observation TOC2"/>
    <w:uiPriority w:val="39"/>
    <w:rsid w:val="00A96D77"/>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hAnsi="Arial"/>
      <w:b/>
      <w:noProof/>
      <w:sz w:val="20"/>
      <w:lang w:eastAsia="zh-CN"/>
    </w:rPr>
  </w:style>
  <w:style w:type="paragraph" w:styleId="Footer">
    <w:name w:val="footer"/>
    <w:basedOn w:val="Normal"/>
    <w:link w:val="FooterChar"/>
    <w:uiPriority w:val="99"/>
    <w:unhideWhenUsed/>
    <w:rsid w:val="00C01A55"/>
    <w:pPr>
      <w:tabs>
        <w:tab w:val="center" w:pos="4680"/>
        <w:tab w:val="right" w:pos="9360"/>
      </w:tabs>
    </w:pPr>
  </w:style>
  <w:style w:type="character" w:customStyle="1" w:styleId="FooterChar">
    <w:name w:val="Footer Char"/>
    <w:basedOn w:val="DefaultParagraphFont"/>
    <w:link w:val="Footer"/>
    <w:uiPriority w:val="99"/>
    <w:rsid w:val="00C01A55"/>
    <w:rPr>
      <w:rFonts w:ascii="Times New Roman"/>
      <w:sz w:val="20"/>
      <w:szCs w:val="24"/>
    </w:rPr>
  </w:style>
  <w:style w:type="paragraph" w:styleId="ListParagraph">
    <w:name w:val="List Paragraph"/>
    <w:basedOn w:val="Normal"/>
    <w:link w:val="ListParagraphChar"/>
    <w:uiPriority w:val="34"/>
    <w:qFormat/>
    <w:rsid w:val="00D573FE"/>
    <w:pPr>
      <w:ind w:left="720"/>
    </w:pPr>
    <w:rPr>
      <w:rFonts w:ascii="Calibri" w:eastAsia="Calibri" w:hAnsi="Calibri"/>
      <w:sz w:val="22"/>
      <w:szCs w:val="22"/>
    </w:rPr>
  </w:style>
  <w:style w:type="character" w:customStyle="1" w:styleId="ListParagraphChar">
    <w:name w:val="List Paragraph Char"/>
    <w:link w:val="ListParagraph"/>
    <w:uiPriority w:val="34"/>
    <w:locked/>
    <w:rsid w:val="00D573FE"/>
    <w:rPr>
      <w:rFonts w:ascii="Calibri" w:eastAsia="Calibri" w:hAnsi="Calibri"/>
    </w:rPr>
  </w:style>
  <w:style w:type="table" w:customStyle="1" w:styleId="TableGridLight1">
    <w:name w:val="Table Grid Light1"/>
    <w:basedOn w:val="TableNormal"/>
    <w:uiPriority w:val="40"/>
    <w:rsid w:val="00D573FE"/>
    <w:pPr>
      <w:spacing w:after="0" w:line="240" w:lineRule="auto"/>
    </w:pPr>
    <w:rPr>
      <w:rFonts w:ascii="CG Times (WN)" w:eastAsiaTheme="minorEastAsia" w:hAnsi="CG Times (W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5Char">
    <w:name w:val="Heading 5 Char"/>
    <w:basedOn w:val="DefaultParagraphFont"/>
    <w:link w:val="Heading5"/>
    <w:rsid w:val="00C25EEC"/>
    <w:rPr>
      <w:rFonts w:ascii="Arial" w:hAnsi="Arial" w:cs="Arial"/>
      <w:lang w:val="en-GB" w:eastAsia="zh-CN"/>
    </w:rPr>
  </w:style>
  <w:style w:type="character" w:customStyle="1" w:styleId="Heading6Char">
    <w:name w:val="Heading 6 Char"/>
    <w:basedOn w:val="DefaultParagraphFont"/>
    <w:link w:val="Heading6"/>
    <w:rsid w:val="00C25EEC"/>
    <w:rPr>
      <w:rFonts w:ascii="Arial" w:hAnsi="Arial" w:cs="Arial"/>
      <w:sz w:val="20"/>
      <w:szCs w:val="20"/>
      <w:lang w:val="en-GB" w:eastAsia="zh-CN"/>
    </w:rPr>
  </w:style>
  <w:style w:type="character" w:customStyle="1" w:styleId="Heading7Char">
    <w:name w:val="Heading 7 Char"/>
    <w:basedOn w:val="DefaultParagraphFont"/>
    <w:link w:val="Heading7"/>
    <w:rsid w:val="00C25EEC"/>
    <w:rPr>
      <w:rFonts w:ascii="Arial" w:hAnsi="Arial" w:cs="Arial"/>
      <w:sz w:val="20"/>
      <w:szCs w:val="20"/>
      <w:lang w:val="en-GB" w:eastAsia="zh-CN"/>
    </w:rPr>
  </w:style>
  <w:style w:type="character" w:customStyle="1" w:styleId="Heading8Char">
    <w:name w:val="Heading 8 Char"/>
    <w:basedOn w:val="DefaultParagraphFont"/>
    <w:link w:val="Heading8"/>
    <w:rsid w:val="00C25EEC"/>
    <w:rPr>
      <w:rFonts w:ascii="Arial" w:hAnsi="Arial" w:cs="Arial"/>
      <w:sz w:val="20"/>
      <w:szCs w:val="20"/>
      <w:lang w:val="en-GB" w:eastAsia="zh-CN"/>
    </w:rPr>
  </w:style>
  <w:style w:type="character" w:customStyle="1" w:styleId="Heading9Char">
    <w:name w:val="Heading 9 Char"/>
    <w:basedOn w:val="DefaultParagraphFont"/>
    <w:link w:val="Heading9"/>
    <w:rsid w:val="00C25EEC"/>
    <w:rPr>
      <w:rFonts w:ascii="Arial" w:hAnsi="Arial" w:cs="Arial"/>
      <w:sz w:val="20"/>
      <w:szCs w:val="20"/>
      <w:lang w:val="en-GB" w:eastAsia="zh-CN"/>
    </w:rPr>
  </w:style>
  <w:style w:type="paragraph" w:customStyle="1" w:styleId="Reference">
    <w:name w:val="Reference"/>
    <w:basedOn w:val="Normal"/>
    <w:rsid w:val="00C25EEC"/>
    <w:pPr>
      <w:numPr>
        <w:numId w:val="35"/>
      </w:numPr>
      <w:overflowPunct w:val="0"/>
      <w:autoSpaceDE w:val="0"/>
      <w:autoSpaceDN w:val="0"/>
      <w:adjustRightInd w:val="0"/>
      <w:spacing w:after="120"/>
      <w:jc w:val="both"/>
      <w:textAlignment w:val="baseline"/>
    </w:pPr>
    <w:rPr>
      <w:rFonts w:ascii="Arial" w:hAnsi="Arial"/>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5NUHHDQN7SK2-1-114496</_dlc_DocId>
    <TaxCatchAll xmlns="08b2df90-05d3-4030-90d4-c9feeb4a1cd9">
      <Value>2</Value>
      <Value>1</Value>
    </TaxCatchAll>
    <_dlc_DocIdUrl xmlns="08b2df90-05d3-4030-90d4-c9feeb4a1cd9">
      <Url>https://ericoll.internal.ericsson.com/sites/STAR/_layouts/DocIdRedir.aspx?ID=5NUHHDQN7SK2-1-114496</Url>
      <Description>5NUHHDQN7SK2-1-114496</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F05F2-D4C5-4BE2-B76A-D8D7BCF03800}">
  <ds:schemaRefs>
    <ds:schemaRef ds:uri="http://schemas.microsoft.com/sharepoint/events"/>
  </ds:schemaRefs>
</ds:datastoreItem>
</file>

<file path=customXml/itemProps2.xml><?xml version="1.0" encoding="utf-8"?>
<ds:datastoreItem xmlns:ds="http://schemas.openxmlformats.org/officeDocument/2006/customXml" ds:itemID="{C89BE299-5DD0-491B-865E-77BCEBAA0E5D}">
  <ds:schemaRefs>
    <ds:schemaRef ds:uri="Microsoft.SharePoint.Taxonomy.ContentTypeSync"/>
  </ds:schemaRefs>
</ds:datastoreItem>
</file>

<file path=customXml/itemProps3.xml><?xml version="1.0" encoding="utf-8"?>
<ds:datastoreItem xmlns:ds="http://schemas.openxmlformats.org/officeDocument/2006/customXml" ds:itemID="{45E48A0C-D624-40BB-B32F-88DBEC022F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D5430C-F9F8-47AB-94EC-855C1DB1CFAA}">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5.xml><?xml version="1.0" encoding="utf-8"?>
<ds:datastoreItem xmlns:ds="http://schemas.openxmlformats.org/officeDocument/2006/customXml" ds:itemID="{ECAFD31F-EA09-4DD7-A813-8C39E53DAE34}">
  <ds:schemaRefs>
    <ds:schemaRef ds:uri="http://schemas.microsoft.com/sharepoint/v3/contenttype/forms"/>
  </ds:schemaRefs>
</ds:datastoreItem>
</file>

<file path=customXml/itemProps6.xml><?xml version="1.0" encoding="utf-8"?>
<ds:datastoreItem xmlns:ds="http://schemas.openxmlformats.org/officeDocument/2006/customXml" ds:itemID="{F04EAF09-7E54-47D7-AE3D-DEA2913B1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3</Pages>
  <Words>883</Words>
  <Characters>4684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Sorour Falahati</cp:lastModifiedBy>
  <cp:revision>16</cp:revision>
  <dcterms:created xsi:type="dcterms:W3CDTF">2017-05-02T14:09:00Z</dcterms:created>
  <dcterms:modified xsi:type="dcterms:W3CDTF">2017-05-06T12:58:00Z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158c9013-ae99-4d67-a4b1-87b20884359e</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