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8242C7" w14:textId="0B8024AF" w:rsidR="00067BDA" w:rsidRPr="0078188B" w:rsidRDefault="00067BDA" w:rsidP="00067BDA">
      <w:pPr>
        <w:pStyle w:val="Header"/>
      </w:pPr>
      <w:r w:rsidRPr="0078188B">
        <w:t>3GPP TSG-RAN WG1 Meeting #89</w:t>
      </w:r>
      <w:r w:rsidRPr="0078188B">
        <w:tab/>
      </w:r>
      <w:r w:rsidRPr="0078188B">
        <w:tab/>
        <w:t>R1-170</w:t>
      </w:r>
      <w:r w:rsidR="00B13F5D">
        <w:t>9099</w:t>
      </w:r>
    </w:p>
    <w:p w14:paraId="1048A6E2" w14:textId="77777777" w:rsidR="00067BDA" w:rsidRPr="0078188B" w:rsidRDefault="00067BDA" w:rsidP="00067BDA">
      <w:pPr>
        <w:pStyle w:val="Header"/>
      </w:pPr>
      <w:r w:rsidRPr="0078188B">
        <w:t>Hangzhou, China, May 15 – 19, 2017</w:t>
      </w:r>
    </w:p>
    <w:p w14:paraId="0160157A" w14:textId="77777777" w:rsidR="00A85E54" w:rsidRPr="0078188B" w:rsidRDefault="00A85E54" w:rsidP="00A85E54">
      <w:pPr>
        <w:pStyle w:val="Header"/>
      </w:pPr>
    </w:p>
    <w:p w14:paraId="5E2498C0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3D04D6C4" w14:textId="731B3F96" w:rsidR="00FE5799" w:rsidRPr="00E220C0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B71997">
        <w:rPr>
          <w:iCs/>
          <w:lang w:eastAsia="ja-JP"/>
        </w:rPr>
        <w:t>On Frequency-domain and Time-domain Resource A</w:t>
      </w:r>
      <w:r w:rsidR="00100D02" w:rsidRPr="00100D02">
        <w:rPr>
          <w:iCs/>
          <w:lang w:eastAsia="ja-JP"/>
        </w:rPr>
        <w:t>llocation</w:t>
      </w:r>
    </w:p>
    <w:p w14:paraId="7DAFFA69" w14:textId="3CF5965F" w:rsidR="00FE5799" w:rsidRPr="00E220C0" w:rsidRDefault="00FE5799" w:rsidP="00FE5799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067BDA">
        <w:t>7</w:t>
      </w:r>
      <w:r w:rsidR="00113113">
        <w:t>.1.3.</w:t>
      </w:r>
      <w:r w:rsidR="00D4461D">
        <w:t>3</w:t>
      </w:r>
      <w:r w:rsidR="0069218D">
        <w:t>.2</w:t>
      </w:r>
    </w:p>
    <w:p w14:paraId="63268CD9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58F640AA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7A1B9FCF" w14:textId="68817AB1"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14:paraId="3A8DDD9F" w14:textId="402FF816" w:rsidR="000A6F3B" w:rsidRDefault="000A6F3B" w:rsidP="000A6F3B">
      <w:pPr>
        <w:pStyle w:val="BodyText"/>
      </w:pPr>
      <w:r>
        <w:t xml:space="preserve">In this contribution we discuss resource allocation schemes for NR and further outline the applicable operational mode considering the learnings from LTE. </w:t>
      </w:r>
      <w:r w:rsidR="0069218D">
        <w:t xml:space="preserve">The paper is very </w:t>
      </w:r>
      <w:proofErr w:type="gramStart"/>
      <w:r w:rsidR="0069218D">
        <w:t>similar to</w:t>
      </w:r>
      <w:proofErr w:type="gramEnd"/>
      <w:r w:rsidR="0069218D">
        <w:t xml:space="preserve"> the paper on DL following the same topic as the underlying problems are the same.</w:t>
      </w:r>
    </w:p>
    <w:p w14:paraId="6F7BF207" w14:textId="77777777" w:rsidR="000A6F3B" w:rsidRPr="00BA533E" w:rsidRDefault="000A6F3B" w:rsidP="000A6F3B">
      <w:pPr>
        <w:pStyle w:val="BodyText"/>
      </w:pPr>
      <w:r w:rsidRPr="00CC3D06">
        <w:t xml:space="preserve">The most flexible way of indicating the set of resource blocks the </w:t>
      </w:r>
      <w:r>
        <w:t>device</w:t>
      </w:r>
      <w:r w:rsidRPr="00CC3D06">
        <w:t xml:space="preserve"> is supposed to receive </w:t>
      </w:r>
      <w:r>
        <w:t>or transmit</w:t>
      </w:r>
      <w:r w:rsidRPr="00CC3D06">
        <w:t xml:space="preserve"> upon is to include a bitmap with size equal to the number of resource blocks in the cell bandwidth. </w:t>
      </w:r>
      <w:r>
        <w:t xml:space="preserve">Although this would provide the highest degree of flexibility, it would also result in a </w:t>
      </w:r>
      <w:r w:rsidRPr="00CC3D06">
        <w:t>very large bitmap for the larger cell bandwidths.</w:t>
      </w:r>
      <w:r>
        <w:t xml:space="preserve"> To reduce the size of the bitmap, LTE provides </w:t>
      </w:r>
      <w:r w:rsidRPr="00BA533E">
        <w:t>three different resource block allocation types, 0, 1, or 2.</w:t>
      </w:r>
    </w:p>
    <w:p w14:paraId="0100EB83" w14:textId="77777777" w:rsidR="000A6F3B" w:rsidRDefault="000A6F3B" w:rsidP="000A6F3B">
      <w:pPr>
        <w:pStyle w:val="BodyText"/>
        <w:numPr>
          <w:ilvl w:val="0"/>
          <w:numId w:val="14"/>
        </w:numPr>
      </w:pPr>
      <w:r w:rsidRPr="00CC3D06">
        <w:t>In resource allocation type 0, the size of the bitmap has been reduced by pointing not to individual resource blocks in the frequency domain, but to groups of contiguous resource blocks</w:t>
      </w:r>
      <w:r>
        <w:t>.</w:t>
      </w:r>
      <w:r w:rsidRPr="00CC3D06">
        <w:t xml:space="preserve"> </w:t>
      </w:r>
    </w:p>
    <w:p w14:paraId="1B57A289" w14:textId="77777777" w:rsidR="000A6F3B" w:rsidRDefault="000A6F3B" w:rsidP="000A6F3B">
      <w:pPr>
        <w:pStyle w:val="BodyText"/>
        <w:numPr>
          <w:ilvl w:val="0"/>
          <w:numId w:val="14"/>
        </w:numPr>
      </w:pPr>
      <w:r w:rsidRPr="00CC3D06">
        <w:t xml:space="preserve">Resource allocation type 1 address </w:t>
      </w:r>
      <w:r>
        <w:t>the limited scheduling granularity</w:t>
      </w:r>
      <w:r w:rsidRPr="00CC3D06">
        <w:t xml:space="preserve"> by dividing the total number of resource blocks in the frequency domain into dispersed subsets</w:t>
      </w:r>
      <w:r>
        <w:t xml:space="preserve">. </w:t>
      </w:r>
    </w:p>
    <w:p w14:paraId="0C03201D" w14:textId="77777777" w:rsidR="000A6F3B" w:rsidRDefault="000A6F3B" w:rsidP="000A6F3B">
      <w:pPr>
        <w:pStyle w:val="BodyText"/>
        <w:numPr>
          <w:ilvl w:val="0"/>
          <w:numId w:val="14"/>
        </w:numPr>
      </w:pPr>
      <w:r>
        <w:t xml:space="preserve">Resource allocation type </w:t>
      </w:r>
      <w:r w:rsidRPr="00CC3D06">
        <w:t xml:space="preserve">2 encodes the resource allocation as a start position and length of the resource-block allocation. </w:t>
      </w:r>
    </w:p>
    <w:p w14:paraId="217C0232" w14:textId="391A9C85" w:rsidR="00113113" w:rsidRPr="00113113" w:rsidRDefault="00100D02" w:rsidP="00113113">
      <w:pPr>
        <w:pStyle w:val="BodyText"/>
      </w:pPr>
      <w:r>
        <w:t xml:space="preserve">In addition, NR </w:t>
      </w:r>
      <w:r w:rsidR="000A6F3B">
        <w:t xml:space="preserve">also </w:t>
      </w:r>
      <w:proofErr w:type="gramStart"/>
      <w:r w:rsidR="000A6F3B">
        <w:t>needs to</w:t>
      </w:r>
      <w:proofErr w:type="gramEnd"/>
      <w:r w:rsidR="000A6F3B">
        <w:t xml:space="preserve"> indicate the time-domain </w:t>
      </w:r>
      <w:r w:rsidR="00B90906">
        <w:t>resources</w:t>
      </w:r>
      <w:r w:rsidR="000A6F3B">
        <w:t xml:space="preserve"> for the data transmission, e.g. the set of OFDM symbols used for data.</w:t>
      </w:r>
      <w:r>
        <w:t xml:space="preserve"> In this contribution we discuss both aspects and further outline aspects associated to it. </w:t>
      </w:r>
    </w:p>
    <w:p w14:paraId="643B3910" w14:textId="036D685E" w:rsidR="000A74B8" w:rsidRDefault="00113113" w:rsidP="000A74B8">
      <w:pPr>
        <w:pStyle w:val="Heading1"/>
      </w:pPr>
      <w:r>
        <w:t>Discussion</w:t>
      </w:r>
    </w:p>
    <w:p w14:paraId="09EFCE3F" w14:textId="77777777" w:rsidR="000A6F3B" w:rsidRPr="00BA533E" w:rsidRDefault="000A6F3B" w:rsidP="000A6F3B">
      <w:pPr>
        <w:pStyle w:val="BodyText"/>
      </w:pPr>
      <w:r w:rsidRPr="00CC3D06">
        <w:t xml:space="preserve">The most flexible way of indicating the set of resource blocks the </w:t>
      </w:r>
      <w:r>
        <w:t>device</w:t>
      </w:r>
      <w:r w:rsidRPr="00CC3D06">
        <w:t xml:space="preserve"> is supposed to receive </w:t>
      </w:r>
      <w:r>
        <w:t>or transmit</w:t>
      </w:r>
      <w:r w:rsidRPr="00CC3D06">
        <w:t xml:space="preserve"> upon is to include a bitmap with size equal to the number of resource blocks in the cell bandwidth. </w:t>
      </w:r>
      <w:r>
        <w:t xml:space="preserve">Although this would provide the highest degree of flexibility, it would also result in a </w:t>
      </w:r>
      <w:r w:rsidRPr="00CC3D06">
        <w:t>very large bitmap for the larger cell bandwidths.</w:t>
      </w:r>
      <w:r>
        <w:t xml:space="preserve"> To reduce the size of the bitmap, LTE provides </w:t>
      </w:r>
      <w:r w:rsidRPr="00BA533E">
        <w:t>three different resource block allocation types, 0, 1, or 2.</w:t>
      </w:r>
    </w:p>
    <w:p w14:paraId="4FC7FE2F" w14:textId="77777777" w:rsidR="000A6F3B" w:rsidRDefault="000A6F3B" w:rsidP="000A6F3B">
      <w:pPr>
        <w:pStyle w:val="BodyText"/>
        <w:numPr>
          <w:ilvl w:val="0"/>
          <w:numId w:val="14"/>
        </w:numPr>
      </w:pPr>
      <w:r w:rsidRPr="00CC3D06">
        <w:t>In resource allocation type 0, the size of the bitmap has been reduced by pointing not to individual resource blocks in the frequency domain, but to groups of contiguous resource blocks</w:t>
      </w:r>
      <w:r>
        <w:t>.</w:t>
      </w:r>
      <w:r w:rsidRPr="00CC3D06">
        <w:t xml:space="preserve"> </w:t>
      </w:r>
    </w:p>
    <w:p w14:paraId="466F2CDC" w14:textId="77777777" w:rsidR="000A6F3B" w:rsidRDefault="000A6F3B" w:rsidP="000A6F3B">
      <w:pPr>
        <w:pStyle w:val="BodyText"/>
        <w:numPr>
          <w:ilvl w:val="0"/>
          <w:numId w:val="14"/>
        </w:numPr>
      </w:pPr>
      <w:r w:rsidRPr="00CC3D06">
        <w:t xml:space="preserve">Resource allocation type 1 address </w:t>
      </w:r>
      <w:r>
        <w:t>the limited scheduling granularity</w:t>
      </w:r>
      <w:r w:rsidRPr="00CC3D06">
        <w:t xml:space="preserve"> by dividing the total number of resource blocks in the frequency domain into dispersed subsets</w:t>
      </w:r>
      <w:r>
        <w:t xml:space="preserve">. </w:t>
      </w:r>
    </w:p>
    <w:p w14:paraId="3218E151" w14:textId="77777777" w:rsidR="000A6F3B" w:rsidRDefault="000A6F3B" w:rsidP="000A6F3B">
      <w:pPr>
        <w:pStyle w:val="BodyText"/>
        <w:numPr>
          <w:ilvl w:val="0"/>
          <w:numId w:val="14"/>
        </w:numPr>
      </w:pPr>
      <w:r>
        <w:t xml:space="preserve">Resource allocation type </w:t>
      </w:r>
      <w:r w:rsidRPr="00CC3D06">
        <w:t xml:space="preserve">2 encodes the resource allocation as a start position and length of the resource-block allocation. </w:t>
      </w:r>
    </w:p>
    <w:p w14:paraId="147EF5E1" w14:textId="77777777" w:rsidR="000A6F3B" w:rsidRDefault="000A6F3B" w:rsidP="000A6F3B">
      <w:pPr>
        <w:pStyle w:val="BodyText"/>
      </w:pPr>
      <w:r>
        <w:t>A start/length allocation scheme (</w:t>
      </w:r>
      <w:proofErr w:type="gramStart"/>
      <w:r>
        <w:t>similar to</w:t>
      </w:r>
      <w:proofErr w:type="gramEnd"/>
      <w:r>
        <w:t xml:space="preserve"> type 2 in LTE) is useful. Assuming a maximum of 3300 carriers (275 RBs), the number of bits required is in the order of 16 bits, which is reasonable.</w:t>
      </w:r>
    </w:p>
    <w:p w14:paraId="65AB79A0" w14:textId="5E87B524" w:rsidR="000A6F3B" w:rsidRDefault="000A6F3B" w:rsidP="000A6F3B">
      <w:pPr>
        <w:pStyle w:val="BodyText"/>
      </w:pPr>
      <w:r>
        <w:t>In addition, some form of bitmap approach is useful to allow for various forms of non-contiguous allocations. In principle, the type 0/1 in LTE could be reused. However, it would be beneficial to reduce the number of different schemes to simplify the implementation. For example, resource allocation type 1 in LTE is subject to an FGI bit and its usefulness is therefore limited. Hence, a unified scheme having similar properties as type 0/1 would be desirable.</w:t>
      </w:r>
    </w:p>
    <w:p w14:paraId="7E65D480" w14:textId="77777777" w:rsidR="000A6F3B" w:rsidRDefault="000A6F3B" w:rsidP="000A6F3B">
      <w:pPr>
        <w:pStyle w:val="BodyText"/>
      </w:pPr>
      <w:r>
        <w:t>For large resource allocations, a limited granularity is less of an issue while for small allocations it is beneficial to have a better granularity. One possibility to achieve this in a unified manner is to use resource block groups with a size depending on the total bandwidth assigned. An example is given below:</w:t>
      </w:r>
    </w:p>
    <w:p w14:paraId="2396297D" w14:textId="77777777" w:rsidR="000A6F3B" w:rsidRDefault="000A6F3B" w:rsidP="000A6F3B">
      <w:pPr>
        <w:pStyle w:val="BodyText"/>
      </w:pPr>
      <w:r>
        <w:t xml:space="preserve">Assume a total bandwidth (which the UE is capable of or configured to receive or transmit upon) of </w:t>
      </w:r>
      <w:r>
        <w:rPr>
          <w:i/>
        </w:rPr>
        <w:t>N</w:t>
      </w:r>
      <w:r>
        <w:t xml:space="preserve"> RBs and a RBG size of </w:t>
      </w:r>
      <w:r>
        <w:rPr>
          <w:i/>
        </w:rPr>
        <w:t>R</w:t>
      </w:r>
      <w:r>
        <w:t xml:space="preserve"> (preferably a power of two). To schedule the full bandwidth (with a resolution of </w:t>
      </w:r>
      <w:r>
        <w:rPr>
          <w:i/>
        </w:rPr>
        <w:t>R</w:t>
      </w:r>
      <w:r>
        <w:t>) a bitmap of ceil(</w:t>
      </w:r>
      <w:r>
        <w:rPr>
          <w:i/>
        </w:rPr>
        <w:t>N</w:t>
      </w:r>
      <w:r>
        <w:t>/</w:t>
      </w:r>
      <w:r>
        <w:rPr>
          <w:i/>
        </w:rPr>
        <w:t>R</w:t>
      </w:r>
      <w:r>
        <w:t xml:space="preserve">) is needed. To improve the resolution for smaller allocations, a small header of </w:t>
      </w:r>
      <w:r>
        <w:rPr>
          <w:i/>
        </w:rPr>
        <w:t>M</w:t>
      </w:r>
      <w:r>
        <w:t xml:space="preserve"> bits could also point to RBGs of size </w:t>
      </w:r>
      <w:r>
        <w:rPr>
          <w:i/>
        </w:rPr>
        <w:t>R</w:t>
      </w:r>
      <w:r>
        <w:t xml:space="preserve">/2 across half the bandwidth, RBGs of size </w:t>
      </w:r>
      <w:r>
        <w:rPr>
          <w:i/>
        </w:rPr>
        <w:t>R</w:t>
      </w:r>
      <w:r>
        <w:t xml:space="preserve">/4 across one quarter of the bandwidth, etc. The header could also contain information on where in the total bandwidth the half bandwidth region (quarter-part region, </w:t>
      </w:r>
      <w:proofErr w:type="spellStart"/>
      <w:r>
        <w:t>etc</w:t>
      </w:r>
      <w:proofErr w:type="spellEnd"/>
      <w:r>
        <w:t xml:space="preserve">) </w:t>
      </w:r>
      <w:r>
        <w:lastRenderedPageBreak/>
        <w:t xml:space="preserve">is located. An example illustrating the principle is given in </w:t>
      </w:r>
      <w:r>
        <w:fldChar w:fldCharType="begin"/>
      </w:r>
      <w:r>
        <w:instrText xml:space="preserve"> REF _Ref478121541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where (for illustrative purposes) a bitmap size of two is used. </w:t>
      </w:r>
    </w:p>
    <w:p w14:paraId="52C264F8" w14:textId="77777777" w:rsidR="000A6F3B" w:rsidRDefault="000A6F3B" w:rsidP="000A6F3B">
      <w:pPr>
        <w:pStyle w:val="BodyText"/>
        <w:keepNext/>
      </w:pPr>
      <w:r w:rsidRPr="000807F9">
        <w:rPr>
          <w:noProof/>
          <w:lang w:val="sv-SE" w:eastAsia="sv-SE"/>
        </w:rPr>
        <w:drawing>
          <wp:inline distT="0" distB="0" distL="0" distR="0" wp14:anchorId="15D88FD1" wp14:editId="3011F003">
            <wp:extent cx="5760720" cy="263638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3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A85FA7" w14:textId="77777777" w:rsidR="000A6F3B" w:rsidRDefault="000A6F3B" w:rsidP="000A6F3B">
      <w:pPr>
        <w:pStyle w:val="Caption"/>
        <w:jc w:val="both"/>
      </w:pPr>
      <w:bookmarkStart w:id="3" w:name="_Ref4781215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>: Example of RB allocation signaling.</w:t>
      </w:r>
    </w:p>
    <w:p w14:paraId="046A502E" w14:textId="77777777" w:rsidR="000A6F3B" w:rsidRDefault="000A6F3B" w:rsidP="000A6F3B">
      <w:r>
        <w:t xml:space="preserve">In </w:t>
      </w:r>
      <w:r>
        <w:fldChar w:fldCharType="begin"/>
      </w:r>
      <w:r>
        <w:instrText xml:space="preserve"> REF _Ref478123365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, the number of bits for the ‘header’ is illustrated, showing that 4 bits is sufficient to provide a granularity from 1 to 8 RBs. This header size is small compared to a bitmap of (for example) 35 bits (assuming a maximum number of used subcarriers of 3300 = 275 RBs and an RBG size of 8).</w:t>
      </w:r>
    </w:p>
    <w:p w14:paraId="7D92A543" w14:textId="77777777" w:rsidR="000A6F3B" w:rsidRPr="005E3DC3" w:rsidRDefault="000A6F3B" w:rsidP="000A6F3B"/>
    <w:p w14:paraId="7DDAF026" w14:textId="77777777" w:rsidR="000A6F3B" w:rsidRDefault="000A6F3B" w:rsidP="000A6F3B">
      <w:pPr>
        <w:pStyle w:val="Caption"/>
        <w:keepNext/>
      </w:pPr>
      <w:bookmarkStart w:id="4" w:name="_Ref47812336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>: Number of bits required for the header.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2126"/>
        <w:gridCol w:w="1134"/>
        <w:gridCol w:w="2552"/>
        <w:gridCol w:w="2404"/>
      </w:tblGrid>
      <w:tr w:rsidR="000A6F3B" w14:paraId="10828B9F" w14:textId="77777777" w:rsidTr="004616D8">
        <w:tc>
          <w:tcPr>
            <w:tcW w:w="846" w:type="dxa"/>
            <w:shd w:val="clear" w:color="auto" w:fill="F2F2F2" w:themeFill="background1" w:themeFillShade="F2"/>
          </w:tcPr>
          <w:p w14:paraId="533BE8E6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14:paraId="3C62AC93" w14:textId="77777777" w:rsidR="000A6F3B" w:rsidRPr="005E3DC3" w:rsidRDefault="000A6F3B" w:rsidP="004616D8">
            <w:pPr>
              <w:pStyle w:val="BodyText"/>
              <w:rPr>
                <w:sz w:val="18"/>
              </w:rPr>
            </w:pPr>
            <w:r w:rsidRPr="005E3DC3">
              <w:rPr>
                <w:sz w:val="18"/>
              </w:rPr>
              <w:t>Number of combinations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0836842" w14:textId="77777777" w:rsidR="000A6F3B" w:rsidRPr="005E3DC3" w:rsidRDefault="000A6F3B" w:rsidP="004616D8">
            <w:pPr>
              <w:pStyle w:val="BodyText"/>
              <w:rPr>
                <w:sz w:val="18"/>
              </w:rPr>
            </w:pPr>
            <w:r w:rsidRPr="005E3DC3">
              <w:rPr>
                <w:sz w:val="18"/>
              </w:rPr>
              <w:t>RBG size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3C43722F" w14:textId="77777777" w:rsidR="000A6F3B" w:rsidRPr="005E3DC3" w:rsidRDefault="000A6F3B" w:rsidP="004616D8">
            <w:pPr>
              <w:pStyle w:val="BodyText"/>
              <w:rPr>
                <w:sz w:val="18"/>
              </w:rPr>
            </w:pPr>
            <w:r w:rsidRPr="005E3DC3">
              <w:rPr>
                <w:sz w:val="18"/>
              </w:rPr>
              <w:t>Number of bitmap locations</w:t>
            </w:r>
          </w:p>
        </w:tc>
        <w:tc>
          <w:tcPr>
            <w:tcW w:w="2404" w:type="dxa"/>
            <w:shd w:val="clear" w:color="auto" w:fill="F2F2F2" w:themeFill="background1" w:themeFillShade="F2"/>
          </w:tcPr>
          <w:p w14:paraId="0280567C" w14:textId="77777777" w:rsidR="000A6F3B" w:rsidRPr="005E3DC3" w:rsidRDefault="000A6F3B" w:rsidP="004616D8">
            <w:pPr>
              <w:pStyle w:val="BodyText"/>
              <w:rPr>
                <w:sz w:val="18"/>
              </w:rPr>
            </w:pPr>
            <w:r w:rsidRPr="005E3DC3">
              <w:rPr>
                <w:sz w:val="18"/>
              </w:rPr>
              <w:t>Resolution</w:t>
            </w:r>
          </w:p>
        </w:tc>
      </w:tr>
      <w:tr w:rsidR="000A6F3B" w14:paraId="1428C603" w14:textId="77777777" w:rsidTr="004616D8">
        <w:tc>
          <w:tcPr>
            <w:tcW w:w="846" w:type="dxa"/>
          </w:tcPr>
          <w:p w14:paraId="7B330B8E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</w:p>
        </w:tc>
        <w:tc>
          <w:tcPr>
            <w:tcW w:w="2126" w:type="dxa"/>
          </w:tcPr>
          <w:p w14:paraId="704F51A6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1</w:t>
            </w:r>
          </w:p>
        </w:tc>
        <w:tc>
          <w:tcPr>
            <w:tcW w:w="1134" w:type="dxa"/>
          </w:tcPr>
          <w:p w14:paraId="2DFC524E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8</w:t>
            </w:r>
          </w:p>
        </w:tc>
        <w:tc>
          <w:tcPr>
            <w:tcW w:w="2552" w:type="dxa"/>
          </w:tcPr>
          <w:p w14:paraId="43EE3DB2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1</w:t>
            </w:r>
          </w:p>
        </w:tc>
        <w:tc>
          <w:tcPr>
            <w:tcW w:w="2404" w:type="dxa"/>
          </w:tcPr>
          <w:p w14:paraId="25C1BAD2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8 RBs</w:t>
            </w:r>
          </w:p>
        </w:tc>
      </w:tr>
      <w:tr w:rsidR="000A6F3B" w14:paraId="6B07B194" w14:textId="77777777" w:rsidTr="004616D8">
        <w:tc>
          <w:tcPr>
            <w:tcW w:w="846" w:type="dxa"/>
          </w:tcPr>
          <w:p w14:paraId="7B410BA5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</w:p>
        </w:tc>
        <w:tc>
          <w:tcPr>
            <w:tcW w:w="2126" w:type="dxa"/>
          </w:tcPr>
          <w:p w14:paraId="0968BFBE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2</w:t>
            </w:r>
          </w:p>
        </w:tc>
        <w:tc>
          <w:tcPr>
            <w:tcW w:w="1134" w:type="dxa"/>
          </w:tcPr>
          <w:p w14:paraId="129086D0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4</w:t>
            </w:r>
          </w:p>
        </w:tc>
        <w:tc>
          <w:tcPr>
            <w:tcW w:w="2552" w:type="dxa"/>
          </w:tcPr>
          <w:p w14:paraId="4D90822C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2</w:t>
            </w:r>
          </w:p>
        </w:tc>
        <w:tc>
          <w:tcPr>
            <w:tcW w:w="2404" w:type="dxa"/>
          </w:tcPr>
          <w:p w14:paraId="3BDEBD0F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4 RBs</w:t>
            </w:r>
          </w:p>
        </w:tc>
      </w:tr>
      <w:tr w:rsidR="000A6F3B" w14:paraId="01FD6A2F" w14:textId="77777777" w:rsidTr="004616D8">
        <w:tc>
          <w:tcPr>
            <w:tcW w:w="846" w:type="dxa"/>
          </w:tcPr>
          <w:p w14:paraId="21345F66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</w:p>
        </w:tc>
        <w:tc>
          <w:tcPr>
            <w:tcW w:w="2126" w:type="dxa"/>
          </w:tcPr>
          <w:p w14:paraId="713C7D6E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4</w:t>
            </w:r>
          </w:p>
        </w:tc>
        <w:tc>
          <w:tcPr>
            <w:tcW w:w="1134" w:type="dxa"/>
          </w:tcPr>
          <w:p w14:paraId="38A4D9B3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2</w:t>
            </w:r>
          </w:p>
        </w:tc>
        <w:tc>
          <w:tcPr>
            <w:tcW w:w="2552" w:type="dxa"/>
          </w:tcPr>
          <w:p w14:paraId="274081DE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4</w:t>
            </w:r>
          </w:p>
        </w:tc>
        <w:tc>
          <w:tcPr>
            <w:tcW w:w="2404" w:type="dxa"/>
          </w:tcPr>
          <w:p w14:paraId="70C2F351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2 RBs</w:t>
            </w:r>
          </w:p>
        </w:tc>
      </w:tr>
      <w:tr w:rsidR="000A6F3B" w14:paraId="53948266" w14:textId="77777777" w:rsidTr="004616D8">
        <w:tc>
          <w:tcPr>
            <w:tcW w:w="846" w:type="dxa"/>
          </w:tcPr>
          <w:p w14:paraId="71DF3502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</w:p>
        </w:tc>
        <w:tc>
          <w:tcPr>
            <w:tcW w:w="2126" w:type="dxa"/>
          </w:tcPr>
          <w:p w14:paraId="1B0186D1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8</w:t>
            </w:r>
          </w:p>
        </w:tc>
        <w:tc>
          <w:tcPr>
            <w:tcW w:w="1134" w:type="dxa"/>
          </w:tcPr>
          <w:p w14:paraId="249DB880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1</w:t>
            </w:r>
          </w:p>
        </w:tc>
        <w:tc>
          <w:tcPr>
            <w:tcW w:w="2552" w:type="dxa"/>
          </w:tcPr>
          <w:p w14:paraId="51BBBF4B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8</w:t>
            </w:r>
          </w:p>
        </w:tc>
        <w:tc>
          <w:tcPr>
            <w:tcW w:w="2404" w:type="dxa"/>
          </w:tcPr>
          <w:p w14:paraId="2AA69450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1 RB</w:t>
            </w:r>
          </w:p>
        </w:tc>
      </w:tr>
      <w:tr w:rsidR="000A6F3B" w14:paraId="69B3664B" w14:textId="77777777" w:rsidTr="004616D8">
        <w:tc>
          <w:tcPr>
            <w:tcW w:w="846" w:type="dxa"/>
          </w:tcPr>
          <w:p w14:paraId="035B6BE2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Total</w:t>
            </w:r>
          </w:p>
        </w:tc>
        <w:tc>
          <w:tcPr>
            <w:tcW w:w="2126" w:type="dxa"/>
          </w:tcPr>
          <w:p w14:paraId="654674FF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 xml:space="preserve">15 </w:t>
            </w:r>
            <w:r>
              <w:rPr>
                <w:i/>
                <w:sz w:val="18"/>
              </w:rPr>
              <w:t xml:space="preserve">combinations </w:t>
            </w:r>
            <w:r w:rsidRPr="005E3DC3">
              <w:rPr>
                <w:i/>
                <w:sz w:val="18"/>
              </w:rPr>
              <w:t>(4 bits)</w:t>
            </w:r>
          </w:p>
        </w:tc>
        <w:tc>
          <w:tcPr>
            <w:tcW w:w="1134" w:type="dxa"/>
          </w:tcPr>
          <w:p w14:paraId="5B0347CE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</w:p>
        </w:tc>
        <w:tc>
          <w:tcPr>
            <w:tcW w:w="2552" w:type="dxa"/>
          </w:tcPr>
          <w:p w14:paraId="27E69CA1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</w:p>
        </w:tc>
        <w:tc>
          <w:tcPr>
            <w:tcW w:w="2404" w:type="dxa"/>
          </w:tcPr>
          <w:p w14:paraId="55138A74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</w:p>
        </w:tc>
      </w:tr>
    </w:tbl>
    <w:p w14:paraId="22684981" w14:textId="77777777" w:rsidR="000A6F3B" w:rsidRPr="00CF0F32" w:rsidRDefault="000A6F3B" w:rsidP="000A6F3B">
      <w:pPr>
        <w:pStyle w:val="BodyText"/>
      </w:pPr>
    </w:p>
    <w:p w14:paraId="5A80A676" w14:textId="77777777" w:rsidR="000A6F3B" w:rsidRDefault="000A6F3B" w:rsidP="00B36A08">
      <w:pPr>
        <w:pStyle w:val="BodyText"/>
      </w:pPr>
    </w:p>
    <w:p w14:paraId="16527038" w14:textId="22F79C15" w:rsidR="000B1C00" w:rsidRPr="000B1C00" w:rsidRDefault="000B1C00" w:rsidP="00B36A08">
      <w:pPr>
        <w:pStyle w:val="BodyText"/>
        <w:rPr>
          <w:b/>
        </w:rPr>
      </w:pPr>
      <w:r w:rsidRPr="000B1C00">
        <w:rPr>
          <w:b/>
        </w:rPr>
        <w:t>Proposal</w:t>
      </w:r>
    </w:p>
    <w:p w14:paraId="417FFF64" w14:textId="77777777" w:rsidR="000A6F3B" w:rsidRDefault="000B1C00" w:rsidP="000B1C00">
      <w:pPr>
        <w:pStyle w:val="BodyText"/>
        <w:numPr>
          <w:ilvl w:val="0"/>
          <w:numId w:val="13"/>
        </w:numPr>
        <w:rPr>
          <w:i/>
        </w:rPr>
      </w:pPr>
      <w:r w:rsidRPr="00123BF2">
        <w:rPr>
          <w:i/>
        </w:rPr>
        <w:t xml:space="preserve">NR supports </w:t>
      </w:r>
      <w:r w:rsidR="000A6F3B">
        <w:rPr>
          <w:i/>
        </w:rPr>
        <w:t xml:space="preserve">two </w:t>
      </w:r>
      <w:r w:rsidRPr="00123BF2">
        <w:rPr>
          <w:i/>
        </w:rPr>
        <w:t xml:space="preserve">resource allocation </w:t>
      </w:r>
      <w:r w:rsidR="000A6F3B">
        <w:rPr>
          <w:i/>
        </w:rPr>
        <w:t>schemes</w:t>
      </w:r>
    </w:p>
    <w:p w14:paraId="102B91FF" w14:textId="4E3AF321" w:rsidR="000B1C00" w:rsidRDefault="000A6F3B" w:rsidP="00B90906">
      <w:pPr>
        <w:pStyle w:val="BodyText"/>
        <w:numPr>
          <w:ilvl w:val="1"/>
          <w:numId w:val="13"/>
        </w:numPr>
        <w:rPr>
          <w:i/>
        </w:rPr>
      </w:pPr>
      <w:r>
        <w:rPr>
          <w:i/>
        </w:rPr>
        <w:t xml:space="preserve">a scheme </w:t>
      </w:r>
      <w:proofErr w:type="gramStart"/>
      <w:r>
        <w:rPr>
          <w:i/>
        </w:rPr>
        <w:t>similar to</w:t>
      </w:r>
      <w:proofErr w:type="gramEnd"/>
      <w:r>
        <w:rPr>
          <w:i/>
        </w:rPr>
        <w:t xml:space="preserve"> type 2 in LTE</w:t>
      </w:r>
    </w:p>
    <w:p w14:paraId="0A837E02" w14:textId="4E2E5201" w:rsidR="000A6F3B" w:rsidRPr="00123BF2" w:rsidRDefault="000A6F3B" w:rsidP="00B90906">
      <w:pPr>
        <w:pStyle w:val="BodyText"/>
        <w:numPr>
          <w:ilvl w:val="1"/>
          <w:numId w:val="13"/>
        </w:numPr>
        <w:rPr>
          <w:i/>
        </w:rPr>
      </w:pPr>
      <w:r>
        <w:rPr>
          <w:i/>
        </w:rPr>
        <w:t xml:space="preserve">a scheme </w:t>
      </w:r>
      <w:r w:rsidR="00B90906">
        <w:rPr>
          <w:i/>
        </w:rPr>
        <w:t xml:space="preserve">with finer granularity for smaller allocations and coarser for larger allocations, </w:t>
      </w:r>
      <w:proofErr w:type="gramStart"/>
      <w:r>
        <w:rPr>
          <w:i/>
        </w:rPr>
        <w:t>similar to</w:t>
      </w:r>
      <w:proofErr w:type="gramEnd"/>
      <w:r>
        <w:rPr>
          <w:i/>
        </w:rPr>
        <w:t xml:space="preserve"> the example in Figure 2 </w:t>
      </w:r>
    </w:p>
    <w:p w14:paraId="1F228A03" w14:textId="3A80D132" w:rsidR="0028437F" w:rsidRDefault="000B1C00" w:rsidP="000B1C00">
      <w:pPr>
        <w:pStyle w:val="BodyText"/>
      </w:pPr>
      <w:r>
        <w:t>In time domain</w:t>
      </w:r>
      <w:r w:rsidR="00BB1332">
        <w:t>, the</w:t>
      </w:r>
      <w:r>
        <w:t>r</w:t>
      </w:r>
      <w:r w:rsidR="00BB1332">
        <w:t>e is</w:t>
      </w:r>
      <w:r>
        <w:t xml:space="preserve"> larger flexibility in NR how</w:t>
      </w:r>
      <w:r w:rsidR="004C28D2">
        <w:t xml:space="preserve"> to assigned OFDM symbols for PU</w:t>
      </w:r>
      <w:r>
        <w:t>SCH transmissions than in LTE.</w:t>
      </w:r>
      <w:r w:rsidR="000A6F3B">
        <w:t xml:space="preserve"> A data transmission may occupy (almost) all OFDM symbols in a slot or, in case of a min-slot transmission, only some of them. Data may also span multiple slots in case of slot aggregation.</w:t>
      </w:r>
    </w:p>
    <w:p w14:paraId="720AC5FF" w14:textId="7763474A" w:rsidR="000B1C00" w:rsidRDefault="0028437F" w:rsidP="00B90906">
      <w:pPr>
        <w:pStyle w:val="BodyText"/>
      </w:pPr>
      <w:r>
        <w:t>One possibility to handle all these possibilities in a unified way</w:t>
      </w:r>
      <w:r w:rsidR="00B90906">
        <w:t xml:space="preserve"> is to include information in </w:t>
      </w:r>
      <w:r w:rsidR="0069218D">
        <w:t>t</w:t>
      </w:r>
      <w:r w:rsidR="00B90906">
        <w:t>h</w:t>
      </w:r>
      <w:r w:rsidR="0069218D">
        <w:t>e</w:t>
      </w:r>
      <w:r w:rsidR="00B90906">
        <w:t xml:space="preserve"> DCI about the </w:t>
      </w:r>
      <w:r w:rsidR="004C28D2">
        <w:t>PU</w:t>
      </w:r>
      <w:r w:rsidR="000B1C00">
        <w:t>SCH the starting and ending position</w:t>
      </w:r>
      <w:r w:rsidR="00B90906">
        <w:t xml:space="preserve">. To limit the DCI overhead while at the same time provide some flexibility one possibility is to have e.g. 3 bits in the DCI pointing into an RRC-configured table which provides the starting and ending </w:t>
      </w:r>
      <w:r w:rsidR="004C28D2">
        <w:t>p</w:t>
      </w:r>
      <w:r w:rsidR="00B90906">
        <w:t>ositions. P</w:t>
      </w:r>
      <w:r w:rsidR="00B76990">
        <w:t xml:space="preserve">referably at least one entry </w:t>
      </w:r>
      <w:r w:rsidR="00B90906">
        <w:t xml:space="preserve">is </w:t>
      </w:r>
      <w:r w:rsidR="00B76990">
        <w:t>predefined in the spec</w:t>
      </w:r>
      <w:r w:rsidR="00B90906">
        <w:t>ifications</w:t>
      </w:r>
      <w:r w:rsidR="00B76990">
        <w:t xml:space="preserve"> to avoid </w:t>
      </w:r>
      <w:r w:rsidR="00B90906">
        <w:t>ambiguities while reconfiguring the table. To handle slot aggregation, some of the entries in the table can indicate an ending position in a subsequent slot.</w:t>
      </w:r>
      <w:r w:rsidR="00B90906" w:rsidDel="00B90906">
        <w:t xml:space="preserve"> </w:t>
      </w:r>
      <w:r w:rsidR="00123BF2">
        <w:t xml:space="preserve"> </w:t>
      </w:r>
    </w:p>
    <w:p w14:paraId="36B2CE01" w14:textId="0495DA67" w:rsidR="00B71997" w:rsidRDefault="00B71997" w:rsidP="00B90906">
      <w:pPr>
        <w:pStyle w:val="BodyText"/>
      </w:pPr>
    </w:p>
    <w:p w14:paraId="03E85353" w14:textId="77777777" w:rsidR="00B71997" w:rsidRDefault="00B71997" w:rsidP="00B90906">
      <w:pPr>
        <w:pStyle w:val="BodyText"/>
      </w:pPr>
      <w:bookmarkStart w:id="5" w:name="_GoBack"/>
      <w:bookmarkEnd w:id="5"/>
    </w:p>
    <w:p w14:paraId="7B4028E2" w14:textId="18E2BA83" w:rsidR="00123BF2" w:rsidRPr="00123BF2" w:rsidRDefault="00123BF2" w:rsidP="000B1C00">
      <w:pPr>
        <w:pStyle w:val="BodyText"/>
        <w:rPr>
          <w:b/>
        </w:rPr>
      </w:pPr>
      <w:r w:rsidRPr="00123BF2">
        <w:rPr>
          <w:b/>
        </w:rPr>
        <w:lastRenderedPageBreak/>
        <w:t>Proposal:</w:t>
      </w:r>
    </w:p>
    <w:p w14:paraId="4D19E0B2" w14:textId="53F0DDE5" w:rsidR="00123BF2" w:rsidRPr="00123BF2" w:rsidRDefault="00B90906" w:rsidP="00123BF2">
      <w:pPr>
        <w:pStyle w:val="BodyText"/>
        <w:numPr>
          <w:ilvl w:val="0"/>
          <w:numId w:val="13"/>
        </w:numPr>
        <w:rPr>
          <w:i/>
        </w:rPr>
      </w:pPr>
      <w:r>
        <w:rPr>
          <w:i/>
        </w:rPr>
        <w:t>The DCI contains a</w:t>
      </w:r>
      <w:r w:rsidR="00123BF2" w:rsidRPr="00123BF2">
        <w:rPr>
          <w:i/>
        </w:rPr>
        <w:t xml:space="preserve"> </w:t>
      </w:r>
      <w:proofErr w:type="spellStart"/>
      <w:r w:rsidR="00123BF2" w:rsidRPr="00123BF2">
        <w:rPr>
          <w:i/>
        </w:rPr>
        <w:t>bitfield</w:t>
      </w:r>
      <w:proofErr w:type="spellEnd"/>
      <w:r w:rsidR="00123BF2" w:rsidRPr="00123BF2">
        <w:rPr>
          <w:i/>
        </w:rPr>
        <w:t xml:space="preserve"> that </w:t>
      </w:r>
      <w:r>
        <w:rPr>
          <w:i/>
        </w:rPr>
        <w:t xml:space="preserve">(together with RRC configuration) </w:t>
      </w:r>
      <w:r w:rsidR="00123BF2" w:rsidRPr="00123BF2">
        <w:rPr>
          <w:i/>
        </w:rPr>
        <w:t>define</w:t>
      </w:r>
      <w:r w:rsidR="00BB1332">
        <w:rPr>
          <w:i/>
        </w:rPr>
        <w:t>s</w:t>
      </w:r>
      <w:r w:rsidR="00123BF2" w:rsidRPr="00123BF2">
        <w:rPr>
          <w:i/>
        </w:rPr>
        <w:t xml:space="preserve"> </w:t>
      </w:r>
      <w:r w:rsidR="00BB1332">
        <w:rPr>
          <w:i/>
        </w:rPr>
        <w:t>the</w:t>
      </w:r>
      <w:r w:rsidR="00123BF2" w:rsidRPr="00123BF2">
        <w:rPr>
          <w:i/>
        </w:rPr>
        <w:t xml:space="preserve"> starting and end OFDM symbol within a slot.</w:t>
      </w:r>
    </w:p>
    <w:p w14:paraId="7D0F497C" w14:textId="71E5DD32" w:rsidR="00123BF2" w:rsidRPr="00123BF2" w:rsidRDefault="00123BF2" w:rsidP="00123BF2">
      <w:pPr>
        <w:pStyle w:val="BodyText"/>
        <w:rPr>
          <w:b/>
        </w:rPr>
      </w:pPr>
      <w:r w:rsidRPr="00123BF2">
        <w:rPr>
          <w:b/>
        </w:rPr>
        <w:t>Proposal:</w:t>
      </w:r>
    </w:p>
    <w:p w14:paraId="4042E57F" w14:textId="694D685D" w:rsidR="00123BF2" w:rsidRDefault="002164B0" w:rsidP="00B90906">
      <w:pPr>
        <w:pStyle w:val="BodyText"/>
        <w:numPr>
          <w:ilvl w:val="0"/>
          <w:numId w:val="13"/>
        </w:numPr>
        <w:rPr>
          <w:i/>
        </w:rPr>
      </w:pPr>
      <w:r>
        <w:rPr>
          <w:i/>
        </w:rPr>
        <w:t>Slot aggregation is part of the general signaling scheme of data ending position.</w:t>
      </w:r>
    </w:p>
    <w:p w14:paraId="59A99C7D" w14:textId="0809C522" w:rsidR="004C28D2" w:rsidRDefault="004C28D2" w:rsidP="004C28D2">
      <w:pPr>
        <w:pStyle w:val="BodyText"/>
      </w:pPr>
      <w:r>
        <w:t xml:space="preserve">Further for UL it there would be a need to define in which slot the transmission of PUSCH should occur in. Such information could either be a separate </w:t>
      </w:r>
      <w:proofErr w:type="spellStart"/>
      <w:r>
        <w:t>bitfield</w:t>
      </w:r>
      <w:proofErr w:type="spellEnd"/>
      <w:r>
        <w:t xml:space="preserve"> or be jointly encoded with the starting and ending position. It is noted here however that to be able to support rather long periods of UL slot there would be a need for around 3 bits to support these cases.</w:t>
      </w:r>
    </w:p>
    <w:p w14:paraId="79DC5DB9" w14:textId="7D8AD45D" w:rsidR="004C28D2" w:rsidRDefault="004C28D2" w:rsidP="004C28D2">
      <w:pPr>
        <w:pStyle w:val="BodyText"/>
        <w:rPr>
          <w:b/>
        </w:rPr>
      </w:pPr>
      <w:r w:rsidRPr="004C28D2">
        <w:rPr>
          <w:b/>
        </w:rPr>
        <w:t>Proposal:</w:t>
      </w:r>
    </w:p>
    <w:p w14:paraId="5201E2E7" w14:textId="3A1A2D94" w:rsidR="004C28D2" w:rsidRPr="004C28D2" w:rsidRDefault="004C28D2" w:rsidP="004C28D2">
      <w:pPr>
        <w:pStyle w:val="BodyText"/>
        <w:numPr>
          <w:ilvl w:val="0"/>
          <w:numId w:val="13"/>
        </w:numPr>
        <w:rPr>
          <w:i/>
        </w:rPr>
      </w:pPr>
      <w:r w:rsidRPr="004C28D2">
        <w:rPr>
          <w:i/>
        </w:rPr>
        <w:t xml:space="preserve">For PUSCH transmissions an </w:t>
      </w:r>
      <w:proofErr w:type="spellStart"/>
      <w:r w:rsidRPr="004C28D2">
        <w:rPr>
          <w:i/>
        </w:rPr>
        <w:t>bitfield</w:t>
      </w:r>
      <w:proofErr w:type="spellEnd"/>
      <w:r w:rsidRPr="004C28D2">
        <w:rPr>
          <w:i/>
        </w:rPr>
        <w:t xml:space="preserve"> of up to 3 bits is introduced in the DCI message to indicate which UL slot the PUSCH is transmitted within</w:t>
      </w:r>
    </w:p>
    <w:p w14:paraId="7272AF8D" w14:textId="6DFF4F72" w:rsidR="00123BF2" w:rsidRDefault="004605DB" w:rsidP="004605DB">
      <w:pPr>
        <w:pStyle w:val="Heading1"/>
      </w:pPr>
      <w:r>
        <w:t>Conclusion</w:t>
      </w:r>
    </w:p>
    <w:p w14:paraId="7697C432" w14:textId="180EB0C0" w:rsidR="004605DB" w:rsidRDefault="004605DB" w:rsidP="004605DB">
      <w:pPr>
        <w:pStyle w:val="BodyText"/>
      </w:pPr>
      <w:r>
        <w:t>In this contribution we discu</w:t>
      </w:r>
      <w:r w:rsidR="004C28D2">
        <w:t>ss the resource allocation of PU</w:t>
      </w:r>
      <w:r>
        <w:t>SCH in frequency domain and time domain. Based on the discussion we propose:</w:t>
      </w:r>
    </w:p>
    <w:p w14:paraId="26BF95F7" w14:textId="77777777" w:rsidR="004C28D2" w:rsidRDefault="004C28D2" w:rsidP="004C28D2">
      <w:pPr>
        <w:pStyle w:val="BodyText"/>
        <w:numPr>
          <w:ilvl w:val="0"/>
          <w:numId w:val="13"/>
        </w:numPr>
        <w:rPr>
          <w:i/>
        </w:rPr>
      </w:pPr>
      <w:r w:rsidRPr="00123BF2">
        <w:rPr>
          <w:i/>
        </w:rPr>
        <w:t xml:space="preserve">NR supports </w:t>
      </w:r>
      <w:r>
        <w:rPr>
          <w:i/>
        </w:rPr>
        <w:t xml:space="preserve">two </w:t>
      </w:r>
      <w:r w:rsidRPr="00123BF2">
        <w:rPr>
          <w:i/>
        </w:rPr>
        <w:t xml:space="preserve">resource allocation </w:t>
      </w:r>
      <w:r>
        <w:rPr>
          <w:i/>
        </w:rPr>
        <w:t>schemes</w:t>
      </w:r>
    </w:p>
    <w:p w14:paraId="1EE8DBBB" w14:textId="77777777" w:rsidR="004C28D2" w:rsidRDefault="004C28D2" w:rsidP="004C28D2">
      <w:pPr>
        <w:pStyle w:val="BodyText"/>
        <w:numPr>
          <w:ilvl w:val="1"/>
          <w:numId w:val="13"/>
        </w:numPr>
        <w:rPr>
          <w:i/>
        </w:rPr>
      </w:pPr>
      <w:r>
        <w:rPr>
          <w:i/>
        </w:rPr>
        <w:t xml:space="preserve">a scheme </w:t>
      </w:r>
      <w:proofErr w:type="gramStart"/>
      <w:r>
        <w:rPr>
          <w:i/>
        </w:rPr>
        <w:t>similar to</w:t>
      </w:r>
      <w:proofErr w:type="gramEnd"/>
      <w:r>
        <w:rPr>
          <w:i/>
        </w:rPr>
        <w:t xml:space="preserve"> type 2 in LTE</w:t>
      </w:r>
    </w:p>
    <w:p w14:paraId="664254D8" w14:textId="77777777" w:rsidR="004C28D2" w:rsidRPr="00123BF2" w:rsidRDefault="004C28D2" w:rsidP="004C28D2">
      <w:pPr>
        <w:pStyle w:val="BodyText"/>
        <w:numPr>
          <w:ilvl w:val="1"/>
          <w:numId w:val="13"/>
        </w:numPr>
        <w:rPr>
          <w:i/>
        </w:rPr>
      </w:pPr>
      <w:r>
        <w:rPr>
          <w:i/>
        </w:rPr>
        <w:t xml:space="preserve">a scheme with finer granularity for smaller allocations and coarser for larger allocations, </w:t>
      </w:r>
      <w:proofErr w:type="gramStart"/>
      <w:r>
        <w:rPr>
          <w:i/>
        </w:rPr>
        <w:t>similar to</w:t>
      </w:r>
      <w:proofErr w:type="gramEnd"/>
      <w:r>
        <w:rPr>
          <w:i/>
        </w:rPr>
        <w:t xml:space="preserve"> the example in Figure 2 </w:t>
      </w:r>
    </w:p>
    <w:p w14:paraId="5C11AF4F" w14:textId="08937CAF" w:rsidR="004C28D2" w:rsidRDefault="004C28D2" w:rsidP="004C28D2">
      <w:pPr>
        <w:pStyle w:val="BodyText"/>
        <w:numPr>
          <w:ilvl w:val="0"/>
          <w:numId w:val="13"/>
        </w:numPr>
        <w:rPr>
          <w:i/>
        </w:rPr>
      </w:pPr>
      <w:r>
        <w:rPr>
          <w:i/>
        </w:rPr>
        <w:t>The DCI contains a</w:t>
      </w:r>
      <w:r w:rsidRPr="00123BF2">
        <w:rPr>
          <w:i/>
        </w:rPr>
        <w:t xml:space="preserve"> </w:t>
      </w:r>
      <w:proofErr w:type="spellStart"/>
      <w:r w:rsidRPr="00123BF2">
        <w:rPr>
          <w:i/>
        </w:rPr>
        <w:t>bitfield</w:t>
      </w:r>
      <w:proofErr w:type="spellEnd"/>
      <w:r w:rsidRPr="00123BF2">
        <w:rPr>
          <w:i/>
        </w:rPr>
        <w:t xml:space="preserve"> that </w:t>
      </w:r>
      <w:r>
        <w:rPr>
          <w:i/>
        </w:rPr>
        <w:t xml:space="preserve">(together with RRC configuration) </w:t>
      </w:r>
      <w:r w:rsidRPr="00123BF2">
        <w:rPr>
          <w:i/>
        </w:rPr>
        <w:t>define</w:t>
      </w:r>
      <w:r>
        <w:rPr>
          <w:i/>
        </w:rPr>
        <w:t>s</w:t>
      </w:r>
      <w:r w:rsidRPr="00123BF2">
        <w:rPr>
          <w:i/>
        </w:rPr>
        <w:t xml:space="preserve"> </w:t>
      </w:r>
      <w:r>
        <w:rPr>
          <w:i/>
        </w:rPr>
        <w:t>the</w:t>
      </w:r>
      <w:r w:rsidRPr="00123BF2">
        <w:rPr>
          <w:i/>
        </w:rPr>
        <w:t xml:space="preserve"> starting and end OFDM symbol within a slot.</w:t>
      </w:r>
    </w:p>
    <w:p w14:paraId="6362A641" w14:textId="77777777" w:rsidR="004C28D2" w:rsidRDefault="004C28D2" w:rsidP="004C28D2">
      <w:pPr>
        <w:pStyle w:val="BodyText"/>
        <w:numPr>
          <w:ilvl w:val="0"/>
          <w:numId w:val="13"/>
        </w:numPr>
        <w:rPr>
          <w:i/>
        </w:rPr>
      </w:pPr>
      <w:r>
        <w:rPr>
          <w:i/>
        </w:rPr>
        <w:t>Slot aggregation is part of the general signaling scheme of data ending position.</w:t>
      </w:r>
    </w:p>
    <w:p w14:paraId="1D230424" w14:textId="5A168D48" w:rsidR="004C28D2" w:rsidRPr="004C28D2" w:rsidRDefault="004C28D2" w:rsidP="004C28D2">
      <w:pPr>
        <w:pStyle w:val="BodyText"/>
        <w:numPr>
          <w:ilvl w:val="0"/>
          <w:numId w:val="13"/>
        </w:numPr>
        <w:rPr>
          <w:i/>
        </w:rPr>
      </w:pPr>
      <w:r w:rsidRPr="004C28D2">
        <w:rPr>
          <w:i/>
        </w:rPr>
        <w:t xml:space="preserve">For PUSCH transmissions an </w:t>
      </w:r>
      <w:proofErr w:type="spellStart"/>
      <w:r w:rsidRPr="004C28D2">
        <w:rPr>
          <w:i/>
        </w:rPr>
        <w:t>bitfield</w:t>
      </w:r>
      <w:proofErr w:type="spellEnd"/>
      <w:r w:rsidRPr="004C28D2">
        <w:rPr>
          <w:i/>
        </w:rPr>
        <w:t xml:space="preserve"> of up to 3 bits is introduced in the DCI message to indicate which UL slot the PUSCH is transmitted within</w:t>
      </w:r>
    </w:p>
    <w:p w14:paraId="175ED9B7" w14:textId="0584EEEF" w:rsidR="004605DB" w:rsidRPr="004605DB" w:rsidRDefault="004605DB" w:rsidP="00B90906">
      <w:pPr>
        <w:pStyle w:val="BodyText"/>
      </w:pPr>
    </w:p>
    <w:sectPr w:rsidR="004605DB" w:rsidRPr="004605D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E73B2D" w14:textId="77777777" w:rsidR="007F0F33" w:rsidRDefault="007F0F33">
      <w:r>
        <w:separator/>
      </w:r>
    </w:p>
  </w:endnote>
  <w:endnote w:type="continuationSeparator" w:id="0">
    <w:p w14:paraId="19C6E12E" w14:textId="77777777" w:rsidR="007F0F33" w:rsidRDefault="007F0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ECCE0E" w14:textId="77777777" w:rsidR="007F0F33" w:rsidRDefault="007F0F33">
      <w:r>
        <w:separator/>
      </w:r>
    </w:p>
  </w:footnote>
  <w:footnote w:type="continuationSeparator" w:id="0">
    <w:p w14:paraId="392936C9" w14:textId="77777777" w:rsidR="007F0F33" w:rsidRDefault="007F0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2151F" w14:textId="77777777" w:rsidR="004D4F57" w:rsidRDefault="007F0F33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03E47"/>
    <w:multiLevelType w:val="hybridMultilevel"/>
    <w:tmpl w:val="A78E94E8"/>
    <w:lvl w:ilvl="0" w:tplc="05E2E8B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712D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E1041E"/>
    <w:multiLevelType w:val="hybridMultilevel"/>
    <w:tmpl w:val="2F760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15D88"/>
    <w:multiLevelType w:val="hybridMultilevel"/>
    <w:tmpl w:val="FD925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45018"/>
    <w:multiLevelType w:val="hybridMultilevel"/>
    <w:tmpl w:val="D5163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BB7CBD"/>
    <w:multiLevelType w:val="hybridMultilevel"/>
    <w:tmpl w:val="59D0D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81F0BF0"/>
    <w:multiLevelType w:val="hybridMultilevel"/>
    <w:tmpl w:val="4DBC9022"/>
    <w:lvl w:ilvl="0" w:tplc="0C36D7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F63946"/>
    <w:multiLevelType w:val="hybridMultilevel"/>
    <w:tmpl w:val="6F104076"/>
    <w:lvl w:ilvl="0" w:tplc="478C23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D3124C"/>
    <w:multiLevelType w:val="hybridMultilevel"/>
    <w:tmpl w:val="44ACF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F200C3"/>
    <w:multiLevelType w:val="hybridMultilevel"/>
    <w:tmpl w:val="AD808828"/>
    <w:lvl w:ilvl="0" w:tplc="0C36D7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8B16B8"/>
    <w:multiLevelType w:val="hybridMultilevel"/>
    <w:tmpl w:val="5AD4DD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3" w15:restartNumberingAfterBreak="0">
    <w:nsid w:val="7E252B1E"/>
    <w:multiLevelType w:val="hybridMultilevel"/>
    <w:tmpl w:val="C7720C06"/>
    <w:lvl w:ilvl="0" w:tplc="B73C2B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5A55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F81F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8E05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4859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722C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D0AC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F65F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1ACF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0"/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9"/>
  </w:num>
  <w:num w:numId="8">
    <w:abstractNumId w:val="13"/>
  </w:num>
  <w:num w:numId="9">
    <w:abstractNumId w:val="1"/>
  </w:num>
  <w:num w:numId="10">
    <w:abstractNumId w:val="0"/>
  </w:num>
  <w:num w:numId="11">
    <w:abstractNumId w:val="3"/>
  </w:num>
  <w:num w:numId="12">
    <w:abstractNumId w:val="8"/>
  </w:num>
  <w:num w:numId="13">
    <w:abstractNumId w:val="11"/>
  </w:num>
  <w:num w:numId="14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13924"/>
    <w:rsid w:val="000217F8"/>
    <w:rsid w:val="00037C51"/>
    <w:rsid w:val="00041947"/>
    <w:rsid w:val="0004251E"/>
    <w:rsid w:val="00055C3F"/>
    <w:rsid w:val="00056F8C"/>
    <w:rsid w:val="00067BDA"/>
    <w:rsid w:val="0009038A"/>
    <w:rsid w:val="00093C82"/>
    <w:rsid w:val="000944E4"/>
    <w:rsid w:val="000A258F"/>
    <w:rsid w:val="000A4E5A"/>
    <w:rsid w:val="000A6F3B"/>
    <w:rsid w:val="000A74B8"/>
    <w:rsid w:val="000B1C00"/>
    <w:rsid w:val="000C02AC"/>
    <w:rsid w:val="0010025E"/>
    <w:rsid w:val="00100D02"/>
    <w:rsid w:val="001018DF"/>
    <w:rsid w:val="001027FF"/>
    <w:rsid w:val="00112E18"/>
    <w:rsid w:val="00113113"/>
    <w:rsid w:val="00114B6A"/>
    <w:rsid w:val="00120E84"/>
    <w:rsid w:val="00123BF2"/>
    <w:rsid w:val="00126993"/>
    <w:rsid w:val="00141448"/>
    <w:rsid w:val="00142260"/>
    <w:rsid w:val="0017310F"/>
    <w:rsid w:val="00175D32"/>
    <w:rsid w:val="00191E60"/>
    <w:rsid w:val="001B4110"/>
    <w:rsid w:val="001C5CE9"/>
    <w:rsid w:val="001D5808"/>
    <w:rsid w:val="001D64C5"/>
    <w:rsid w:val="002029F5"/>
    <w:rsid w:val="00205AF2"/>
    <w:rsid w:val="00210105"/>
    <w:rsid w:val="0021013F"/>
    <w:rsid w:val="00214784"/>
    <w:rsid w:val="002164B0"/>
    <w:rsid w:val="0023314F"/>
    <w:rsid w:val="0025780D"/>
    <w:rsid w:val="002634F0"/>
    <w:rsid w:val="00264D4E"/>
    <w:rsid w:val="0028437F"/>
    <w:rsid w:val="00290099"/>
    <w:rsid w:val="00290F9F"/>
    <w:rsid w:val="002B139C"/>
    <w:rsid w:val="002B5439"/>
    <w:rsid w:val="002C0453"/>
    <w:rsid w:val="002C3A4F"/>
    <w:rsid w:val="002D0AB6"/>
    <w:rsid w:val="002E6A70"/>
    <w:rsid w:val="00304706"/>
    <w:rsid w:val="0031422F"/>
    <w:rsid w:val="00343A18"/>
    <w:rsid w:val="00350180"/>
    <w:rsid w:val="00361CA8"/>
    <w:rsid w:val="00363390"/>
    <w:rsid w:val="003875A3"/>
    <w:rsid w:val="003A1F9F"/>
    <w:rsid w:val="003A3E47"/>
    <w:rsid w:val="003B5644"/>
    <w:rsid w:val="003B5D67"/>
    <w:rsid w:val="003C040C"/>
    <w:rsid w:val="003E210E"/>
    <w:rsid w:val="003E2560"/>
    <w:rsid w:val="004067C0"/>
    <w:rsid w:val="004165C9"/>
    <w:rsid w:val="004217B5"/>
    <w:rsid w:val="00422F7B"/>
    <w:rsid w:val="00437ACB"/>
    <w:rsid w:val="004605DB"/>
    <w:rsid w:val="004837C7"/>
    <w:rsid w:val="00492A78"/>
    <w:rsid w:val="004B57FD"/>
    <w:rsid w:val="004C28D2"/>
    <w:rsid w:val="004C321E"/>
    <w:rsid w:val="004C4387"/>
    <w:rsid w:val="004D7360"/>
    <w:rsid w:val="004E70DB"/>
    <w:rsid w:val="00511453"/>
    <w:rsid w:val="00525831"/>
    <w:rsid w:val="00525911"/>
    <w:rsid w:val="005260BE"/>
    <w:rsid w:val="005278F6"/>
    <w:rsid w:val="00537B4C"/>
    <w:rsid w:val="0054164C"/>
    <w:rsid w:val="00541E43"/>
    <w:rsid w:val="00543494"/>
    <w:rsid w:val="0054555D"/>
    <w:rsid w:val="0055264E"/>
    <w:rsid w:val="00554025"/>
    <w:rsid w:val="0056282E"/>
    <w:rsid w:val="00566F92"/>
    <w:rsid w:val="00570BCE"/>
    <w:rsid w:val="00580D67"/>
    <w:rsid w:val="00587AD2"/>
    <w:rsid w:val="00594C69"/>
    <w:rsid w:val="005A09D5"/>
    <w:rsid w:val="005A0E80"/>
    <w:rsid w:val="005A2873"/>
    <w:rsid w:val="005A4D1F"/>
    <w:rsid w:val="005B0522"/>
    <w:rsid w:val="005C439D"/>
    <w:rsid w:val="005D67F9"/>
    <w:rsid w:val="005E0AF0"/>
    <w:rsid w:val="005E2BCF"/>
    <w:rsid w:val="005F078C"/>
    <w:rsid w:val="005F57CF"/>
    <w:rsid w:val="0060203F"/>
    <w:rsid w:val="0061336B"/>
    <w:rsid w:val="0062673F"/>
    <w:rsid w:val="006348C5"/>
    <w:rsid w:val="00636F01"/>
    <w:rsid w:val="0064164A"/>
    <w:rsid w:val="00643A16"/>
    <w:rsid w:val="006549E5"/>
    <w:rsid w:val="006556BF"/>
    <w:rsid w:val="00665E2A"/>
    <w:rsid w:val="00670FD9"/>
    <w:rsid w:val="0069218D"/>
    <w:rsid w:val="006A286A"/>
    <w:rsid w:val="006B271B"/>
    <w:rsid w:val="006E0D45"/>
    <w:rsid w:val="00705578"/>
    <w:rsid w:val="00714D20"/>
    <w:rsid w:val="00726A12"/>
    <w:rsid w:val="00726C96"/>
    <w:rsid w:val="00741E68"/>
    <w:rsid w:val="007506C7"/>
    <w:rsid w:val="0075384C"/>
    <w:rsid w:val="007563CC"/>
    <w:rsid w:val="007569CA"/>
    <w:rsid w:val="00756D81"/>
    <w:rsid w:val="00762DF4"/>
    <w:rsid w:val="0076348D"/>
    <w:rsid w:val="00765485"/>
    <w:rsid w:val="00777330"/>
    <w:rsid w:val="0078188B"/>
    <w:rsid w:val="007A018A"/>
    <w:rsid w:val="007A01C0"/>
    <w:rsid w:val="007C217E"/>
    <w:rsid w:val="007C7C69"/>
    <w:rsid w:val="007E2C96"/>
    <w:rsid w:val="007F0F33"/>
    <w:rsid w:val="007F3F65"/>
    <w:rsid w:val="00815566"/>
    <w:rsid w:val="008302A2"/>
    <w:rsid w:val="0083401B"/>
    <w:rsid w:val="00834DE7"/>
    <w:rsid w:val="0083689E"/>
    <w:rsid w:val="00841BE8"/>
    <w:rsid w:val="00843FE9"/>
    <w:rsid w:val="00854EA0"/>
    <w:rsid w:val="0086087F"/>
    <w:rsid w:val="00870D9D"/>
    <w:rsid w:val="008739DF"/>
    <w:rsid w:val="008A0B64"/>
    <w:rsid w:val="008A3AF2"/>
    <w:rsid w:val="008B1B81"/>
    <w:rsid w:val="008B23D4"/>
    <w:rsid w:val="008B38BA"/>
    <w:rsid w:val="008D1E1F"/>
    <w:rsid w:val="008D623F"/>
    <w:rsid w:val="008E31D2"/>
    <w:rsid w:val="008E7AA2"/>
    <w:rsid w:val="008F77A7"/>
    <w:rsid w:val="0091488F"/>
    <w:rsid w:val="00944B89"/>
    <w:rsid w:val="0096027F"/>
    <w:rsid w:val="00973F8C"/>
    <w:rsid w:val="0097401A"/>
    <w:rsid w:val="00977B9E"/>
    <w:rsid w:val="009A20D0"/>
    <w:rsid w:val="009A6BB8"/>
    <w:rsid w:val="009B2E48"/>
    <w:rsid w:val="009C60EA"/>
    <w:rsid w:val="009D3405"/>
    <w:rsid w:val="009E70EF"/>
    <w:rsid w:val="009F0F87"/>
    <w:rsid w:val="009F4079"/>
    <w:rsid w:val="00A04388"/>
    <w:rsid w:val="00A2540F"/>
    <w:rsid w:val="00A3059E"/>
    <w:rsid w:val="00A37001"/>
    <w:rsid w:val="00A41E84"/>
    <w:rsid w:val="00A47015"/>
    <w:rsid w:val="00A57560"/>
    <w:rsid w:val="00A677A0"/>
    <w:rsid w:val="00A7428A"/>
    <w:rsid w:val="00A757B8"/>
    <w:rsid w:val="00A808F6"/>
    <w:rsid w:val="00A81AA1"/>
    <w:rsid w:val="00A81EFF"/>
    <w:rsid w:val="00A85E54"/>
    <w:rsid w:val="00A93AEC"/>
    <w:rsid w:val="00AA0A42"/>
    <w:rsid w:val="00AA13EF"/>
    <w:rsid w:val="00AA7952"/>
    <w:rsid w:val="00AB6372"/>
    <w:rsid w:val="00AC2A5F"/>
    <w:rsid w:val="00AD5F57"/>
    <w:rsid w:val="00AE3947"/>
    <w:rsid w:val="00AE7A97"/>
    <w:rsid w:val="00B00FDB"/>
    <w:rsid w:val="00B13F5D"/>
    <w:rsid w:val="00B20FBD"/>
    <w:rsid w:val="00B34FDB"/>
    <w:rsid w:val="00B368D9"/>
    <w:rsid w:val="00B36A08"/>
    <w:rsid w:val="00B40EEE"/>
    <w:rsid w:val="00B42F5C"/>
    <w:rsid w:val="00B52C5F"/>
    <w:rsid w:val="00B5516A"/>
    <w:rsid w:val="00B63298"/>
    <w:rsid w:val="00B71997"/>
    <w:rsid w:val="00B76990"/>
    <w:rsid w:val="00B8400F"/>
    <w:rsid w:val="00B85DCB"/>
    <w:rsid w:val="00B90906"/>
    <w:rsid w:val="00BA2CDD"/>
    <w:rsid w:val="00BA3D9B"/>
    <w:rsid w:val="00BA76BC"/>
    <w:rsid w:val="00BB1332"/>
    <w:rsid w:val="00BD2350"/>
    <w:rsid w:val="00BF7E13"/>
    <w:rsid w:val="00C04B3F"/>
    <w:rsid w:val="00C073DB"/>
    <w:rsid w:val="00C13452"/>
    <w:rsid w:val="00C1560A"/>
    <w:rsid w:val="00C325A2"/>
    <w:rsid w:val="00C326A6"/>
    <w:rsid w:val="00C50B3C"/>
    <w:rsid w:val="00C55346"/>
    <w:rsid w:val="00C61496"/>
    <w:rsid w:val="00C733A5"/>
    <w:rsid w:val="00C76E90"/>
    <w:rsid w:val="00C928DF"/>
    <w:rsid w:val="00C93774"/>
    <w:rsid w:val="00CB4D3D"/>
    <w:rsid w:val="00CB6DB2"/>
    <w:rsid w:val="00CE02E7"/>
    <w:rsid w:val="00CE1E70"/>
    <w:rsid w:val="00CE28B2"/>
    <w:rsid w:val="00CE3E00"/>
    <w:rsid w:val="00CE4E11"/>
    <w:rsid w:val="00CE7F2E"/>
    <w:rsid w:val="00CF2225"/>
    <w:rsid w:val="00CF67BE"/>
    <w:rsid w:val="00CF7534"/>
    <w:rsid w:val="00D02349"/>
    <w:rsid w:val="00D03119"/>
    <w:rsid w:val="00D04257"/>
    <w:rsid w:val="00D11960"/>
    <w:rsid w:val="00D130A3"/>
    <w:rsid w:val="00D23CBA"/>
    <w:rsid w:val="00D305D6"/>
    <w:rsid w:val="00D338CE"/>
    <w:rsid w:val="00D350E3"/>
    <w:rsid w:val="00D4461D"/>
    <w:rsid w:val="00D516DD"/>
    <w:rsid w:val="00D63209"/>
    <w:rsid w:val="00D650BD"/>
    <w:rsid w:val="00D701A0"/>
    <w:rsid w:val="00D83B62"/>
    <w:rsid w:val="00DA110D"/>
    <w:rsid w:val="00DB3BC8"/>
    <w:rsid w:val="00DC085D"/>
    <w:rsid w:val="00DD1935"/>
    <w:rsid w:val="00DD4245"/>
    <w:rsid w:val="00DD48EB"/>
    <w:rsid w:val="00DE3421"/>
    <w:rsid w:val="00DE5946"/>
    <w:rsid w:val="00DE63BC"/>
    <w:rsid w:val="00DF49ED"/>
    <w:rsid w:val="00DF6135"/>
    <w:rsid w:val="00DF71DB"/>
    <w:rsid w:val="00DF762C"/>
    <w:rsid w:val="00E0407B"/>
    <w:rsid w:val="00E13BDA"/>
    <w:rsid w:val="00E220C0"/>
    <w:rsid w:val="00E30E59"/>
    <w:rsid w:val="00E31041"/>
    <w:rsid w:val="00E45EB0"/>
    <w:rsid w:val="00E57CED"/>
    <w:rsid w:val="00E63D88"/>
    <w:rsid w:val="00E83054"/>
    <w:rsid w:val="00EA148A"/>
    <w:rsid w:val="00EA172F"/>
    <w:rsid w:val="00EA1984"/>
    <w:rsid w:val="00EA479A"/>
    <w:rsid w:val="00EC61BE"/>
    <w:rsid w:val="00EC76D4"/>
    <w:rsid w:val="00EE478D"/>
    <w:rsid w:val="00EF4B30"/>
    <w:rsid w:val="00F0587F"/>
    <w:rsid w:val="00F21365"/>
    <w:rsid w:val="00F24DDE"/>
    <w:rsid w:val="00F302D9"/>
    <w:rsid w:val="00F37D49"/>
    <w:rsid w:val="00F4190F"/>
    <w:rsid w:val="00F47068"/>
    <w:rsid w:val="00F477CE"/>
    <w:rsid w:val="00F51EB4"/>
    <w:rsid w:val="00F87832"/>
    <w:rsid w:val="00F95D74"/>
    <w:rsid w:val="00FA3B0E"/>
    <w:rsid w:val="00FB04C4"/>
    <w:rsid w:val="00FB0908"/>
    <w:rsid w:val="00FB1B57"/>
    <w:rsid w:val="00FD27E7"/>
    <w:rsid w:val="00FD4D0F"/>
    <w:rsid w:val="00FD6BED"/>
    <w:rsid w:val="00FE304E"/>
    <w:rsid w:val="00FE5799"/>
    <w:rsid w:val="00FE6E6F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AA56094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556BF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556BF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0347">
          <w:marLeft w:val="72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27587-796B-4894-9FAF-2126B52A7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1193</Words>
  <Characters>6329</Characters>
  <Application>Microsoft Office Word</Application>
  <DocSecurity>0</DocSecurity>
  <Lines>52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7507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Sorour Falahati</cp:lastModifiedBy>
  <cp:revision>14</cp:revision>
  <cp:lastPrinted>2017-03-14T12:16:00Z</cp:lastPrinted>
  <dcterms:created xsi:type="dcterms:W3CDTF">2017-05-04T11:18:00Z</dcterms:created>
  <dcterms:modified xsi:type="dcterms:W3CDTF">2017-05-06T12:45:00Z</dcterms:modified>
</cp:coreProperties>
</file>