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CE1C6" w14:textId="77777777" w:rsidR="008237A2" w:rsidRDefault="008237A2" w:rsidP="00C07E87">
      <w:pPr>
        <w:pStyle w:val="3GPPHeader"/>
        <w:spacing w:after="60"/>
      </w:pPr>
    </w:p>
    <w:p w14:paraId="79D618B3" w14:textId="77777777" w:rsidR="00706C61" w:rsidRDefault="00706C61" w:rsidP="00706C61">
      <w:pPr>
        <w:pStyle w:val="3GPPHeader"/>
      </w:pPr>
    </w:p>
    <w:p w14:paraId="257E7355" w14:textId="459A67DC" w:rsidR="00706C61" w:rsidRPr="00327997" w:rsidRDefault="00706C61" w:rsidP="00706C61">
      <w:pPr>
        <w:pStyle w:val="3GPPHeader"/>
        <w:rPr>
          <w:highlight w:val="yellow"/>
        </w:rPr>
      </w:pPr>
      <w:r w:rsidRPr="00327997">
        <w:t>3GPP TSG-RAN WG1</w:t>
      </w:r>
      <w:r w:rsidR="0073321A">
        <w:t xml:space="preserve"> Meeting#89</w:t>
      </w:r>
      <w:r w:rsidRPr="00327997">
        <w:tab/>
      </w:r>
      <w:r w:rsidRPr="00147CE6">
        <w:t>R1-17</w:t>
      </w:r>
      <w:r w:rsidR="0073321A">
        <w:t>09076</w:t>
      </w:r>
    </w:p>
    <w:p w14:paraId="7F1B3CE5" w14:textId="086C99D8" w:rsidR="00706C61" w:rsidRDefault="0073321A" w:rsidP="00706C61">
      <w:pPr>
        <w:pStyle w:val="3GPPHeader"/>
      </w:pPr>
      <w:r>
        <w:t>Hangzhou, China, 15</w:t>
      </w:r>
      <w:r w:rsidR="00706C61" w:rsidRPr="00A85C6C">
        <w:rPr>
          <w:vertAlign w:val="superscript"/>
        </w:rPr>
        <w:t>th</w:t>
      </w:r>
      <w:r w:rsidR="00706C61">
        <w:t xml:space="preserve"> </w:t>
      </w:r>
      <w:r w:rsidR="00706C61" w:rsidRPr="009C6832">
        <w:t xml:space="preserve">– </w:t>
      </w:r>
      <w:r>
        <w:t>19</w:t>
      </w:r>
      <w:r w:rsidR="00706C61" w:rsidRPr="00A85C6C">
        <w:rPr>
          <w:vertAlign w:val="superscript"/>
        </w:rPr>
        <w:t>th</w:t>
      </w:r>
      <w:r>
        <w:t xml:space="preserve"> May</w:t>
      </w:r>
      <w:r w:rsidR="00706C61" w:rsidRPr="009C6832">
        <w:t>, 20</w:t>
      </w:r>
      <w:r w:rsidR="00706C61">
        <w:t>17</w:t>
      </w:r>
    </w:p>
    <w:p w14:paraId="04B6C64A" w14:textId="77777777" w:rsidR="00706C61" w:rsidRDefault="00706C61" w:rsidP="00C07E87">
      <w:pPr>
        <w:pStyle w:val="3GPPHeader"/>
        <w:rPr>
          <w:sz w:val="22"/>
          <w:szCs w:val="22"/>
        </w:rPr>
      </w:pPr>
    </w:p>
    <w:p w14:paraId="293CC8DE" w14:textId="10AC0564"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73321A">
        <w:rPr>
          <w:sz w:val="22"/>
          <w:szCs w:val="22"/>
        </w:rPr>
        <w:t>7</w:t>
      </w:r>
      <w:r w:rsidR="00AE553B" w:rsidRPr="00AE553B">
        <w:rPr>
          <w:sz w:val="22"/>
          <w:szCs w:val="22"/>
        </w:rPr>
        <w:t>.1.3.1.</w:t>
      </w:r>
      <w:r w:rsidR="007368AF">
        <w:rPr>
          <w:sz w:val="22"/>
          <w:szCs w:val="22"/>
        </w:rPr>
        <w:t>5</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42DD85BA"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On ‘Group Common PDCCH’</w:t>
      </w:r>
      <w:r w:rsidR="00322282">
        <w:rPr>
          <w:sz w:val="22"/>
          <w:szCs w:val="22"/>
        </w:rPr>
        <w:t xml:space="preserve"> Structure</w:t>
      </w:r>
      <w:r w:rsidR="00B646F3">
        <w:rPr>
          <w:sz w:val="22"/>
          <w:szCs w:val="22"/>
        </w:rPr>
        <w:t xml:space="preserve"> and Configuration</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2ABD5B08" w14:textId="1B9EBC14" w:rsidR="00706C61" w:rsidRDefault="00706C61" w:rsidP="00BE3726">
      <w:pPr>
        <w:pStyle w:val="BodyText"/>
        <w:rPr>
          <w:rFonts w:eastAsia="MS Mincho"/>
          <w:lang w:eastAsia="ja-JP"/>
        </w:rPr>
      </w:pPr>
      <w:r>
        <w:rPr>
          <w:rFonts w:cs="Arial"/>
        </w:rPr>
        <w:t xml:space="preserve">The </w:t>
      </w:r>
      <w:r w:rsidRPr="002F4C18">
        <w:rPr>
          <w:rFonts w:cs="Arial"/>
          <w:b/>
        </w:rPr>
        <w:t>NR Study Item</w:t>
      </w:r>
      <w:r>
        <w:rPr>
          <w:rFonts w:cs="Arial"/>
        </w:rPr>
        <w:t xml:space="preserve"> was completed and closed in RAN plenary meeting#75 where the TR 38.802 was approved and is available in </w:t>
      </w:r>
      <w:r>
        <w:rPr>
          <w:rFonts w:cs="Arial"/>
        </w:rPr>
        <w:fldChar w:fldCharType="begin"/>
      </w:r>
      <w:r>
        <w:rPr>
          <w:rFonts w:cs="Arial"/>
        </w:rPr>
        <w:instrText xml:space="preserve"> REF _Ref477803323 \r \h </w:instrText>
      </w:r>
      <w:r>
        <w:rPr>
          <w:rFonts w:cs="Arial"/>
        </w:rPr>
      </w:r>
      <w:r>
        <w:rPr>
          <w:rFonts w:cs="Arial"/>
        </w:rPr>
        <w:fldChar w:fldCharType="separate"/>
      </w:r>
      <w:r w:rsidR="00147CE6">
        <w:rPr>
          <w:rFonts w:cs="Arial"/>
        </w:rPr>
        <w:t>[1]</w:t>
      </w:r>
      <w:r>
        <w:rPr>
          <w:rFonts w:cs="Arial"/>
        </w:rPr>
        <w:fldChar w:fldCharType="end"/>
      </w:r>
      <w:r>
        <w:rPr>
          <w:rFonts w:cs="Arial"/>
        </w:rPr>
        <w:t xml:space="preserve">. The </w:t>
      </w:r>
      <w:r w:rsidRPr="002F4C18">
        <w:rPr>
          <w:rFonts w:cs="Arial"/>
          <w:b/>
        </w:rPr>
        <w:t>NR Work Item</w:t>
      </w:r>
      <w:r>
        <w:rPr>
          <w:rFonts w:cs="Arial"/>
        </w:rPr>
        <w:t xml:space="preserve"> </w:t>
      </w:r>
      <w:r w:rsidR="0073321A">
        <w:rPr>
          <w:rFonts w:cs="Arial"/>
        </w:rPr>
        <w:t>was also</w:t>
      </w:r>
      <w:r w:rsidRPr="00F600E4">
        <w:rPr>
          <w:rFonts w:cs="Arial"/>
        </w:rPr>
        <w:t xml:space="preserve"> approved in </w:t>
      </w:r>
      <w:r w:rsidRPr="00F600E4">
        <w:rPr>
          <w:rFonts w:cs="Arial"/>
        </w:rPr>
        <w:fldChar w:fldCharType="begin"/>
      </w:r>
      <w:r w:rsidRPr="008116DC">
        <w:rPr>
          <w:rFonts w:cs="Arial"/>
        </w:rPr>
        <w:instrText xml:space="preserve"> REF _Ref477803338 \n \h </w:instrText>
      </w:r>
      <w:r>
        <w:rPr>
          <w:rFonts w:cs="Arial"/>
        </w:rPr>
        <w:instrText xml:space="preserve"> \* MERGEFORMAT </w:instrText>
      </w:r>
      <w:r w:rsidRPr="00F600E4">
        <w:rPr>
          <w:rFonts w:cs="Arial"/>
        </w:rPr>
      </w:r>
      <w:r w:rsidRPr="00F600E4">
        <w:rPr>
          <w:rFonts w:cs="Arial"/>
        </w:rPr>
        <w:fldChar w:fldCharType="separate"/>
      </w:r>
      <w:r w:rsidR="00147CE6">
        <w:rPr>
          <w:rFonts w:cs="Arial"/>
        </w:rPr>
        <w:t>[2]</w:t>
      </w:r>
      <w:r w:rsidRPr="00F600E4">
        <w:rPr>
          <w:rFonts w:cs="Arial"/>
        </w:rPr>
        <w:fldChar w:fldCharType="end"/>
      </w:r>
      <w:r w:rsidRPr="00F600E4">
        <w:rPr>
          <w:rFonts w:cs="Arial"/>
        </w:rPr>
        <w:t xml:space="preserve"> where t</w:t>
      </w:r>
      <w:r w:rsidRPr="008116DC">
        <w:rPr>
          <w:rFonts w:cs="Arial"/>
        </w:rPr>
        <w:t xml:space="preserve">he WI targets to meet both eMBB and URLLC related 5G requirements in Rel-15. </w:t>
      </w:r>
      <w:r w:rsidRPr="008116DC">
        <w:t>The design of DL control channel is an essential part of the WI</w:t>
      </w:r>
      <w:r w:rsidR="00B63302">
        <w:t>.</w:t>
      </w:r>
    </w:p>
    <w:p w14:paraId="6AE3F4F5" w14:textId="47BAF71F" w:rsidR="00F4764A" w:rsidRPr="002B5943" w:rsidRDefault="00EA38BD" w:rsidP="00BE3726">
      <w:pPr>
        <w:pStyle w:val="BodyText"/>
        <w:rPr>
          <w:rFonts w:eastAsia="MS Mincho"/>
          <w:lang w:eastAsia="ja-JP"/>
        </w:rPr>
      </w:pPr>
      <w:r w:rsidRPr="002B5943">
        <w:rPr>
          <w:rFonts w:eastAsia="MS Mincho"/>
          <w:lang w:eastAsia="ja-JP"/>
        </w:rPr>
        <w:t>In previous meeting</w:t>
      </w:r>
      <w:r w:rsidR="00F11E74">
        <w:rPr>
          <w:rFonts w:eastAsia="MS Mincho"/>
          <w:lang w:eastAsia="ja-JP"/>
        </w:rPr>
        <w:t>s</w:t>
      </w:r>
      <w:r w:rsidR="00FB705D" w:rsidRPr="002B5943">
        <w:rPr>
          <w:rFonts w:eastAsia="MS Mincho"/>
          <w:lang w:eastAsia="ja-JP"/>
        </w:rPr>
        <w:t xml:space="preserve">, the need </w:t>
      </w:r>
      <w:r w:rsidR="00FB705D">
        <w:rPr>
          <w:rFonts w:eastAsia="MS Mincho"/>
          <w:lang w:eastAsia="ja-JP"/>
        </w:rPr>
        <w:t xml:space="preserve">and </w:t>
      </w:r>
      <w:r w:rsidR="00924D26">
        <w:rPr>
          <w:rFonts w:eastAsia="MS Mincho"/>
          <w:lang w:eastAsia="ja-JP"/>
        </w:rPr>
        <w:t xml:space="preserve">corresponding </w:t>
      </w:r>
      <w:r w:rsidR="00FB705D">
        <w:rPr>
          <w:rFonts w:eastAsia="MS Mincho"/>
          <w:lang w:eastAsia="ja-JP"/>
        </w:rPr>
        <w:t>issues for</w:t>
      </w:r>
      <w:r w:rsidR="00FB705D" w:rsidRPr="002B5943">
        <w:rPr>
          <w:rFonts w:eastAsia="MS Mincho"/>
          <w:lang w:eastAsia="ja-JP"/>
        </w:rPr>
        <w:t xml:space="preserve"> </w:t>
      </w:r>
      <w:r w:rsidR="00924D26">
        <w:rPr>
          <w:rFonts w:eastAsia="MS Mincho"/>
          <w:lang w:eastAsia="ja-JP"/>
        </w:rPr>
        <w:t xml:space="preserve">supporting a </w:t>
      </w:r>
      <w:r w:rsidR="00FB705D">
        <w:rPr>
          <w:rFonts w:eastAsia="MS Mincho"/>
          <w:lang w:eastAsia="ja-JP"/>
        </w:rPr>
        <w:t xml:space="preserve">physical L1/L2 </w:t>
      </w:r>
      <w:r w:rsidR="00FB705D" w:rsidRPr="00FB705D">
        <w:rPr>
          <w:rFonts w:eastAsia="MS Mincho"/>
          <w:lang w:eastAsia="ja-JP"/>
        </w:rPr>
        <w:t>br</w:t>
      </w:r>
      <w:r w:rsidR="00FB705D" w:rsidRPr="002B5943">
        <w:rPr>
          <w:rFonts w:eastAsia="MS Mincho"/>
          <w:lang w:eastAsia="ja-JP"/>
        </w:rPr>
        <w:t>o</w:t>
      </w:r>
      <w:r w:rsidR="00FB705D">
        <w:rPr>
          <w:rFonts w:eastAsia="MS Mincho"/>
          <w:lang w:eastAsia="ja-JP"/>
        </w:rPr>
        <w:t>a</w:t>
      </w:r>
      <w:r w:rsidR="00FB705D" w:rsidRPr="002B5943">
        <w:rPr>
          <w:rFonts w:eastAsia="MS Mincho"/>
          <w:lang w:eastAsia="ja-JP"/>
        </w:rPr>
        <w:t>dcast channel were</w:t>
      </w:r>
      <w:r w:rsidR="00FB705D">
        <w:rPr>
          <w:rFonts w:eastAsia="MS Mincho"/>
          <w:lang w:eastAsia="ja-JP"/>
        </w:rPr>
        <w:t xml:space="preserve"> discussed</w:t>
      </w:r>
      <w:r w:rsidR="0029606A">
        <w:rPr>
          <w:rFonts w:eastAsia="MS Mincho"/>
          <w:lang w:eastAsia="ja-JP"/>
        </w:rPr>
        <w:t xml:space="preserve"> </w:t>
      </w:r>
      <w:r w:rsidR="00444DE6">
        <w:rPr>
          <w:rFonts w:eastAsia="MS Mincho"/>
          <w:lang w:eastAsia="ja-JP"/>
        </w:rPr>
        <w:fldChar w:fldCharType="begin"/>
      </w:r>
      <w:r w:rsidR="00444DE6">
        <w:rPr>
          <w:rFonts w:eastAsia="MS Mincho"/>
          <w:lang w:eastAsia="ja-JP"/>
        </w:rPr>
        <w:instrText xml:space="preserve"> REF _Ref477814154 \n \h </w:instrText>
      </w:r>
      <w:r w:rsidR="00444DE6">
        <w:rPr>
          <w:rFonts w:eastAsia="MS Mincho"/>
          <w:lang w:eastAsia="ja-JP"/>
        </w:rPr>
      </w:r>
      <w:r w:rsidR="00444DE6">
        <w:rPr>
          <w:rFonts w:eastAsia="MS Mincho"/>
          <w:lang w:eastAsia="ja-JP"/>
        </w:rPr>
        <w:fldChar w:fldCharType="separate"/>
      </w:r>
      <w:r w:rsidR="00147CE6">
        <w:rPr>
          <w:rFonts w:eastAsia="MS Mincho"/>
          <w:lang w:eastAsia="ja-JP"/>
        </w:rPr>
        <w:t>[3]</w:t>
      </w:r>
      <w:r w:rsidR="00444DE6">
        <w:rPr>
          <w:rFonts w:eastAsia="MS Mincho"/>
          <w:lang w:eastAsia="ja-JP"/>
        </w:rPr>
        <w:fldChar w:fldCharType="end"/>
      </w:r>
      <w:r w:rsidR="00FB705D">
        <w:rPr>
          <w:rFonts w:eastAsia="MS Mincho"/>
          <w:lang w:eastAsia="ja-JP"/>
        </w:rPr>
        <w:t>. I</w:t>
      </w:r>
      <w:r w:rsidR="00924D26">
        <w:rPr>
          <w:rFonts w:eastAsia="MS Mincho"/>
          <w:lang w:eastAsia="ja-JP"/>
        </w:rPr>
        <w:t>t was concluded</w:t>
      </w:r>
      <w:r w:rsidR="002B5943">
        <w:rPr>
          <w:rFonts w:eastAsia="MS Mincho"/>
          <w:lang w:eastAsia="ja-JP"/>
        </w:rPr>
        <w:t xml:space="preserve"> that</w:t>
      </w:r>
      <w:r w:rsidR="0029606A" w:rsidRPr="0029606A">
        <w:rPr>
          <w:rFonts w:eastAsia="MS Mincho"/>
          <w:lang w:eastAsia="ja-JP"/>
        </w:rPr>
        <w:t xml:space="preserve"> </w:t>
      </w:r>
      <w:r w:rsidR="0029606A">
        <w:rPr>
          <w:rFonts w:eastAsia="MS Mincho"/>
          <w:lang w:eastAsia="ja-JP"/>
        </w:rPr>
        <w:t>such a signal for</w:t>
      </w:r>
      <w:r w:rsidR="0029606A" w:rsidRPr="002B5943">
        <w:rPr>
          <w:rFonts w:eastAsia="MS Mincho"/>
          <w:lang w:eastAsia="ja-JP"/>
        </w:rPr>
        <w:t xml:space="preserve"> a group of UEs</w:t>
      </w:r>
      <w:r w:rsidR="0029606A">
        <w:rPr>
          <w:rFonts w:eastAsia="MS Mincho"/>
          <w:lang w:eastAsia="ja-JP"/>
        </w:rPr>
        <w:t xml:space="preserve"> (referred to as a ‘group common PDCCH’) </w:t>
      </w:r>
      <w:r w:rsidR="002B5943">
        <w:rPr>
          <w:rFonts w:eastAsia="MS Mincho"/>
          <w:lang w:eastAsia="ja-JP"/>
        </w:rPr>
        <w:t xml:space="preserve">can be supported in NR but reception of such signal is not necessary for detection of PDCCH for data reception. </w:t>
      </w:r>
      <w:r w:rsidR="00924D26">
        <w:rPr>
          <w:rFonts w:eastAsia="MS Mincho"/>
          <w:lang w:eastAsia="ja-JP"/>
        </w:rPr>
        <w:t>However, this signal if detected can provide additional information to the UE which can potentially improve the UE performance. Based on the discussion the following agreements related to the ‘group common PDCCH’ were made</w:t>
      </w:r>
      <w:r w:rsidR="0029606A">
        <w:rPr>
          <w:rFonts w:eastAsia="MS Mincho"/>
          <w:lang w:eastAsia="ja-JP"/>
        </w:rPr>
        <w:t xml:space="preserve"> </w:t>
      </w:r>
      <w:r w:rsidR="008F7E54">
        <w:rPr>
          <w:rFonts w:eastAsia="MS Mincho"/>
          <w:lang w:eastAsia="ja-JP"/>
        </w:rPr>
        <w:fldChar w:fldCharType="begin"/>
      </w:r>
      <w:r w:rsidR="008F7E54">
        <w:rPr>
          <w:rFonts w:eastAsia="MS Mincho"/>
          <w:lang w:eastAsia="ja-JP"/>
        </w:rPr>
        <w:instrText xml:space="preserve"> REF _Ref473637092 \n \h </w:instrText>
      </w:r>
      <w:r w:rsidR="008F7E54">
        <w:rPr>
          <w:rFonts w:eastAsia="MS Mincho"/>
          <w:lang w:eastAsia="ja-JP"/>
        </w:rPr>
      </w:r>
      <w:r w:rsidR="008F7E54">
        <w:rPr>
          <w:rFonts w:eastAsia="MS Mincho"/>
          <w:lang w:eastAsia="ja-JP"/>
        </w:rPr>
        <w:fldChar w:fldCharType="separate"/>
      </w:r>
      <w:r w:rsidR="00147CE6">
        <w:rPr>
          <w:rFonts w:eastAsia="MS Mincho"/>
          <w:lang w:eastAsia="ja-JP"/>
        </w:rPr>
        <w:t>[4]</w:t>
      </w:r>
      <w:r w:rsidR="008F7E54">
        <w:rPr>
          <w:rFonts w:eastAsia="MS Mincho"/>
          <w:lang w:eastAsia="ja-JP"/>
        </w:rPr>
        <w:fldChar w:fldCharType="end"/>
      </w:r>
      <w:r w:rsidR="00924D26">
        <w:rPr>
          <w:rFonts w:eastAsia="MS Mincho"/>
          <w:lang w:eastAsia="ja-JP"/>
        </w:rPr>
        <w:t>:</w:t>
      </w:r>
    </w:p>
    <w:p w14:paraId="1A7FC2ED" w14:textId="77777777" w:rsidR="00F4764A" w:rsidRPr="00BE3726" w:rsidRDefault="00F4764A" w:rsidP="004C691A">
      <w:pPr>
        <w:pStyle w:val="ListParagraph"/>
        <w:ind w:leftChars="12" w:left="864" w:hanging="840"/>
        <w:rPr>
          <w:rFonts w:eastAsia="MS Mincho"/>
          <w:lang w:val="en-US" w:eastAsia="ja-JP"/>
        </w:rPr>
      </w:pPr>
    </w:p>
    <w:p w14:paraId="659D0C41" w14:textId="4EB40300" w:rsidR="004C691A" w:rsidRPr="00BE3726" w:rsidRDefault="004C691A" w:rsidP="004C691A">
      <w:pPr>
        <w:pStyle w:val="ListParagraph"/>
        <w:ind w:leftChars="12" w:left="864" w:hanging="840"/>
        <w:rPr>
          <w:rFonts w:eastAsia="MS Mincho"/>
          <w:szCs w:val="20"/>
          <w:lang w:val="en-US" w:eastAsia="ja-JP"/>
        </w:rPr>
      </w:pPr>
      <w:r w:rsidRPr="00BE3726">
        <w:rPr>
          <w:rFonts w:eastAsia="MS Mincho" w:hint="eastAsia"/>
          <w:b/>
          <w:highlight w:val="green"/>
          <w:u w:val="single"/>
          <w:lang w:val="en-US" w:eastAsia="ja-JP"/>
        </w:rPr>
        <w:t>Agreements:</w:t>
      </w:r>
    </w:p>
    <w:p w14:paraId="54EC0D00" w14:textId="77777777" w:rsidR="004C691A" w:rsidRPr="00F24B1D" w:rsidRDefault="004C691A" w:rsidP="004C691A">
      <w:pPr>
        <w:numPr>
          <w:ilvl w:val="0"/>
          <w:numId w:val="42"/>
        </w:numPr>
        <w:overflowPunct/>
        <w:autoSpaceDE/>
        <w:autoSpaceDN/>
        <w:adjustRightInd/>
        <w:spacing w:after="0"/>
        <w:textAlignment w:val="auto"/>
        <w:rPr>
          <w:rFonts w:eastAsia="MS Mincho"/>
          <w:lang w:eastAsia="ja-JP"/>
        </w:rPr>
      </w:pPr>
      <w:r w:rsidRPr="00F24B1D">
        <w:rPr>
          <w:rFonts w:eastAsia="MS Mincho"/>
          <w:lang w:eastAsia="ja-JP"/>
        </w:rPr>
        <w:t xml:space="preserve">NR supports a ‘group common PDCCH’ carrying information of e.g. the slot structure. </w:t>
      </w:r>
    </w:p>
    <w:p w14:paraId="7EBBAEB5"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If the UE does not receive the ‘group common PDCCH’ the UE should be able to receive at least PDCCH in a slot, at least if the gNB did not transmit the ‘group common PDCCH’.</w:t>
      </w:r>
    </w:p>
    <w:p w14:paraId="012A63AC"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The network will inform through RRC signalling the UE whether to decode the ‘group common PDCCH’ or not</w:t>
      </w:r>
    </w:p>
    <w:p w14:paraId="523E7228"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rPr>
          <w:rFonts w:eastAsia="MS Mincho"/>
          <w:lang w:eastAsia="ja-JP"/>
        </w:rPr>
        <w:t>Common does not necessarily imply common per cell.</w:t>
      </w:r>
    </w:p>
    <w:p w14:paraId="40AE5CF9" w14:textId="77777777" w:rsidR="004C691A" w:rsidRPr="00F24B1D" w:rsidRDefault="004C691A" w:rsidP="004C691A">
      <w:pPr>
        <w:numPr>
          <w:ilvl w:val="1"/>
          <w:numId w:val="42"/>
        </w:numPr>
        <w:overflowPunct/>
        <w:autoSpaceDE/>
        <w:autoSpaceDN/>
        <w:adjustRightInd/>
        <w:spacing w:after="0"/>
        <w:textAlignment w:val="auto"/>
        <w:rPr>
          <w:rFonts w:eastAsia="MS Mincho"/>
          <w:lang w:eastAsia="ja-JP"/>
        </w:rPr>
      </w:pPr>
      <w:r w:rsidRPr="00F24B1D">
        <w:t>Continue the discussion on the detailed content of the ‘group common PDCCH’ including usage for TDD and FDD</w:t>
      </w:r>
    </w:p>
    <w:p w14:paraId="7C3185BC" w14:textId="77777777" w:rsidR="004C691A" w:rsidRPr="00174E40" w:rsidRDefault="004C691A" w:rsidP="004C691A">
      <w:pPr>
        <w:numPr>
          <w:ilvl w:val="1"/>
          <w:numId w:val="42"/>
        </w:numPr>
        <w:overflowPunct/>
        <w:autoSpaceDE/>
        <w:autoSpaceDN/>
        <w:adjustRightInd/>
        <w:spacing w:after="0"/>
        <w:textAlignment w:val="auto"/>
        <w:rPr>
          <w:rFonts w:eastAsia="MS Mincho"/>
          <w:lang w:eastAsia="ja-JP"/>
        </w:rPr>
      </w:pPr>
      <w:r w:rsidRPr="00F24B1D">
        <w:t>The term ‘group common PDCCH’ refers to a channel (either a PDCCH or a separately designed channel) that carries information intended for the group of UEs.</w:t>
      </w:r>
    </w:p>
    <w:p w14:paraId="12E46FDE" w14:textId="77777777" w:rsidR="004C691A" w:rsidRPr="005F5317" w:rsidRDefault="004C691A" w:rsidP="004C691A">
      <w:pPr>
        <w:ind w:leftChars="7" w:left="14"/>
        <w:rPr>
          <w:rFonts w:eastAsia="MS Mincho"/>
          <w:b/>
          <w:i/>
          <w:iCs/>
          <w:color w:val="4472C4" w:themeColor="accent5"/>
          <w:lang w:eastAsia="ja-JP"/>
        </w:rPr>
      </w:pPr>
    </w:p>
    <w:p w14:paraId="60A440C8" w14:textId="77777777" w:rsidR="004C691A" w:rsidRPr="00D810AA" w:rsidRDefault="004C691A" w:rsidP="004C691A">
      <w:pPr>
        <w:rPr>
          <w:rFonts w:eastAsia="MS Mincho"/>
          <w:b/>
          <w:u w:val="single"/>
          <w:lang w:eastAsia="ja-JP"/>
        </w:rPr>
      </w:pPr>
      <w:r w:rsidRPr="00D810AA">
        <w:rPr>
          <w:rFonts w:eastAsia="MS Mincho" w:hint="eastAsia"/>
          <w:b/>
          <w:highlight w:val="green"/>
          <w:u w:val="single"/>
          <w:lang w:eastAsia="ja-JP"/>
        </w:rPr>
        <w:t>Agreements:</w:t>
      </w:r>
    </w:p>
    <w:p w14:paraId="18562E26" w14:textId="77777777" w:rsidR="004C691A" w:rsidRPr="0073321A" w:rsidRDefault="004C691A" w:rsidP="004C691A">
      <w:pPr>
        <w:pStyle w:val="ListParagraph"/>
        <w:numPr>
          <w:ilvl w:val="0"/>
          <w:numId w:val="43"/>
        </w:numPr>
        <w:contextualSpacing/>
        <w:rPr>
          <w:rFonts w:ascii="Arial" w:eastAsia="MS Mincho" w:hAnsi="Arial" w:cs="Arial"/>
          <w:sz w:val="20"/>
          <w:szCs w:val="20"/>
          <w:lang w:val="en-US" w:eastAsia="ja-JP"/>
        </w:rPr>
      </w:pPr>
      <w:r w:rsidRPr="0073321A">
        <w:rPr>
          <w:rFonts w:ascii="Arial" w:eastAsia="MS Mincho" w:hAnsi="Arial" w:cs="Arial"/>
          <w:sz w:val="20"/>
          <w:szCs w:val="20"/>
          <w:lang w:val="en-US" w:eastAsia="ja-JP"/>
        </w:rPr>
        <w:t>The staring position of downlink data in a slot can be explicitly and dynamically indicated to the UE.</w:t>
      </w:r>
    </w:p>
    <w:p w14:paraId="3D351416" w14:textId="77777777" w:rsidR="004C691A" w:rsidRPr="0073321A" w:rsidRDefault="004C691A" w:rsidP="004C691A">
      <w:pPr>
        <w:pStyle w:val="ListParagraph"/>
        <w:numPr>
          <w:ilvl w:val="1"/>
          <w:numId w:val="43"/>
        </w:numPr>
        <w:contextualSpacing/>
        <w:rPr>
          <w:rFonts w:ascii="Arial" w:eastAsia="MS Mincho" w:hAnsi="Arial" w:cs="Arial"/>
          <w:sz w:val="20"/>
          <w:szCs w:val="20"/>
          <w:lang w:val="en-US" w:eastAsia="ja-JP"/>
        </w:rPr>
      </w:pPr>
      <w:r w:rsidRPr="0073321A">
        <w:rPr>
          <w:rFonts w:ascii="Arial" w:eastAsia="MS Mincho" w:hAnsi="Arial" w:cs="Arial"/>
          <w:sz w:val="20"/>
          <w:szCs w:val="20"/>
          <w:lang w:val="en-US" w:eastAsia="ja-JP"/>
        </w:rPr>
        <w:t>FFS: signaled in the UE-specific DCI and/or a ‘group-common PDCCH’</w:t>
      </w:r>
    </w:p>
    <w:p w14:paraId="3850773F" w14:textId="77777777" w:rsidR="004C691A" w:rsidRPr="0073321A" w:rsidRDefault="004C691A" w:rsidP="004C691A">
      <w:pPr>
        <w:pStyle w:val="ListParagraph"/>
        <w:numPr>
          <w:ilvl w:val="1"/>
          <w:numId w:val="43"/>
        </w:numPr>
        <w:contextualSpacing/>
        <w:rPr>
          <w:rFonts w:ascii="Arial" w:eastAsia="MS Mincho" w:hAnsi="Arial" w:cs="Arial"/>
          <w:sz w:val="20"/>
          <w:szCs w:val="20"/>
          <w:lang w:val="en-US" w:eastAsia="ja-JP"/>
        </w:rPr>
      </w:pPr>
      <w:r w:rsidRPr="0073321A">
        <w:rPr>
          <w:rFonts w:ascii="Arial" w:eastAsia="MS Mincho" w:hAnsi="Arial" w:cs="Arial"/>
          <w:sz w:val="20"/>
          <w:szCs w:val="20"/>
          <w:lang w:val="en-US" w:eastAsia="ja-JP"/>
        </w:rPr>
        <w:t>FFS: how and with what granularity the unused control resource set(s) can be used for data</w:t>
      </w:r>
    </w:p>
    <w:p w14:paraId="3447DBB8" w14:textId="77777777" w:rsidR="0073321A" w:rsidRDefault="0073321A" w:rsidP="004C691A">
      <w:pPr>
        <w:rPr>
          <w:rFonts w:eastAsia="MS Mincho"/>
          <w:b/>
          <w:highlight w:val="green"/>
          <w:u w:val="single"/>
          <w:lang w:eastAsia="ja-JP"/>
        </w:rPr>
      </w:pPr>
    </w:p>
    <w:p w14:paraId="01FB6AE8" w14:textId="2FD90955" w:rsidR="004C691A" w:rsidRPr="007F7517" w:rsidRDefault="004C691A" w:rsidP="004C691A">
      <w:pPr>
        <w:rPr>
          <w:rFonts w:eastAsia="MS Mincho"/>
          <w:b/>
          <w:u w:val="single"/>
          <w:lang w:eastAsia="ja-JP"/>
        </w:rPr>
      </w:pPr>
      <w:r w:rsidRPr="00633195">
        <w:rPr>
          <w:rFonts w:eastAsia="MS Mincho" w:hint="eastAsia"/>
          <w:b/>
          <w:highlight w:val="green"/>
          <w:u w:val="single"/>
          <w:lang w:eastAsia="ja-JP"/>
        </w:rPr>
        <w:t>Agreements:</w:t>
      </w:r>
    </w:p>
    <w:p w14:paraId="2540F08B" w14:textId="77777777" w:rsidR="004C691A" w:rsidRPr="0073321A" w:rsidRDefault="004C691A" w:rsidP="004C691A">
      <w:pPr>
        <w:pStyle w:val="ListParagraph"/>
        <w:numPr>
          <w:ilvl w:val="0"/>
          <w:numId w:val="44"/>
        </w:numPr>
        <w:contextualSpacing/>
        <w:rPr>
          <w:rFonts w:ascii="Arial" w:eastAsia="MS Mincho" w:hAnsi="Arial" w:cs="Arial"/>
          <w:sz w:val="20"/>
          <w:szCs w:val="20"/>
          <w:lang w:val="en-US" w:eastAsia="ja-JP"/>
        </w:rPr>
      </w:pPr>
      <w:r w:rsidRPr="0073321A">
        <w:rPr>
          <w:rFonts w:ascii="Arial" w:eastAsia="MS Mincho" w:hAnsi="Arial" w:cs="Arial"/>
          <w:sz w:val="20"/>
          <w:szCs w:val="20"/>
          <w:lang w:val="en-US" w:eastAsia="ja-JP"/>
        </w:rPr>
        <w:t>The UE will have the possibility to determine whether some blind decodings can be skipped based on information on a ‘group common PDCCH’ (if present).</w:t>
      </w:r>
    </w:p>
    <w:p w14:paraId="4758C90F" w14:textId="77777777" w:rsidR="004C691A" w:rsidRPr="0073321A" w:rsidRDefault="004C691A" w:rsidP="004C691A">
      <w:pPr>
        <w:pStyle w:val="ListParagraph"/>
        <w:numPr>
          <w:ilvl w:val="0"/>
          <w:numId w:val="44"/>
        </w:numPr>
        <w:contextualSpacing/>
        <w:rPr>
          <w:rFonts w:ascii="Arial" w:eastAsia="MS Mincho" w:hAnsi="Arial" w:cs="Arial"/>
          <w:sz w:val="20"/>
          <w:szCs w:val="20"/>
          <w:lang w:val="en-US" w:eastAsia="ja-JP"/>
        </w:rPr>
      </w:pPr>
      <w:r w:rsidRPr="0073321A">
        <w:rPr>
          <w:rFonts w:ascii="Arial" w:eastAsia="MS Mincho" w:hAnsi="Arial" w:cs="Arial"/>
          <w:sz w:val="20"/>
          <w:szCs w:val="20"/>
          <w:lang w:val="en-US" w:eastAsia="ja-JP"/>
        </w:rPr>
        <w:t>FFS: if the data starting position is signaled on the group common PDCCH, the UE may exploit this information to skip some blind decodings</w:t>
      </w:r>
    </w:p>
    <w:p w14:paraId="342616A6" w14:textId="77777777" w:rsidR="004C691A" w:rsidRPr="0073321A" w:rsidRDefault="004C691A" w:rsidP="004C691A">
      <w:pPr>
        <w:pStyle w:val="ListParagraph"/>
        <w:numPr>
          <w:ilvl w:val="0"/>
          <w:numId w:val="44"/>
        </w:numPr>
        <w:contextualSpacing/>
        <w:rPr>
          <w:rFonts w:ascii="Arial" w:eastAsia="MS Mincho" w:hAnsi="Arial" w:cs="Arial"/>
          <w:sz w:val="20"/>
          <w:szCs w:val="20"/>
          <w:lang w:val="en-US" w:eastAsia="ja-JP"/>
        </w:rPr>
      </w:pPr>
      <w:r w:rsidRPr="0073321A">
        <w:rPr>
          <w:rFonts w:ascii="Arial" w:eastAsia="MS Mincho" w:hAnsi="Arial" w:cs="Arial"/>
          <w:sz w:val="20"/>
          <w:szCs w:val="20"/>
          <w:lang w:val="en-US" w:eastAsia="ja-JP"/>
        </w:rPr>
        <w:t>FFS: if the end of the control resource set is signaled on the ‘group common PDCCH’, the UE may exploit this information to skip some blind decodings</w:t>
      </w:r>
    </w:p>
    <w:p w14:paraId="343F9BBF" w14:textId="77777777" w:rsidR="004C691A" w:rsidRPr="0073321A" w:rsidRDefault="004C691A" w:rsidP="004C691A">
      <w:pPr>
        <w:pStyle w:val="ListParagraph"/>
        <w:numPr>
          <w:ilvl w:val="0"/>
          <w:numId w:val="44"/>
        </w:numPr>
        <w:contextualSpacing/>
        <w:rPr>
          <w:rFonts w:ascii="Arial" w:eastAsia="MS Mincho" w:hAnsi="Arial" w:cs="Arial"/>
          <w:sz w:val="20"/>
          <w:szCs w:val="20"/>
          <w:lang w:val="en-US" w:eastAsia="ja-JP"/>
        </w:rPr>
      </w:pPr>
      <w:r w:rsidRPr="0073321A">
        <w:rPr>
          <w:rFonts w:ascii="Arial" w:eastAsia="MS Mincho" w:hAnsi="Arial" w:cs="Arial"/>
          <w:sz w:val="20"/>
          <w:szCs w:val="20"/>
          <w:lang w:val="en-US" w:eastAsia="ja-JP"/>
        </w:rPr>
        <w:lastRenderedPageBreak/>
        <w:t>FFS: how to handle the case when there is no ‘group common PDCCH’ in a slot</w:t>
      </w:r>
    </w:p>
    <w:p w14:paraId="0746C622" w14:textId="77777777" w:rsidR="004C691A" w:rsidRPr="0073321A" w:rsidRDefault="004C691A" w:rsidP="004C691A">
      <w:pPr>
        <w:pStyle w:val="ListParagraph"/>
        <w:numPr>
          <w:ilvl w:val="0"/>
          <w:numId w:val="44"/>
        </w:numPr>
        <w:contextualSpacing/>
        <w:rPr>
          <w:rFonts w:ascii="Arial" w:eastAsia="MS Mincho" w:hAnsi="Arial" w:cs="Arial"/>
          <w:sz w:val="20"/>
          <w:szCs w:val="20"/>
          <w:lang w:val="en-US" w:eastAsia="ja-JP"/>
        </w:rPr>
      </w:pPr>
      <w:r w:rsidRPr="0073321A">
        <w:rPr>
          <w:rFonts w:ascii="Arial" w:eastAsia="MS Mincho" w:hAnsi="Arial" w:cs="Arial"/>
          <w:sz w:val="20"/>
          <w:szCs w:val="20"/>
          <w:lang w:val="en-US" w:eastAsia="ja-JP"/>
        </w:rPr>
        <w:t>When monitoring for a PDCCH, the UE should be able to process a detected PDCCH irrespective of whether the ‘group common PDCCH’ is received or not</w:t>
      </w:r>
    </w:p>
    <w:p w14:paraId="1FF6197D" w14:textId="77777777" w:rsidR="0073321A" w:rsidRDefault="0073321A" w:rsidP="004C691A">
      <w:pPr>
        <w:pStyle w:val="BodyText"/>
        <w:spacing w:after="0"/>
        <w:rPr>
          <w:rFonts w:eastAsia="MS Mincho"/>
          <w:b/>
          <w:highlight w:val="green"/>
          <w:u w:val="single"/>
          <w:lang w:eastAsia="ja-JP"/>
        </w:rPr>
      </w:pPr>
    </w:p>
    <w:p w14:paraId="412BAE5D" w14:textId="5D5EFBFE" w:rsidR="004C691A" w:rsidRPr="00476354" w:rsidRDefault="004C691A" w:rsidP="004C691A">
      <w:pPr>
        <w:pStyle w:val="BodyText"/>
        <w:spacing w:after="0"/>
        <w:rPr>
          <w:b/>
          <w:u w:val="single"/>
          <w:lang w:eastAsia="ja-JP"/>
        </w:rPr>
      </w:pPr>
      <w:r w:rsidRPr="00BA7C2D">
        <w:rPr>
          <w:rFonts w:eastAsia="MS Mincho" w:hint="eastAsia"/>
          <w:b/>
          <w:highlight w:val="green"/>
          <w:u w:val="single"/>
          <w:lang w:eastAsia="ja-JP"/>
        </w:rPr>
        <w:t>Agreements:</w:t>
      </w:r>
    </w:p>
    <w:p w14:paraId="43CCFF79" w14:textId="77777777" w:rsidR="004C691A" w:rsidRPr="00476354" w:rsidRDefault="004C691A" w:rsidP="004C691A">
      <w:pPr>
        <w:pStyle w:val="BodyText"/>
        <w:numPr>
          <w:ilvl w:val="0"/>
          <w:numId w:val="45"/>
        </w:numPr>
        <w:overflowPunct/>
        <w:autoSpaceDE/>
        <w:autoSpaceDN/>
        <w:adjustRightInd/>
        <w:spacing w:after="0"/>
        <w:textAlignment w:val="auto"/>
        <w:rPr>
          <w:lang w:eastAsia="ja-JP"/>
        </w:rPr>
      </w:pPr>
      <w:r w:rsidRPr="00476354">
        <w:rPr>
          <w:lang w:eastAsia="ja-JP"/>
        </w:rPr>
        <w:t>‘Slot format related information’</w:t>
      </w:r>
    </w:p>
    <w:p w14:paraId="2A71AF0F"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476354">
        <w:rPr>
          <w:lang w:eastAsia="ja-JP"/>
        </w:rPr>
        <w:t>Information from which the UE can derive at least which symbols in a slot that are ‘DL’, ‘UL’ (for Rel-15), and ‘other’, respectively</w:t>
      </w:r>
    </w:p>
    <w:p w14:paraId="66558DB7"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476354">
        <w:rPr>
          <w:lang w:eastAsia="ja-JP"/>
        </w:rPr>
        <w:t>FFS: if ‘other’ can be subdivided into ‘blank’, ‘sidelink’, etc</w:t>
      </w:r>
    </w:p>
    <w:p w14:paraId="7B2A9951" w14:textId="77777777" w:rsidR="004C691A" w:rsidRPr="00476354" w:rsidRDefault="004C691A" w:rsidP="004C691A">
      <w:pPr>
        <w:pStyle w:val="BodyText"/>
        <w:numPr>
          <w:ilvl w:val="0"/>
          <w:numId w:val="45"/>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‘Control resource set duration’</w:t>
      </w:r>
    </w:p>
    <w:p w14:paraId="2C48B196" w14:textId="77777777" w:rsidR="004C691A" w:rsidRPr="00476354" w:rsidRDefault="004C691A" w:rsidP="004C691A">
      <w:pPr>
        <w:pStyle w:val="BodyText"/>
        <w:numPr>
          <w:ilvl w:val="1"/>
          <w:numId w:val="45"/>
        </w:numPr>
        <w:overflowPunct/>
        <w:autoSpaceDE/>
        <w:autoSpaceDN/>
        <w:adjustRightInd/>
        <w:spacing w:after="0"/>
        <w:textAlignment w:val="auto"/>
        <w:rPr>
          <w:lang w:eastAsia="ja-JP"/>
        </w:rPr>
      </w:pPr>
      <w:r w:rsidRPr="00BA7C2D">
        <w:rPr>
          <w:rFonts w:eastAsia="MS Mincho" w:hint="eastAsia"/>
          <w:lang w:eastAsia="ja-JP"/>
        </w:rPr>
        <w:t xml:space="preserve">FFS: </w:t>
      </w:r>
      <w:r w:rsidRPr="00476354">
        <w:rPr>
          <w:lang w:eastAsia="ja-JP"/>
        </w:rPr>
        <w:t xml:space="preserve">Indicates the duration of the control resource set(s) </w:t>
      </w:r>
    </w:p>
    <w:p w14:paraId="7BD19663" w14:textId="77777777" w:rsidR="004C691A" w:rsidRPr="0073321A" w:rsidRDefault="004C691A" w:rsidP="0073321A">
      <w:pPr>
        <w:pStyle w:val="BodyText"/>
        <w:numPr>
          <w:ilvl w:val="1"/>
          <w:numId w:val="45"/>
        </w:numPr>
        <w:overflowPunct/>
        <w:autoSpaceDE/>
        <w:autoSpaceDN/>
        <w:adjustRightInd/>
        <w:spacing w:after="0"/>
        <w:textAlignment w:val="auto"/>
        <w:rPr>
          <w:lang w:eastAsia="ja-JP"/>
        </w:rPr>
      </w:pPr>
      <w:r w:rsidRPr="0073321A">
        <w:rPr>
          <w:rFonts w:hint="eastAsia"/>
          <w:lang w:eastAsia="ja-JP"/>
        </w:rPr>
        <w:t xml:space="preserve">FFS: </w:t>
      </w:r>
      <w:r w:rsidRPr="00476354">
        <w:rPr>
          <w:lang w:eastAsia="ja-JP"/>
        </w:rPr>
        <w:t>Can help the UE skip some of the semi-statically configured blind decodings. If not received, the UE performs all blind decodings</w:t>
      </w:r>
    </w:p>
    <w:p w14:paraId="2A23CB4B" w14:textId="6F01509C" w:rsidR="005261FA" w:rsidRDefault="005261FA" w:rsidP="005261FA"/>
    <w:p w14:paraId="207E7440" w14:textId="07940267" w:rsidR="00856434" w:rsidRDefault="00C43FE1" w:rsidP="005261FA">
      <w:r>
        <w:t xml:space="preserve">In this contribution we discuss our view on the structure </w:t>
      </w:r>
      <w:r w:rsidR="0024642D">
        <w:t xml:space="preserve">and configuration </w:t>
      </w:r>
      <w:r>
        <w:t>of the ‘group common PDCCH</w:t>
      </w:r>
      <w:r w:rsidR="002A7A8C">
        <w:t xml:space="preserve">’ </w:t>
      </w:r>
      <w:r w:rsidR="00924D26">
        <w:t>as well as some remaining issues.</w:t>
      </w:r>
      <w:r w:rsidR="0024642D">
        <w:t xml:space="preserve"> Our view on the corresponding fields and related UE behavior is provided in  </w:t>
      </w:r>
    </w:p>
    <w:p w14:paraId="623B3C48" w14:textId="36483FFA" w:rsidR="005261FA" w:rsidRPr="005261FA" w:rsidRDefault="005261FA" w:rsidP="005261FA">
      <w:pPr>
        <w:pStyle w:val="Heading1"/>
      </w:pPr>
      <w:r>
        <w:t>Discussion</w:t>
      </w:r>
    </w:p>
    <w:p w14:paraId="355A8CA2" w14:textId="150EB773" w:rsidR="00BE3726" w:rsidRPr="00BE3726" w:rsidRDefault="00286C66" w:rsidP="00AE553B">
      <w:r w:rsidRPr="00BE3726">
        <w:t xml:space="preserve">In this section we discuss our view on the structure </w:t>
      </w:r>
      <w:r w:rsidR="0024642D">
        <w:t xml:space="preserve">and configuration </w:t>
      </w:r>
      <w:r w:rsidRPr="00BE3726">
        <w:t>of the ‘group common PDCCH’ and its corresponding fields.</w:t>
      </w:r>
    </w:p>
    <w:p w14:paraId="71F1B6C2" w14:textId="4E28266F" w:rsidR="0009457B" w:rsidRDefault="004C6FA5" w:rsidP="003B598D">
      <w:r>
        <w:t>As agreed, t</w:t>
      </w:r>
      <w:r w:rsidR="0009457B" w:rsidRPr="004C6FA5">
        <w:t>h</w:t>
      </w:r>
      <w:r w:rsidR="00554E73" w:rsidRPr="004C6FA5">
        <w:t>is</w:t>
      </w:r>
      <w:r w:rsidR="0009457B" w:rsidRPr="004C6FA5">
        <w:t xml:space="preserve"> signal is an ad</w:t>
      </w:r>
      <w:r w:rsidR="00554E73" w:rsidRPr="004C6FA5">
        <w:t>d-on signal such that its</w:t>
      </w:r>
      <w:r w:rsidR="0009457B" w:rsidRPr="004C6FA5">
        <w:t xml:space="preserve"> corresponding functionalities enabled by detection of this signal shall not be crucial for proper operation, while can be </w:t>
      </w:r>
      <w:r w:rsidR="00554E73" w:rsidRPr="004C6FA5">
        <w:t xml:space="preserve">considered </w:t>
      </w:r>
      <w:r w:rsidR="0009457B" w:rsidRPr="004C6FA5">
        <w:t xml:space="preserve">beneficial for some deployment scenarios. Hence </w:t>
      </w:r>
      <w:r w:rsidR="00554E73" w:rsidRPr="004C6FA5">
        <w:t xml:space="preserve">with respect to design, </w:t>
      </w:r>
      <w:r>
        <w:t xml:space="preserve">a low complexity design should be targeted </w:t>
      </w:r>
      <w:r w:rsidR="00EF52D0">
        <w:t>since any</w:t>
      </w:r>
      <w:r w:rsidR="0009457B" w:rsidRPr="004C6FA5">
        <w:t xml:space="preserve"> additional complexity </w:t>
      </w:r>
      <w:r w:rsidR="0073321A">
        <w:t>should be weighed</w:t>
      </w:r>
      <w:r w:rsidR="00EF52D0">
        <w:t xml:space="preserve"> </w:t>
      </w:r>
      <w:r w:rsidR="0073321A">
        <w:t>against the benefits of</w:t>
      </w:r>
      <w:r w:rsidR="00554E73" w:rsidRPr="004C6FA5">
        <w:t xml:space="preserve"> such </w:t>
      </w:r>
      <w:r w:rsidR="0073321A">
        <w:t xml:space="preserve">a </w:t>
      </w:r>
      <w:r w:rsidR="00554E73" w:rsidRPr="004C6FA5">
        <w:t>signal</w:t>
      </w:r>
      <w:r w:rsidR="0009457B" w:rsidRPr="004C6FA5">
        <w:t>.</w:t>
      </w:r>
    </w:p>
    <w:p w14:paraId="255C2C64" w14:textId="697D646C" w:rsidR="004C6FA5" w:rsidRDefault="004C6FA5" w:rsidP="003B598D">
      <w:r w:rsidRPr="003B598D">
        <w:rPr>
          <w:b/>
        </w:rPr>
        <w:t>Observation</w:t>
      </w:r>
      <w:r>
        <w:t>:</w:t>
      </w:r>
    </w:p>
    <w:p w14:paraId="769DC4A6" w14:textId="129C8BD2" w:rsidR="004C6FA5" w:rsidRPr="003B598D" w:rsidRDefault="004C6FA5" w:rsidP="00147CE6">
      <w:pPr>
        <w:pStyle w:val="BodyText"/>
        <w:numPr>
          <w:ilvl w:val="0"/>
          <w:numId w:val="51"/>
        </w:numPr>
      </w:pPr>
      <w:r w:rsidRPr="003B598D">
        <w:t xml:space="preserve">From our point of view it is preferable to reuse the design </w:t>
      </w:r>
      <w:r w:rsidR="00EF52D0" w:rsidRPr="003B598D">
        <w:t>principles of already supported</w:t>
      </w:r>
      <w:r w:rsidRPr="003B598D">
        <w:t xml:space="preserve"> signal</w:t>
      </w:r>
      <w:r w:rsidR="00EF52D0" w:rsidRPr="003B598D">
        <w:t>s</w:t>
      </w:r>
      <w:r w:rsidRPr="003B598D">
        <w:t xml:space="preserve"> as much as possible for generation of the ‘group common PDCCH’ and avoid introducing any new signal for this purpose.</w:t>
      </w:r>
    </w:p>
    <w:p w14:paraId="0A8285B0" w14:textId="77777777" w:rsidR="004C6FA5" w:rsidRPr="004C6FA5" w:rsidRDefault="004C6FA5" w:rsidP="00147CE6">
      <w:pPr>
        <w:pStyle w:val="BodyText"/>
      </w:pPr>
    </w:p>
    <w:p w14:paraId="740B5334" w14:textId="77777777" w:rsidR="005A481D" w:rsidRDefault="00EF52D0" w:rsidP="003B598D">
      <w:pPr>
        <w:pStyle w:val="BodyText"/>
      </w:pPr>
      <w:r>
        <w:t>Consequently, r</w:t>
      </w:r>
      <w:r w:rsidR="0009457B">
        <w:t>eusing the PDCCH design and making it transparent to all or a grou</w:t>
      </w:r>
      <w:r>
        <w:t xml:space="preserve">p of UEs by using a common RNTI </w:t>
      </w:r>
      <w:r w:rsidR="0009457B">
        <w:t>as in LAA, can</w:t>
      </w:r>
      <w:r w:rsidR="00554E73">
        <w:t xml:space="preserve"> be considered as a viable</w:t>
      </w:r>
      <w:r w:rsidR="0009457B">
        <w:t xml:space="preserve"> approach to</w:t>
      </w:r>
      <w:r w:rsidR="00554E73">
        <w:t xml:space="preserve"> minimize the complexity</w:t>
      </w:r>
      <w:r w:rsidR="0009457B">
        <w:t>.</w:t>
      </w:r>
    </w:p>
    <w:p w14:paraId="0F1DEE37" w14:textId="2D725D5A" w:rsidR="004C6FA5" w:rsidRDefault="003B598D" w:rsidP="003B598D">
      <w:pPr>
        <w:pStyle w:val="BodyText"/>
      </w:pPr>
      <w:r>
        <w:t xml:space="preserve">As we discussed in </w:t>
      </w:r>
      <w:r w:rsidR="008F7E54">
        <w:fldChar w:fldCharType="begin"/>
      </w:r>
      <w:r w:rsidR="008F7E54">
        <w:instrText xml:space="preserve"> REF _Ref473637107 \n \h </w:instrText>
      </w:r>
      <w:r w:rsidR="008F7E54">
        <w:fldChar w:fldCharType="separate"/>
      </w:r>
      <w:r w:rsidR="00147CE6">
        <w:t>[5]</w:t>
      </w:r>
      <w:r w:rsidR="008F7E54">
        <w:fldChar w:fldCharType="end"/>
      </w:r>
      <w:r>
        <w:t xml:space="preserve"> in order to benefit beamforming, </w:t>
      </w:r>
      <w:r>
        <w:rPr>
          <w:lang w:eastAsia="ja-JP"/>
        </w:rPr>
        <w:t xml:space="preserve">the intended group of UEs should be addressed in the same beam. However, this group may be a quite small subset of the UEs being served. </w:t>
      </w:r>
    </w:p>
    <w:p w14:paraId="0640641F" w14:textId="6BD5D5A2" w:rsidR="00283372" w:rsidRPr="003B598D" w:rsidRDefault="00EF52D0" w:rsidP="00EF52D0">
      <w:pPr>
        <w:rPr>
          <w:b/>
        </w:rPr>
      </w:pPr>
      <w:r w:rsidRPr="003B598D">
        <w:rPr>
          <w:b/>
        </w:rPr>
        <w:t>Proposals:</w:t>
      </w:r>
    </w:p>
    <w:p w14:paraId="0571A7FC" w14:textId="2AAE8A93" w:rsidR="00EF52D0" w:rsidRPr="003B598D" w:rsidRDefault="00EF52D0" w:rsidP="00147CE6">
      <w:pPr>
        <w:pStyle w:val="BodyText"/>
        <w:numPr>
          <w:ilvl w:val="0"/>
          <w:numId w:val="51"/>
        </w:numPr>
      </w:pPr>
      <w:r w:rsidRPr="003B598D">
        <w:t>’Group common PDCCH’ is based on the PDCCH design with a common RNTI for a group of UEs.</w:t>
      </w:r>
    </w:p>
    <w:p w14:paraId="6C03D1BC" w14:textId="77777777" w:rsidR="0024642D" w:rsidRDefault="0024642D" w:rsidP="00B646F3"/>
    <w:p w14:paraId="2BBCADAB" w14:textId="77777777" w:rsidR="00B646F3" w:rsidRDefault="00B646F3" w:rsidP="00B646F3">
      <w:pPr>
        <w:pStyle w:val="BodyText"/>
      </w:pPr>
      <w:r>
        <w:t>Furthermore, this signal is expected to be a light-weight signal with reasonable payload size. Therefore, in order reduce the UE complexity a fixed or a configured value for the corresponding number of blind decodes as well as the location of the PDCCH can be provided to the UE.</w:t>
      </w:r>
      <w:r w:rsidRPr="003B598D">
        <w:t xml:space="preserve"> </w:t>
      </w:r>
    </w:p>
    <w:p w14:paraId="005F4E8B" w14:textId="77777777" w:rsidR="00B646F3" w:rsidRPr="003B598D" w:rsidRDefault="00B646F3" w:rsidP="00B646F3">
      <w:pPr>
        <w:rPr>
          <w:b/>
        </w:rPr>
      </w:pPr>
      <w:r w:rsidRPr="003B598D">
        <w:rPr>
          <w:b/>
        </w:rPr>
        <w:t>Proposals:</w:t>
      </w:r>
    </w:p>
    <w:p w14:paraId="6354E0AB" w14:textId="77777777" w:rsidR="00B646F3" w:rsidRDefault="00B646F3" w:rsidP="00147CE6">
      <w:pPr>
        <w:pStyle w:val="BodyText"/>
        <w:numPr>
          <w:ilvl w:val="0"/>
          <w:numId w:val="51"/>
        </w:numPr>
      </w:pPr>
      <w:r>
        <w:t xml:space="preserve">UE assumes a fixed or a configured value for the number of blind decodes for detection of the </w:t>
      </w:r>
      <w:r w:rsidRPr="00A465B5">
        <w:t>’</w:t>
      </w:r>
      <w:r>
        <w:t>g</w:t>
      </w:r>
      <w:r w:rsidRPr="00A465B5">
        <w:t>roup common PDCCH’</w:t>
      </w:r>
      <w:r>
        <w:t xml:space="preserve"> when configured.</w:t>
      </w:r>
    </w:p>
    <w:p w14:paraId="4A3BE679" w14:textId="77777777" w:rsidR="00B646F3" w:rsidRPr="003B598D" w:rsidRDefault="00B646F3" w:rsidP="00147CE6">
      <w:pPr>
        <w:pStyle w:val="BodyText"/>
        <w:numPr>
          <w:ilvl w:val="0"/>
          <w:numId w:val="51"/>
        </w:numPr>
      </w:pPr>
      <w:r>
        <w:t>UE is informed of the location of the PDCCH candidate for the ‘group common PDCCH’.</w:t>
      </w:r>
    </w:p>
    <w:p w14:paraId="52194F8F" w14:textId="0EAB3294" w:rsidR="00AE553B" w:rsidRDefault="00AE553B" w:rsidP="00AE553B">
      <w:pPr>
        <w:pStyle w:val="Heading1"/>
      </w:pPr>
      <w:r>
        <w:t>Conclusion</w:t>
      </w:r>
    </w:p>
    <w:p w14:paraId="0F884490" w14:textId="08EBEB4A" w:rsidR="00A635A6" w:rsidRDefault="00A635A6" w:rsidP="00A635A6">
      <w:r>
        <w:t>In this contribution we discussed our view on the structure of the ‘group common PDCCH’ as well as some remaining issues related to the corresponding fields. Based on the discu</w:t>
      </w:r>
      <w:r w:rsidR="0073321A">
        <w:t>ssion we proposed the following</w:t>
      </w:r>
      <w:r>
        <w:t>:</w:t>
      </w:r>
    </w:p>
    <w:p w14:paraId="4E956CB7" w14:textId="77777777" w:rsidR="00A635A6" w:rsidRPr="003B598D" w:rsidRDefault="00A635A6" w:rsidP="00A635A6">
      <w:pPr>
        <w:rPr>
          <w:b/>
        </w:rPr>
      </w:pPr>
      <w:r w:rsidRPr="003B598D">
        <w:rPr>
          <w:b/>
        </w:rPr>
        <w:t>Proposals:</w:t>
      </w:r>
    </w:p>
    <w:p w14:paraId="55789AE5" w14:textId="77777777" w:rsidR="00A635A6" w:rsidRPr="003B598D" w:rsidRDefault="00A635A6" w:rsidP="00147CE6">
      <w:pPr>
        <w:pStyle w:val="BodyText"/>
        <w:numPr>
          <w:ilvl w:val="0"/>
          <w:numId w:val="52"/>
        </w:numPr>
      </w:pPr>
      <w:r w:rsidRPr="003B598D">
        <w:lastRenderedPageBreak/>
        <w:t>’Group common PDCCH’ is based on the PDCCH design with a common RNTI for a group of UEs.</w:t>
      </w:r>
    </w:p>
    <w:p w14:paraId="0EDB2B0C" w14:textId="5BAEF22E" w:rsidR="00A635A6" w:rsidRDefault="00A635A6" w:rsidP="00147CE6">
      <w:pPr>
        <w:pStyle w:val="BodyText"/>
        <w:numPr>
          <w:ilvl w:val="0"/>
          <w:numId w:val="52"/>
        </w:numPr>
      </w:pPr>
      <w:r>
        <w:t xml:space="preserve">UE assumes a fixed or a configured value for the number of blind decodes for detection of the </w:t>
      </w:r>
      <w:r w:rsidRPr="00A465B5">
        <w:t>’</w:t>
      </w:r>
      <w:r>
        <w:t>g</w:t>
      </w:r>
      <w:r w:rsidRPr="00A465B5">
        <w:t>roup common PDCCH’</w:t>
      </w:r>
      <w:r>
        <w:t xml:space="preserve"> when configured.</w:t>
      </w:r>
    </w:p>
    <w:p w14:paraId="3D23B392" w14:textId="0572C25F" w:rsidR="00A635A6" w:rsidRPr="00367094" w:rsidRDefault="00040DF6" w:rsidP="00147CE6">
      <w:pPr>
        <w:pStyle w:val="BodyText"/>
        <w:numPr>
          <w:ilvl w:val="0"/>
          <w:numId w:val="52"/>
        </w:numPr>
      </w:pPr>
      <w:r>
        <w:t>UE is informed of the location of the PDCCH candidate for the ‘group common PDCCH’.</w:t>
      </w:r>
    </w:p>
    <w:p w14:paraId="3CA25FCB" w14:textId="67E15E7F" w:rsidR="00F507D1" w:rsidRPr="00CE0424" w:rsidRDefault="00F507D1" w:rsidP="0009033B">
      <w:pPr>
        <w:pStyle w:val="Heading1"/>
      </w:pPr>
      <w:bookmarkStart w:id="0" w:name="_In-sequence_SDU_delivery"/>
      <w:bookmarkEnd w:id="0"/>
      <w:r w:rsidRPr="00CE0424">
        <w:t>References</w:t>
      </w:r>
    </w:p>
    <w:p w14:paraId="3C9201C6" w14:textId="77777777" w:rsidR="00706C61" w:rsidRDefault="00706C61" w:rsidP="00706C61">
      <w:pPr>
        <w:pStyle w:val="Reference"/>
      </w:pPr>
      <w:bookmarkStart w:id="1" w:name="_Ref477803323"/>
      <w:bookmarkStart w:id="2" w:name="_Ref473637085"/>
      <w:bookmarkStart w:id="3" w:name="_Ref470613638"/>
      <w:bookmarkStart w:id="4" w:name="_Ref465931227"/>
      <w:bookmarkStart w:id="5" w:name="_Ref458515583"/>
      <w:bookmarkStart w:id="6" w:name="_Ref174151459"/>
      <w:bookmarkStart w:id="7" w:name="_Ref189809556"/>
      <w:bookmarkStart w:id="8" w:name="_Ref458165837"/>
      <w:r>
        <w:t>RP-170377</w:t>
      </w:r>
      <w:bookmarkEnd w:id="1"/>
      <w:r>
        <w:tab/>
      </w:r>
      <w:r>
        <w:tab/>
      </w:r>
      <w:r w:rsidRPr="00D54B8E">
        <w:t>TR 38.802 v2.0.0 on Study on New Radio (NR) Access Technology Phys</w:t>
      </w:r>
      <w:r>
        <w:t>ical Layer Aspects; NTT DOCOMO</w:t>
      </w:r>
    </w:p>
    <w:p w14:paraId="5CD6F1B2" w14:textId="55919C7E" w:rsidR="00706C61" w:rsidRDefault="00706C61" w:rsidP="00706C61">
      <w:pPr>
        <w:pStyle w:val="Reference"/>
      </w:pPr>
      <w:bookmarkStart w:id="9" w:name="_Ref477803338"/>
      <w:r>
        <w:t>RP-170855</w:t>
      </w:r>
      <w:bookmarkEnd w:id="9"/>
      <w:r>
        <w:tab/>
      </w:r>
      <w:r>
        <w:tab/>
      </w:r>
      <w:r w:rsidRPr="0098532B">
        <w:t>New WID on New Radio Access Technology</w:t>
      </w:r>
      <w:r>
        <w:t>; NTT DOCOMO</w:t>
      </w:r>
    </w:p>
    <w:p w14:paraId="5A33C065" w14:textId="357B78D2" w:rsidR="00286C66" w:rsidRDefault="00286C66" w:rsidP="003B365D">
      <w:pPr>
        <w:pStyle w:val="Reference"/>
      </w:pPr>
      <w:bookmarkStart w:id="10" w:name="_Ref477814154"/>
      <w:r>
        <w:t>R1-1612908</w:t>
      </w:r>
      <w:r>
        <w:tab/>
      </w:r>
      <w:r>
        <w:tab/>
        <w:t>Summary of e-mail discussions in downlink control signaling; Ericsson</w:t>
      </w:r>
      <w:bookmarkEnd w:id="2"/>
      <w:bookmarkEnd w:id="10"/>
    </w:p>
    <w:p w14:paraId="39A48CBB" w14:textId="7393E4EE" w:rsidR="00286C66" w:rsidRDefault="0059685C" w:rsidP="003B365D">
      <w:pPr>
        <w:pStyle w:val="Reference"/>
      </w:pPr>
      <w:bookmarkStart w:id="11" w:name="_Ref473637092"/>
      <w:r>
        <w:t>C</w:t>
      </w:r>
      <w:r w:rsidR="004C5E10">
        <w:t>hairman</w:t>
      </w:r>
      <w:r w:rsidR="007F26F5">
        <w:t>’s</w:t>
      </w:r>
      <w:r w:rsidR="004C5E10">
        <w:t xml:space="preserve"> </w:t>
      </w:r>
      <w:r w:rsidR="007F26F5">
        <w:t>N</w:t>
      </w:r>
      <w:r w:rsidR="004C5E10">
        <w:t>otes, 3GPP TSG RAN WG1 Meeting NR Ad-Hoc 16</w:t>
      </w:r>
      <w:r w:rsidR="004C5E10" w:rsidRPr="004C5E10">
        <w:rPr>
          <w:vertAlign w:val="superscript"/>
        </w:rPr>
        <w:t>th</w:t>
      </w:r>
      <w:r w:rsidR="004C5E10">
        <w:t>-20</w:t>
      </w:r>
      <w:r w:rsidR="004C5E10" w:rsidRPr="004C5E10">
        <w:rPr>
          <w:vertAlign w:val="superscript"/>
        </w:rPr>
        <w:t>th</w:t>
      </w:r>
      <w:r w:rsidR="004C5E10">
        <w:t xml:space="preserve"> January 2017</w:t>
      </w:r>
      <w:bookmarkEnd w:id="11"/>
    </w:p>
    <w:p w14:paraId="7BD1958E" w14:textId="4DDD3B9F" w:rsidR="002F43C5" w:rsidRPr="00132D5F" w:rsidRDefault="0024642D" w:rsidP="00132D5F">
      <w:pPr>
        <w:pStyle w:val="Reference"/>
      </w:pPr>
      <w:bookmarkStart w:id="12" w:name="_Ref473637107"/>
      <w:r w:rsidRPr="00132D5F">
        <w:t>R1-17</w:t>
      </w:r>
      <w:r w:rsidR="004B0EE9">
        <w:t>09077</w:t>
      </w:r>
      <w:r w:rsidRPr="00132D5F">
        <w:tab/>
      </w:r>
      <w:r w:rsidRPr="00132D5F">
        <w:tab/>
      </w:r>
      <w:r w:rsidRPr="00147CE6">
        <w:rPr>
          <w:szCs w:val="22"/>
        </w:rPr>
        <w:t>On UE Procedures Related to ‘Group Common PDCCH’</w:t>
      </w:r>
      <w:r w:rsidR="002D029C">
        <w:rPr>
          <w:szCs w:val="22"/>
        </w:rPr>
        <w:t>,</w:t>
      </w:r>
      <w:bookmarkStart w:id="13" w:name="_GoBack"/>
      <w:bookmarkEnd w:id="13"/>
      <w:r w:rsidRPr="00132D5F">
        <w:rPr>
          <w:szCs w:val="22"/>
        </w:rPr>
        <w:t xml:space="preserve"> Ericsson</w:t>
      </w:r>
      <w:r w:rsidRPr="00147CE6">
        <w:rPr>
          <w:szCs w:val="22"/>
        </w:rPr>
        <w:t xml:space="preserve"> </w:t>
      </w:r>
      <w:bookmarkEnd w:id="3"/>
      <w:bookmarkEnd w:id="4"/>
      <w:bookmarkEnd w:id="5"/>
      <w:bookmarkEnd w:id="6"/>
      <w:bookmarkEnd w:id="7"/>
      <w:bookmarkEnd w:id="8"/>
      <w:bookmarkEnd w:id="12"/>
    </w:p>
    <w:sectPr w:rsidR="002F43C5" w:rsidRPr="00132D5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BC32B" w14:textId="77777777" w:rsidR="00BA3606" w:rsidRDefault="00BA3606">
      <w:r>
        <w:separator/>
      </w:r>
    </w:p>
  </w:endnote>
  <w:endnote w:type="continuationSeparator" w:id="0">
    <w:p w14:paraId="5CB34B89" w14:textId="77777777" w:rsidR="00BA3606" w:rsidRDefault="00BA3606">
      <w:r>
        <w:continuationSeparator/>
      </w:r>
    </w:p>
  </w:endnote>
  <w:endnote w:type="continuationNotice" w:id="1">
    <w:p w14:paraId="09D76F6E" w14:textId="77777777" w:rsidR="00BA3606" w:rsidRDefault="00BA3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1ECD85A" w:rsidR="00562566" w:rsidRDefault="005625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D029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D029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686B7" w14:textId="77777777" w:rsidR="00BA3606" w:rsidRDefault="00BA3606">
      <w:r>
        <w:separator/>
      </w:r>
    </w:p>
  </w:footnote>
  <w:footnote w:type="continuationSeparator" w:id="0">
    <w:p w14:paraId="2F67348B" w14:textId="77777777" w:rsidR="00BA3606" w:rsidRDefault="00BA3606">
      <w:r>
        <w:continuationSeparator/>
      </w:r>
    </w:p>
  </w:footnote>
  <w:footnote w:type="continuationNotice" w:id="1">
    <w:p w14:paraId="28B30027" w14:textId="77777777" w:rsidR="00BA3606" w:rsidRDefault="00BA36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562566" w:rsidRDefault="005625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0CE194C"/>
    <w:multiLevelType w:val="hybridMultilevel"/>
    <w:tmpl w:val="70143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A1423C"/>
    <w:multiLevelType w:val="hybridMultilevel"/>
    <w:tmpl w:val="57E6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865AF"/>
    <w:multiLevelType w:val="hybridMultilevel"/>
    <w:tmpl w:val="6F466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C539CF"/>
    <w:multiLevelType w:val="hybridMultilevel"/>
    <w:tmpl w:val="6164D1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355C00"/>
    <w:multiLevelType w:val="hybridMultilevel"/>
    <w:tmpl w:val="6946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5355AA"/>
    <w:multiLevelType w:val="hybridMultilevel"/>
    <w:tmpl w:val="3F68C6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DF66E5F"/>
    <w:multiLevelType w:val="hybridMultilevel"/>
    <w:tmpl w:val="E9562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7F43CE"/>
    <w:multiLevelType w:val="hybridMultilevel"/>
    <w:tmpl w:val="42E600A6"/>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C1C75FB"/>
    <w:multiLevelType w:val="hybridMultilevel"/>
    <w:tmpl w:val="EA4E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3E047B"/>
    <w:multiLevelType w:val="hybridMultilevel"/>
    <w:tmpl w:val="C0D8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5568BA"/>
    <w:multiLevelType w:val="hybridMultilevel"/>
    <w:tmpl w:val="0246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CD1B5A"/>
    <w:multiLevelType w:val="hybridMultilevel"/>
    <w:tmpl w:val="F26238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CDD0D93"/>
    <w:multiLevelType w:val="hybridMultilevel"/>
    <w:tmpl w:val="D0607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8"/>
  </w:num>
  <w:num w:numId="3">
    <w:abstractNumId w:val="30"/>
  </w:num>
  <w:num w:numId="4">
    <w:abstractNumId w:val="32"/>
  </w:num>
  <w:num w:numId="5">
    <w:abstractNumId w:val="24"/>
  </w:num>
  <w:num w:numId="6">
    <w:abstractNumId w:val="35"/>
  </w:num>
  <w:num w:numId="7">
    <w:abstractNumId w:val="41"/>
  </w:num>
  <w:num w:numId="8">
    <w:abstractNumId w:val="25"/>
  </w:num>
  <w:num w:numId="9">
    <w:abstractNumId w:val="19"/>
  </w:num>
  <w:num w:numId="10">
    <w:abstractNumId w:val="3"/>
  </w:num>
  <w:num w:numId="11">
    <w:abstractNumId w:val="2"/>
  </w:num>
  <w:num w:numId="12">
    <w:abstractNumId w:val="1"/>
  </w:num>
  <w:num w:numId="13">
    <w:abstractNumId w:val="40"/>
  </w:num>
  <w:num w:numId="14">
    <w:abstractNumId w:val="0"/>
  </w:num>
  <w:num w:numId="15">
    <w:abstractNumId w:val="21"/>
  </w:num>
  <w:num w:numId="16">
    <w:abstractNumId w:val="43"/>
  </w:num>
  <w:num w:numId="17">
    <w:abstractNumId w:val="33"/>
  </w:num>
  <w:num w:numId="18">
    <w:abstractNumId w:val="37"/>
  </w:num>
  <w:num w:numId="19">
    <w:abstractNumId w:val="10"/>
  </w:num>
  <w:num w:numId="20">
    <w:abstractNumId w:val="29"/>
  </w:num>
  <w:num w:numId="21">
    <w:abstractNumId w:val="14"/>
  </w:num>
  <w:num w:numId="22">
    <w:abstractNumId w:val="6"/>
  </w:num>
  <w:num w:numId="23">
    <w:abstractNumId w:val="36"/>
  </w:num>
  <w:num w:numId="24">
    <w:abstractNumId w:val="34"/>
  </w:num>
  <w:num w:numId="25">
    <w:abstractNumId w:val="22"/>
  </w:num>
  <w:num w:numId="26">
    <w:abstractNumId w:val="11"/>
  </w:num>
  <w:num w:numId="27">
    <w:abstractNumId w:val="17"/>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9"/>
  </w:num>
  <w:num w:numId="30">
    <w:abstractNumId w:val="23"/>
  </w:num>
  <w:num w:numId="31">
    <w:abstractNumId w:val="47"/>
  </w:num>
  <w:num w:numId="32">
    <w:abstractNumId w:val="30"/>
    <w:lvlOverride w:ilvl="0">
      <w:startOverride w:val="5"/>
    </w:lvlOverride>
  </w:num>
  <w:num w:numId="33">
    <w:abstractNumId w:val="39"/>
  </w:num>
  <w:num w:numId="34">
    <w:abstractNumId w:val="4"/>
  </w:num>
  <w:num w:numId="35">
    <w:abstractNumId w:val="48"/>
  </w:num>
  <w:num w:numId="36">
    <w:abstractNumId w:val="9"/>
  </w:num>
  <w:num w:numId="37">
    <w:abstractNumId w:val="46"/>
  </w:num>
  <w:num w:numId="38">
    <w:abstractNumId w:val="28"/>
  </w:num>
  <w:num w:numId="39">
    <w:abstractNumId w:val="27"/>
  </w:num>
  <w:num w:numId="40">
    <w:abstractNumId w:val="13"/>
  </w:num>
  <w:num w:numId="41">
    <w:abstractNumId w:val="45"/>
  </w:num>
  <w:num w:numId="42">
    <w:abstractNumId w:val="20"/>
  </w:num>
  <w:num w:numId="43">
    <w:abstractNumId w:val="16"/>
  </w:num>
  <w:num w:numId="44">
    <w:abstractNumId w:val="26"/>
  </w:num>
  <w:num w:numId="45">
    <w:abstractNumId w:val="8"/>
  </w:num>
  <w:num w:numId="46">
    <w:abstractNumId w:val="31"/>
  </w:num>
  <w:num w:numId="47">
    <w:abstractNumId w:val="12"/>
  </w:num>
  <w:num w:numId="48">
    <w:abstractNumId w:val="7"/>
  </w:num>
  <w:num w:numId="49">
    <w:abstractNumId w:val="15"/>
  </w:num>
  <w:num w:numId="50">
    <w:abstractNumId w:val="18"/>
  </w:num>
  <w:num w:numId="51">
    <w:abstractNumId w:val="44"/>
  </w:num>
  <w:num w:numId="52">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4468"/>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0DF6"/>
    <w:rsid w:val="000422E2"/>
    <w:rsid w:val="00042F22"/>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D5F"/>
    <w:rsid w:val="00132FD0"/>
    <w:rsid w:val="001344C0"/>
    <w:rsid w:val="001346FA"/>
    <w:rsid w:val="00135252"/>
    <w:rsid w:val="00136F34"/>
    <w:rsid w:val="00137AB5"/>
    <w:rsid w:val="00137F0B"/>
    <w:rsid w:val="00140964"/>
    <w:rsid w:val="00142332"/>
    <w:rsid w:val="00142AA9"/>
    <w:rsid w:val="0014596D"/>
    <w:rsid w:val="00145CF2"/>
    <w:rsid w:val="00147B9C"/>
    <w:rsid w:val="00147CE6"/>
    <w:rsid w:val="001507D7"/>
    <w:rsid w:val="00151E23"/>
    <w:rsid w:val="001526E0"/>
    <w:rsid w:val="00153A3F"/>
    <w:rsid w:val="001551B5"/>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2C68"/>
    <w:rsid w:val="001C3D2A"/>
    <w:rsid w:val="001C7626"/>
    <w:rsid w:val="001D51BA"/>
    <w:rsid w:val="001D6342"/>
    <w:rsid w:val="001D6D53"/>
    <w:rsid w:val="001E1C24"/>
    <w:rsid w:val="001E58E2"/>
    <w:rsid w:val="001E6E7C"/>
    <w:rsid w:val="001E7AED"/>
    <w:rsid w:val="001F1728"/>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4642D"/>
    <w:rsid w:val="002500C8"/>
    <w:rsid w:val="002512D7"/>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5F5"/>
    <w:rsid w:val="00280751"/>
    <w:rsid w:val="0028280A"/>
    <w:rsid w:val="00283372"/>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6D80"/>
    <w:rsid w:val="002A7A8C"/>
    <w:rsid w:val="002B0227"/>
    <w:rsid w:val="002B0907"/>
    <w:rsid w:val="002B24D6"/>
    <w:rsid w:val="002B4CE9"/>
    <w:rsid w:val="002B5943"/>
    <w:rsid w:val="002C406E"/>
    <w:rsid w:val="002C41E6"/>
    <w:rsid w:val="002C6788"/>
    <w:rsid w:val="002D029C"/>
    <w:rsid w:val="002D071A"/>
    <w:rsid w:val="002D1464"/>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282"/>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3682"/>
    <w:rsid w:val="00357380"/>
    <w:rsid w:val="003602D9"/>
    <w:rsid w:val="003604CE"/>
    <w:rsid w:val="003639EA"/>
    <w:rsid w:val="00365F79"/>
    <w:rsid w:val="00367094"/>
    <w:rsid w:val="00370E47"/>
    <w:rsid w:val="003742AC"/>
    <w:rsid w:val="00374679"/>
    <w:rsid w:val="003766F3"/>
    <w:rsid w:val="00377CE1"/>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2702"/>
    <w:rsid w:val="003C3308"/>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4DE"/>
    <w:rsid w:val="00437447"/>
    <w:rsid w:val="00441A92"/>
    <w:rsid w:val="00444DE6"/>
    <w:rsid w:val="00444F56"/>
    <w:rsid w:val="00446488"/>
    <w:rsid w:val="00446AFF"/>
    <w:rsid w:val="00447DDB"/>
    <w:rsid w:val="004517AA"/>
    <w:rsid w:val="00452B53"/>
    <w:rsid w:val="00452CAC"/>
    <w:rsid w:val="00457565"/>
    <w:rsid w:val="00457B71"/>
    <w:rsid w:val="00464C4C"/>
    <w:rsid w:val="004669E2"/>
    <w:rsid w:val="00470C31"/>
    <w:rsid w:val="00472C00"/>
    <w:rsid w:val="004734D0"/>
    <w:rsid w:val="0047447B"/>
    <w:rsid w:val="00474CE8"/>
    <w:rsid w:val="0047556B"/>
    <w:rsid w:val="00477768"/>
    <w:rsid w:val="00484FD1"/>
    <w:rsid w:val="004903E5"/>
    <w:rsid w:val="00492BC5"/>
    <w:rsid w:val="004959FC"/>
    <w:rsid w:val="004964F1"/>
    <w:rsid w:val="004A163A"/>
    <w:rsid w:val="004A16BC"/>
    <w:rsid w:val="004A2B94"/>
    <w:rsid w:val="004B0EE9"/>
    <w:rsid w:val="004B6991"/>
    <w:rsid w:val="004B7C0C"/>
    <w:rsid w:val="004C3898"/>
    <w:rsid w:val="004C4D69"/>
    <w:rsid w:val="004C5E10"/>
    <w:rsid w:val="004C6818"/>
    <w:rsid w:val="004C691A"/>
    <w:rsid w:val="004C6FA5"/>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19CF"/>
    <w:rsid w:val="00523C2C"/>
    <w:rsid w:val="005261FA"/>
    <w:rsid w:val="00533841"/>
    <w:rsid w:val="00534B59"/>
    <w:rsid w:val="00536759"/>
    <w:rsid w:val="00537C62"/>
    <w:rsid w:val="00543986"/>
    <w:rsid w:val="00544D5B"/>
    <w:rsid w:val="00545E72"/>
    <w:rsid w:val="00545FC4"/>
    <w:rsid w:val="00546970"/>
    <w:rsid w:val="00546C74"/>
    <w:rsid w:val="00554E19"/>
    <w:rsid w:val="00554E73"/>
    <w:rsid w:val="00555435"/>
    <w:rsid w:val="00557D7C"/>
    <w:rsid w:val="0056121F"/>
    <w:rsid w:val="00561B10"/>
    <w:rsid w:val="00562566"/>
    <w:rsid w:val="00566E2B"/>
    <w:rsid w:val="0057036A"/>
    <w:rsid w:val="00572505"/>
    <w:rsid w:val="00582809"/>
    <w:rsid w:val="00585F85"/>
    <w:rsid w:val="0058798C"/>
    <w:rsid w:val="005900FA"/>
    <w:rsid w:val="005935A4"/>
    <w:rsid w:val="005948C2"/>
    <w:rsid w:val="00595DCA"/>
    <w:rsid w:val="00595EC8"/>
    <w:rsid w:val="0059685C"/>
    <w:rsid w:val="0059779B"/>
    <w:rsid w:val="005A0A5B"/>
    <w:rsid w:val="005A209A"/>
    <w:rsid w:val="005A2E25"/>
    <w:rsid w:val="005A481D"/>
    <w:rsid w:val="005A61E5"/>
    <w:rsid w:val="005A662D"/>
    <w:rsid w:val="005B35D7"/>
    <w:rsid w:val="005B392A"/>
    <w:rsid w:val="005B3AA3"/>
    <w:rsid w:val="005B3F59"/>
    <w:rsid w:val="005B6F83"/>
    <w:rsid w:val="005C0B51"/>
    <w:rsid w:val="005C0C58"/>
    <w:rsid w:val="005C74FB"/>
    <w:rsid w:val="005D1602"/>
    <w:rsid w:val="005D22E6"/>
    <w:rsid w:val="005E0F14"/>
    <w:rsid w:val="005E1A85"/>
    <w:rsid w:val="005E2475"/>
    <w:rsid w:val="005E3240"/>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34F7"/>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42D"/>
    <w:rsid w:val="0070346E"/>
    <w:rsid w:val="00703C66"/>
    <w:rsid w:val="00704EDB"/>
    <w:rsid w:val="00706101"/>
    <w:rsid w:val="0070655A"/>
    <w:rsid w:val="00706C61"/>
    <w:rsid w:val="00707072"/>
    <w:rsid w:val="00707D61"/>
    <w:rsid w:val="00711B0A"/>
    <w:rsid w:val="00712287"/>
    <w:rsid w:val="00712772"/>
    <w:rsid w:val="007146C7"/>
    <w:rsid w:val="007148D3"/>
    <w:rsid w:val="0071565A"/>
    <w:rsid w:val="00715B9A"/>
    <w:rsid w:val="00716F2B"/>
    <w:rsid w:val="00720D98"/>
    <w:rsid w:val="00721857"/>
    <w:rsid w:val="00722D34"/>
    <w:rsid w:val="00726EA6"/>
    <w:rsid w:val="00727208"/>
    <w:rsid w:val="00727680"/>
    <w:rsid w:val="00730A5D"/>
    <w:rsid w:val="0073321A"/>
    <w:rsid w:val="007348B1"/>
    <w:rsid w:val="007362A6"/>
    <w:rsid w:val="007368AF"/>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26F5"/>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37A2"/>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405"/>
    <w:rsid w:val="008903FE"/>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4BD4"/>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475A"/>
    <w:rsid w:val="009D4FF0"/>
    <w:rsid w:val="009D60A6"/>
    <w:rsid w:val="009D6F94"/>
    <w:rsid w:val="009D703C"/>
    <w:rsid w:val="009D718F"/>
    <w:rsid w:val="009E068F"/>
    <w:rsid w:val="009E14E0"/>
    <w:rsid w:val="009E35DB"/>
    <w:rsid w:val="009E47A3"/>
    <w:rsid w:val="009E6849"/>
    <w:rsid w:val="009F08F3"/>
    <w:rsid w:val="009F18A9"/>
    <w:rsid w:val="009F344F"/>
    <w:rsid w:val="00A02E75"/>
    <w:rsid w:val="00A0362C"/>
    <w:rsid w:val="00A048A8"/>
    <w:rsid w:val="00A04F49"/>
    <w:rsid w:val="00A13E54"/>
    <w:rsid w:val="00A17F63"/>
    <w:rsid w:val="00A207DD"/>
    <w:rsid w:val="00A2193B"/>
    <w:rsid w:val="00A220BC"/>
    <w:rsid w:val="00A2351A"/>
    <w:rsid w:val="00A264A9"/>
    <w:rsid w:val="00A275C6"/>
    <w:rsid w:val="00A27785"/>
    <w:rsid w:val="00A30187"/>
    <w:rsid w:val="00A3448A"/>
    <w:rsid w:val="00A36297"/>
    <w:rsid w:val="00A40019"/>
    <w:rsid w:val="00A41B97"/>
    <w:rsid w:val="00A41E2B"/>
    <w:rsid w:val="00A45B74"/>
    <w:rsid w:val="00A52E1D"/>
    <w:rsid w:val="00A54210"/>
    <w:rsid w:val="00A54B08"/>
    <w:rsid w:val="00A570F2"/>
    <w:rsid w:val="00A5758B"/>
    <w:rsid w:val="00A61499"/>
    <w:rsid w:val="00A62A77"/>
    <w:rsid w:val="00A63483"/>
    <w:rsid w:val="00A635A6"/>
    <w:rsid w:val="00A653DB"/>
    <w:rsid w:val="00A657D7"/>
    <w:rsid w:val="00A660AC"/>
    <w:rsid w:val="00A67799"/>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4EB"/>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5583"/>
    <w:rsid w:val="00B2763F"/>
    <w:rsid w:val="00B27AAC"/>
    <w:rsid w:val="00B30929"/>
    <w:rsid w:val="00B372AA"/>
    <w:rsid w:val="00B403B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3302"/>
    <w:rsid w:val="00B646F3"/>
    <w:rsid w:val="00B64E41"/>
    <w:rsid w:val="00B664C7"/>
    <w:rsid w:val="00B66D9B"/>
    <w:rsid w:val="00B739F6"/>
    <w:rsid w:val="00B81A6C"/>
    <w:rsid w:val="00B81BE4"/>
    <w:rsid w:val="00B842A0"/>
    <w:rsid w:val="00B85DE5"/>
    <w:rsid w:val="00B90F73"/>
    <w:rsid w:val="00B9371D"/>
    <w:rsid w:val="00B93B59"/>
    <w:rsid w:val="00B9406A"/>
    <w:rsid w:val="00BA2280"/>
    <w:rsid w:val="00BA2A08"/>
    <w:rsid w:val="00BA3606"/>
    <w:rsid w:val="00BA56D2"/>
    <w:rsid w:val="00BA62FA"/>
    <w:rsid w:val="00BA6C49"/>
    <w:rsid w:val="00BA76E0"/>
    <w:rsid w:val="00BB0976"/>
    <w:rsid w:val="00BB207A"/>
    <w:rsid w:val="00BB2A25"/>
    <w:rsid w:val="00BB51E9"/>
    <w:rsid w:val="00BB5C77"/>
    <w:rsid w:val="00BB71CB"/>
    <w:rsid w:val="00BC0FDC"/>
    <w:rsid w:val="00BC3053"/>
    <w:rsid w:val="00BC4D2E"/>
    <w:rsid w:val="00BC5E44"/>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6F67"/>
    <w:rsid w:val="00C07377"/>
    <w:rsid w:val="00C07E87"/>
    <w:rsid w:val="00C10478"/>
    <w:rsid w:val="00C1093B"/>
    <w:rsid w:val="00C12107"/>
    <w:rsid w:val="00C1414B"/>
    <w:rsid w:val="00C14D4B"/>
    <w:rsid w:val="00C154BB"/>
    <w:rsid w:val="00C20166"/>
    <w:rsid w:val="00C25F2F"/>
    <w:rsid w:val="00C27624"/>
    <w:rsid w:val="00C279B5"/>
    <w:rsid w:val="00C27C45"/>
    <w:rsid w:val="00C348C6"/>
    <w:rsid w:val="00C3719D"/>
    <w:rsid w:val="00C43FE1"/>
    <w:rsid w:val="00C45F3F"/>
    <w:rsid w:val="00C47B3C"/>
    <w:rsid w:val="00C5028B"/>
    <w:rsid w:val="00C54995"/>
    <w:rsid w:val="00C54D41"/>
    <w:rsid w:val="00C57688"/>
    <w:rsid w:val="00C57B03"/>
    <w:rsid w:val="00C60783"/>
    <w:rsid w:val="00C64672"/>
    <w:rsid w:val="00C66FD4"/>
    <w:rsid w:val="00C704D9"/>
    <w:rsid w:val="00C70697"/>
    <w:rsid w:val="00C72EF4"/>
    <w:rsid w:val="00C75D2F"/>
    <w:rsid w:val="00C767BE"/>
    <w:rsid w:val="00C76E3C"/>
    <w:rsid w:val="00C77721"/>
    <w:rsid w:val="00C7775C"/>
    <w:rsid w:val="00C80444"/>
    <w:rsid w:val="00C80973"/>
    <w:rsid w:val="00C81568"/>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51E"/>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6CA3"/>
    <w:rsid w:val="00D871CE"/>
    <w:rsid w:val="00D9196D"/>
    <w:rsid w:val="00D92982"/>
    <w:rsid w:val="00DA305E"/>
    <w:rsid w:val="00DA5417"/>
    <w:rsid w:val="00DA55EB"/>
    <w:rsid w:val="00DA56E8"/>
    <w:rsid w:val="00DB0A9F"/>
    <w:rsid w:val="00DB2E53"/>
    <w:rsid w:val="00DB377D"/>
    <w:rsid w:val="00DB6E61"/>
    <w:rsid w:val="00DC015E"/>
    <w:rsid w:val="00DC2D36"/>
    <w:rsid w:val="00DC2D80"/>
    <w:rsid w:val="00DC3716"/>
    <w:rsid w:val="00DC53EF"/>
    <w:rsid w:val="00DD5680"/>
    <w:rsid w:val="00DD6CB5"/>
    <w:rsid w:val="00DE306E"/>
    <w:rsid w:val="00DE5608"/>
    <w:rsid w:val="00DE58D0"/>
    <w:rsid w:val="00DE654F"/>
    <w:rsid w:val="00DF0B6E"/>
    <w:rsid w:val="00DF15E0"/>
    <w:rsid w:val="00DF31B7"/>
    <w:rsid w:val="00DF37A0"/>
    <w:rsid w:val="00DF4917"/>
    <w:rsid w:val="00E110E7"/>
    <w:rsid w:val="00E11B20"/>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3B75"/>
    <w:rsid w:val="00E54E3B"/>
    <w:rsid w:val="00E55DFA"/>
    <w:rsid w:val="00E57565"/>
    <w:rsid w:val="00E62CF0"/>
    <w:rsid w:val="00E63838"/>
    <w:rsid w:val="00E64434"/>
    <w:rsid w:val="00E66D0F"/>
    <w:rsid w:val="00E67C51"/>
    <w:rsid w:val="00E71CF8"/>
    <w:rsid w:val="00E71E34"/>
    <w:rsid w:val="00E72EFC"/>
    <w:rsid w:val="00E758EC"/>
    <w:rsid w:val="00E76E18"/>
    <w:rsid w:val="00E80385"/>
    <w:rsid w:val="00E8234C"/>
    <w:rsid w:val="00E82C4D"/>
    <w:rsid w:val="00E83AA9"/>
    <w:rsid w:val="00E85928"/>
    <w:rsid w:val="00E8609F"/>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333"/>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1E74"/>
    <w:rsid w:val="00F13D34"/>
    <w:rsid w:val="00F15FA5"/>
    <w:rsid w:val="00F209B7"/>
    <w:rsid w:val="00F2376F"/>
    <w:rsid w:val="00F243D8"/>
    <w:rsid w:val="00F25A1E"/>
    <w:rsid w:val="00F30828"/>
    <w:rsid w:val="00F313D6"/>
    <w:rsid w:val="00F32B3E"/>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6D6"/>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D0620"/>
    <w:rsid w:val="00FD07F6"/>
    <w:rsid w:val="00FD1EC8"/>
    <w:rsid w:val="00FD47ED"/>
    <w:rsid w:val="00FD5DD1"/>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5824">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07335416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5NUHHDQN7SK2-1-114371</_dlc_DocId>
    <_dlc_DocIdUrl xmlns="08b2df90-05d3-4030-90d4-c9feeb4a1cd9">
      <Url>https://ericoll.internal.ericsson.com/sites/STAR/_layouts/DocIdRedir.aspx?ID=5NUHHDQN7SK2-1-114371</Url>
      <Description>5NUHHDQN7SK2-1-114371</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0E89E-4B92-4F6D-8181-898FDDFC8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3.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4.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5.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6.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7.xml><?xml version="1.0" encoding="utf-8"?>
<ds:datastoreItem xmlns:ds="http://schemas.openxmlformats.org/officeDocument/2006/customXml" ds:itemID="{1FC26572-659E-4ABA-8179-D4AAD128D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3</Pages>
  <Words>941</Words>
  <Characters>5369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1</dc:creator>
  <cp:keywords>Ericsson; TDoc; 3GPP</cp:keywords>
  <cp:lastModifiedBy>Ericsson</cp:lastModifiedBy>
  <cp:revision>5</cp:revision>
  <cp:lastPrinted>2008-01-31T07:09:00Z</cp:lastPrinted>
  <dcterms:created xsi:type="dcterms:W3CDTF">2017-05-06T04:14:00Z</dcterms:created>
  <dcterms:modified xsi:type="dcterms:W3CDTF">2017-05-06T04:15:00Z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6eea5463-b22c-45cd-a3fa-b75ec9505a11</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