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2FF16EDB" w:rsidR="00C07E87" w:rsidRPr="00D22346" w:rsidRDefault="00812072" w:rsidP="00C07E87">
      <w:pPr>
        <w:pStyle w:val="3GPPHeader"/>
        <w:spacing w:after="60"/>
        <w:rPr>
          <w:sz w:val="32"/>
          <w:szCs w:val="32"/>
          <w:highlight w:val="yellow"/>
        </w:rPr>
      </w:pPr>
      <w:r w:rsidRPr="00D22346">
        <w:t xml:space="preserve">3GPP TSG-RAN WG1 </w:t>
      </w:r>
      <w:r w:rsidR="00467E87">
        <w:t>Meeting</w:t>
      </w:r>
      <w:r w:rsidR="00844FDA">
        <w:t>#89</w:t>
      </w:r>
      <w:r w:rsidR="00C07E87" w:rsidRPr="00D22346">
        <w:tab/>
      </w:r>
      <w:r w:rsidR="003B365D" w:rsidRPr="00467E87">
        <w:rPr>
          <w:sz w:val="22"/>
        </w:rPr>
        <w:t xml:space="preserve"> </w:t>
      </w:r>
      <w:r w:rsidR="00240B51" w:rsidRPr="006C6517">
        <w:rPr>
          <w:szCs w:val="32"/>
        </w:rPr>
        <w:t>R1-</w:t>
      </w:r>
      <w:r w:rsidR="00AE553B" w:rsidRPr="006C6517">
        <w:rPr>
          <w:szCs w:val="32"/>
        </w:rPr>
        <w:t>17</w:t>
      </w:r>
      <w:r w:rsidR="00F42E3B">
        <w:rPr>
          <w:szCs w:val="32"/>
        </w:rPr>
        <w:t>09068</w:t>
      </w:r>
    </w:p>
    <w:p w14:paraId="0AE713F2" w14:textId="764CE75E" w:rsidR="00CE227E" w:rsidRDefault="00844FDA" w:rsidP="00CE227E">
      <w:pPr>
        <w:pStyle w:val="CRCoverPage"/>
        <w:outlineLvl w:val="0"/>
        <w:rPr>
          <w:b/>
          <w:noProof/>
          <w:sz w:val="24"/>
        </w:rPr>
      </w:pPr>
      <w:r>
        <w:rPr>
          <w:b/>
          <w:noProof/>
          <w:sz w:val="24"/>
        </w:rPr>
        <w:t>Hangzhou, China</w:t>
      </w:r>
      <w:r w:rsidR="00CE227E" w:rsidRPr="00AB78B2">
        <w:rPr>
          <w:b/>
          <w:noProof/>
          <w:sz w:val="24"/>
        </w:rPr>
        <w:t xml:space="preserve">, </w:t>
      </w:r>
      <w:r>
        <w:rPr>
          <w:b/>
          <w:noProof/>
          <w:sz w:val="24"/>
        </w:rPr>
        <w:t>15</w:t>
      </w:r>
      <w:r>
        <w:rPr>
          <w:b/>
          <w:noProof/>
          <w:sz w:val="24"/>
          <w:vertAlign w:val="superscript"/>
        </w:rPr>
        <w:t>th</w:t>
      </w:r>
      <w:r w:rsidR="00467E87">
        <w:rPr>
          <w:b/>
          <w:noProof/>
          <w:sz w:val="24"/>
        </w:rPr>
        <w:t xml:space="preserve">- </w:t>
      </w:r>
      <w:r>
        <w:rPr>
          <w:b/>
          <w:noProof/>
          <w:sz w:val="24"/>
        </w:rPr>
        <w:t>19</w:t>
      </w:r>
      <w:r w:rsidR="00CE227E" w:rsidRPr="00BD6748">
        <w:rPr>
          <w:b/>
          <w:noProof/>
          <w:sz w:val="24"/>
          <w:vertAlign w:val="superscript"/>
        </w:rPr>
        <w:t>th</w:t>
      </w:r>
      <w:r>
        <w:rPr>
          <w:b/>
          <w:noProof/>
          <w:sz w:val="24"/>
        </w:rPr>
        <w:t xml:space="preserve"> May</w:t>
      </w:r>
      <w:r w:rsidR="00CE227E">
        <w:rPr>
          <w:b/>
          <w:noProof/>
          <w:sz w:val="24"/>
        </w:rPr>
        <w:t xml:space="preserve"> 2017</w:t>
      </w:r>
    </w:p>
    <w:p w14:paraId="189863E3" w14:textId="77777777" w:rsidR="00C07E87" w:rsidRPr="00CE0424" w:rsidRDefault="00C07E87" w:rsidP="00C07E87">
      <w:pPr>
        <w:pStyle w:val="3GPPHeader"/>
      </w:pPr>
    </w:p>
    <w:p w14:paraId="293CC8DE" w14:textId="0D1F6ED1"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70493">
        <w:rPr>
          <w:sz w:val="22"/>
          <w:szCs w:val="22"/>
        </w:rPr>
        <w:t>7</w:t>
      </w:r>
      <w:r w:rsidR="00AE553B" w:rsidRPr="00AE553B">
        <w:rPr>
          <w:sz w:val="22"/>
          <w:szCs w:val="22"/>
        </w:rPr>
        <w:t>.1.3.1.</w:t>
      </w:r>
      <w:r w:rsidR="00A70493">
        <w:rPr>
          <w:sz w:val="22"/>
          <w:szCs w:val="22"/>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61A49BAC" w:rsidR="00E90E49" w:rsidRPr="00CE0424" w:rsidRDefault="003D3C45" w:rsidP="00311702">
      <w:pPr>
        <w:pStyle w:val="3GPPHeader"/>
        <w:rPr>
          <w:sz w:val="22"/>
          <w:szCs w:val="22"/>
        </w:rPr>
      </w:pPr>
      <w:r>
        <w:rPr>
          <w:sz w:val="22"/>
          <w:szCs w:val="22"/>
        </w:rPr>
        <w:t>Title:</w:t>
      </w:r>
      <w:r w:rsidR="00E90E49" w:rsidRPr="00CE0424">
        <w:rPr>
          <w:sz w:val="22"/>
          <w:szCs w:val="22"/>
        </w:rPr>
        <w:tab/>
      </w:r>
      <w:r w:rsidR="00AE5C65">
        <w:rPr>
          <w:sz w:val="22"/>
          <w:szCs w:val="22"/>
        </w:rPr>
        <w:t>On</w:t>
      </w:r>
      <w:r w:rsidR="00047697">
        <w:rPr>
          <w:sz w:val="22"/>
          <w:szCs w:val="22"/>
        </w:rPr>
        <w:t xml:space="preserve"> </w:t>
      </w:r>
      <w:r w:rsidR="00A70493">
        <w:rPr>
          <w:sz w:val="22"/>
          <w:szCs w:val="22"/>
        </w:rPr>
        <w:t>Blind Decoding of NR-PDCCH</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223CA11E" w14:textId="434B7737" w:rsidR="00E61AA3" w:rsidRPr="0084082E" w:rsidRDefault="00E61AA3" w:rsidP="00E61AA3">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535998">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00AE5C65">
        <w:rPr>
          <w:rFonts w:cs="Arial"/>
        </w:rPr>
        <w:t>was also</w:t>
      </w:r>
      <w:r w:rsidRPr="00F600E4">
        <w:rPr>
          <w:rFonts w:cs="Arial"/>
        </w:rPr>
        <w:t xml:space="preserve"> 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535998">
        <w:rPr>
          <w:rFonts w:cs="Arial"/>
        </w:rPr>
        <w:t>[2]</w:t>
      </w:r>
      <w:r w:rsidRPr="00F600E4">
        <w:rPr>
          <w:rFonts w:cs="Arial"/>
        </w:rPr>
        <w:fldChar w:fldCharType="end"/>
      </w:r>
      <w:r w:rsidR="00AE5C65">
        <w:rPr>
          <w:rFonts w:cs="Arial"/>
        </w:rPr>
        <w:t xml:space="preserve"> where the WI targets </w:t>
      </w:r>
      <w:r w:rsidRPr="00F600E4">
        <w:rPr>
          <w:rFonts w:cs="Arial"/>
        </w:rPr>
        <w:t>meet</w:t>
      </w:r>
      <w:r w:rsidR="00AE5C65">
        <w:rPr>
          <w:rFonts w:cs="Arial"/>
        </w:rPr>
        <w:t>ing</w:t>
      </w:r>
      <w:r w:rsidRPr="00F600E4">
        <w:rPr>
          <w:rFonts w:cs="Arial"/>
        </w:rPr>
        <w:t xml:space="preserve"> both eMBB and URLLC related 5G requirements in Rel-15. </w:t>
      </w:r>
      <w:r w:rsidRPr="0084082E">
        <w:t>The design of DL control channel is an essential part of the WI.</w:t>
      </w:r>
    </w:p>
    <w:p w14:paraId="62CDF67D" w14:textId="77777777" w:rsidR="00E61AA3" w:rsidRPr="006628A0" w:rsidRDefault="00E61AA3" w:rsidP="006628A0">
      <w:pPr>
        <w:pStyle w:val="BodyText"/>
      </w:pPr>
    </w:p>
    <w:p w14:paraId="1F36573B" w14:textId="686F5E90" w:rsidR="005F087C" w:rsidRDefault="00E54A3A" w:rsidP="005F087C">
      <w:pPr>
        <w:pStyle w:val="BodyText"/>
      </w:pPr>
      <w:r>
        <w:t xml:space="preserve">The following was agreed </w:t>
      </w:r>
      <w:r w:rsidR="00AE5C65">
        <w:t>at RAN1#88</w:t>
      </w:r>
      <w:r>
        <w:t xml:space="preserve"> </w:t>
      </w:r>
      <w:r w:rsidR="00E214D8">
        <w:fldChar w:fldCharType="begin"/>
      </w:r>
      <w:r w:rsidR="00E214D8">
        <w:instrText xml:space="preserve"> REF _Ref473934775 \n \h </w:instrText>
      </w:r>
      <w:r w:rsidR="00E214D8">
        <w:fldChar w:fldCharType="separate"/>
      </w:r>
      <w:r w:rsidR="00535998">
        <w:t>[3]</w:t>
      </w:r>
      <w:r w:rsidR="00E214D8">
        <w:fldChar w:fldCharType="end"/>
      </w:r>
    </w:p>
    <w:p w14:paraId="233FD39A" w14:textId="77777777" w:rsidR="00AE5C65" w:rsidRPr="00AE5C65" w:rsidRDefault="00AE5C65" w:rsidP="00AE5C65">
      <w:pPr>
        <w:rPr>
          <w:rFonts w:eastAsia="MS Mincho" w:cs="Arial"/>
          <w:lang w:eastAsia="ja-JP"/>
        </w:rPr>
      </w:pPr>
      <w:r w:rsidRPr="00AE5C65">
        <w:rPr>
          <w:rFonts w:eastAsia="MS Mincho" w:cs="Arial"/>
          <w:highlight w:val="green"/>
          <w:lang w:eastAsia="ja-JP"/>
        </w:rPr>
        <w:t>Agreements</w:t>
      </w:r>
      <w:r w:rsidRPr="00AE5C65">
        <w:rPr>
          <w:rFonts w:eastAsia="MS Mincho" w:cs="Arial"/>
          <w:lang w:eastAsia="ja-JP"/>
        </w:rPr>
        <w:t>:</w:t>
      </w:r>
    </w:p>
    <w:p w14:paraId="62A5722A"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0019B072"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7492AA33" w14:textId="77777777" w:rsidR="00AE5C65" w:rsidRPr="00451587" w:rsidRDefault="00AE5C65" w:rsidP="00AE5C65">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794B5E45" w14:textId="594ABF3E" w:rsidR="007130DC" w:rsidRPr="00A2583F" w:rsidRDefault="00AE5C65" w:rsidP="007130DC">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64CCEA9B" w14:textId="71543912" w:rsidR="00DB0354" w:rsidRDefault="00DB0354" w:rsidP="006628A0">
      <w:pPr>
        <w:pStyle w:val="BodyText"/>
      </w:pPr>
      <w:r>
        <w:t>In RAN1#88bis, the following was further agreed</w:t>
      </w:r>
      <w:r w:rsidR="00E95A90">
        <w:t xml:space="preserve"> </w:t>
      </w:r>
      <w:r w:rsidR="00E95A90">
        <w:fldChar w:fldCharType="begin"/>
      </w:r>
      <w:r w:rsidR="00E95A90">
        <w:instrText xml:space="preserve"> REF _Ref481697546 \r \h </w:instrText>
      </w:r>
      <w:r w:rsidR="00E95A90">
        <w:fldChar w:fldCharType="separate"/>
      </w:r>
      <w:r w:rsidR="00535998">
        <w:t>[4]</w:t>
      </w:r>
      <w:r w:rsidR="00E95A90">
        <w:fldChar w:fldCharType="end"/>
      </w:r>
      <w:r w:rsidR="00E95A90">
        <w:t>.</w:t>
      </w:r>
    </w:p>
    <w:p w14:paraId="4A2DF227" w14:textId="77777777" w:rsidR="00DB0354" w:rsidRPr="00DE3F7B" w:rsidRDefault="00DB0354" w:rsidP="00DB0354">
      <w:pPr>
        <w:rPr>
          <w:rFonts w:eastAsia="MS Mincho"/>
          <w:b/>
          <w:highlight w:val="darkYellow"/>
          <w:u w:val="single"/>
          <w:lang w:eastAsia="ja-JP"/>
        </w:rPr>
      </w:pPr>
      <w:r w:rsidRPr="00DE3F7B">
        <w:rPr>
          <w:rFonts w:eastAsia="MS Mincho" w:hint="eastAsia"/>
          <w:b/>
          <w:highlight w:val="green"/>
          <w:u w:val="single"/>
          <w:lang w:eastAsia="ja-JP"/>
        </w:rPr>
        <w:t>Agreement</w:t>
      </w:r>
      <w:r>
        <w:rPr>
          <w:rFonts w:eastAsia="MS Mincho" w:hint="eastAsia"/>
          <w:b/>
          <w:highlight w:val="green"/>
          <w:u w:val="single"/>
          <w:lang w:eastAsia="ja-JP"/>
        </w:rPr>
        <w:t>:</w:t>
      </w:r>
    </w:p>
    <w:p w14:paraId="5FAF9F3A" w14:textId="77777777" w:rsidR="00DB0354" w:rsidRPr="00BC742B" w:rsidRDefault="00DB0354" w:rsidP="00DB0354">
      <w:pPr>
        <w:numPr>
          <w:ilvl w:val="0"/>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 xml:space="preserve">UE can be configured to </w:t>
      </w:r>
      <w:r w:rsidRPr="00BC742B">
        <w:rPr>
          <w:rFonts w:eastAsia="MS Mincho" w:hint="eastAsia"/>
          <w:lang w:eastAsia="ja-JP"/>
        </w:rPr>
        <w:t>“</w:t>
      </w:r>
      <w:r w:rsidRPr="00BC742B">
        <w:rPr>
          <w:rFonts w:eastAsia="MS Mincho" w:hint="eastAsia"/>
          <w:lang w:eastAsia="ja-JP"/>
        </w:rPr>
        <w:t>monitor DL control channel</w:t>
      </w:r>
      <w:r w:rsidRPr="00BC742B">
        <w:rPr>
          <w:rFonts w:eastAsia="MS Mincho" w:hint="eastAsia"/>
          <w:lang w:eastAsia="ja-JP"/>
        </w:rPr>
        <w:t>”</w:t>
      </w:r>
      <w:r w:rsidRPr="00BC742B">
        <w:rPr>
          <w:rFonts w:eastAsia="MS Mincho" w:hint="eastAsia"/>
          <w:lang w:eastAsia="ja-JP"/>
        </w:rPr>
        <w:t xml:space="preserve"> in terms of slot or OFDM symbol with respect to the numerology of the DL control channel</w:t>
      </w:r>
    </w:p>
    <w:p w14:paraId="6F7C64D6" w14:textId="77777777" w:rsidR="00DB0354" w:rsidRPr="00BC742B" w:rsidRDefault="00DB0354" w:rsidP="00DB0354">
      <w:pPr>
        <w:numPr>
          <w:ilvl w:val="1"/>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 xml:space="preserve">Specification supports occasion of </w:t>
      </w:r>
      <w:r w:rsidRPr="00BC742B">
        <w:rPr>
          <w:rFonts w:eastAsia="MS Mincho" w:hint="eastAsia"/>
          <w:lang w:eastAsia="ja-JP"/>
        </w:rPr>
        <w:t>“</w:t>
      </w:r>
      <w:r w:rsidRPr="00BC742B">
        <w:rPr>
          <w:rFonts w:eastAsia="MS Mincho" w:hint="eastAsia"/>
          <w:lang w:eastAsia="ja-JP"/>
        </w:rPr>
        <w:t>DL control channel monitoring</w:t>
      </w:r>
      <w:r w:rsidRPr="00BC742B">
        <w:rPr>
          <w:rFonts w:eastAsia="MS Mincho" w:hint="eastAsia"/>
          <w:lang w:eastAsia="ja-JP"/>
        </w:rPr>
        <w:t>”</w:t>
      </w:r>
      <w:r w:rsidRPr="00BC742B">
        <w:rPr>
          <w:rFonts w:eastAsia="MS Mincho" w:hint="eastAsia"/>
          <w:lang w:eastAsia="ja-JP"/>
        </w:rPr>
        <w:t xml:space="preserve"> per 1 symbol with respect to the numerology of the DL control channel</w:t>
      </w:r>
    </w:p>
    <w:p w14:paraId="12354DBF" w14:textId="77777777" w:rsidR="00DB0354" w:rsidRPr="00BC742B" w:rsidRDefault="00DB0354" w:rsidP="00DB0354">
      <w:pPr>
        <w:numPr>
          <w:ilvl w:val="2"/>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Note: This may not be applied to all type of the UEs and/or use-cases</w:t>
      </w:r>
    </w:p>
    <w:p w14:paraId="21F4505C" w14:textId="77777777" w:rsidR="00DB0354" w:rsidRPr="00BC742B" w:rsidRDefault="00DB0354" w:rsidP="00DB0354">
      <w:pPr>
        <w:numPr>
          <w:ilvl w:val="2"/>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 xml:space="preserve">FFS whether or not total number of blind decodings in a slot when a UE is configured with </w:t>
      </w:r>
      <w:r w:rsidRPr="00BC742B">
        <w:rPr>
          <w:rFonts w:eastAsia="MS Mincho" w:hint="eastAsia"/>
          <w:lang w:eastAsia="ja-JP"/>
        </w:rPr>
        <w:t>“</w:t>
      </w:r>
      <w:r w:rsidRPr="00BC742B">
        <w:rPr>
          <w:rFonts w:eastAsia="MS Mincho" w:hint="eastAsia"/>
          <w:lang w:eastAsia="ja-JP"/>
        </w:rPr>
        <w:t>DL control channel monitoring</w:t>
      </w:r>
      <w:r w:rsidRPr="00BC742B">
        <w:rPr>
          <w:rFonts w:eastAsia="MS Mincho" w:hint="eastAsia"/>
          <w:lang w:eastAsia="ja-JP"/>
        </w:rPr>
        <w:t>”</w:t>
      </w:r>
      <w:r w:rsidRPr="00BC742B">
        <w:rPr>
          <w:rFonts w:eastAsia="MS Mincho" w:hint="eastAsia"/>
          <w:lang w:eastAsia="ja-JP"/>
        </w:rPr>
        <w:t xml:space="preserve"> per symbol can exceed the total number of blind decodings in a slot when a UE is configured with </w:t>
      </w:r>
      <w:r w:rsidRPr="00BC742B">
        <w:rPr>
          <w:rFonts w:eastAsia="MS Mincho" w:hint="eastAsia"/>
          <w:lang w:eastAsia="ja-JP"/>
        </w:rPr>
        <w:t>“</w:t>
      </w:r>
      <w:r w:rsidRPr="00BC742B">
        <w:rPr>
          <w:rFonts w:eastAsia="MS Mincho" w:hint="eastAsia"/>
          <w:lang w:eastAsia="ja-JP"/>
        </w:rPr>
        <w:t>DL control channel monitoring</w:t>
      </w:r>
      <w:r w:rsidRPr="00BC742B">
        <w:rPr>
          <w:rFonts w:eastAsia="MS Mincho" w:hint="eastAsia"/>
          <w:lang w:eastAsia="ja-JP"/>
        </w:rPr>
        <w:t>”</w:t>
      </w:r>
      <w:r w:rsidRPr="00BC742B">
        <w:rPr>
          <w:rFonts w:eastAsia="MS Mincho" w:hint="eastAsia"/>
          <w:lang w:eastAsia="ja-JP"/>
        </w:rPr>
        <w:t xml:space="preserve"> per slot</w:t>
      </w:r>
    </w:p>
    <w:p w14:paraId="34BBA733" w14:textId="77777777" w:rsidR="00DB0354" w:rsidRPr="00BC742B" w:rsidRDefault="00DB0354" w:rsidP="00DB0354">
      <w:pPr>
        <w:numPr>
          <w:ilvl w:val="0"/>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Data channel (PDSCH, PUSCH) duration and starting position</w:t>
      </w:r>
    </w:p>
    <w:p w14:paraId="1E0A17D6" w14:textId="77777777" w:rsidR="00DB0354" w:rsidRPr="00BC742B" w:rsidRDefault="00DB0354" w:rsidP="00DB0354">
      <w:pPr>
        <w:numPr>
          <w:ilvl w:val="1"/>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Specification supports data channel having minimum duration of 1 OFDM symbol of the data and starting at any OFDM symbol to below-6GHz, in addition to above-6GHz</w:t>
      </w:r>
    </w:p>
    <w:p w14:paraId="04412B16" w14:textId="77777777" w:rsidR="00DB0354" w:rsidRPr="00BC742B" w:rsidRDefault="00DB0354" w:rsidP="00DB0354">
      <w:pPr>
        <w:numPr>
          <w:ilvl w:val="2"/>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Note: This may not be applied to all type of UEs and/or use-cases</w:t>
      </w:r>
    </w:p>
    <w:p w14:paraId="531EA343" w14:textId="77777777" w:rsidR="00DB0354" w:rsidRPr="00BC742B" w:rsidRDefault="00DB0354" w:rsidP="00DB0354">
      <w:pPr>
        <w:numPr>
          <w:ilvl w:val="2"/>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UE is not expected to blindly detect the presence of DMRS or PT-RS</w:t>
      </w:r>
    </w:p>
    <w:p w14:paraId="596A2AFD" w14:textId="77777777" w:rsidR="00DB0354" w:rsidRPr="00BC742B" w:rsidRDefault="00DB0354" w:rsidP="00DB0354">
      <w:pPr>
        <w:numPr>
          <w:ilvl w:val="2"/>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FFS: Whether a 1 symbol data puncturing can be indicated by preemption indication</w:t>
      </w:r>
    </w:p>
    <w:p w14:paraId="59000A18" w14:textId="77777777" w:rsidR="00DB0354" w:rsidRPr="00BC742B" w:rsidRDefault="00DB0354" w:rsidP="00DB0354">
      <w:pPr>
        <w:numPr>
          <w:ilvl w:val="1"/>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FFS: combinations of data duration and granularities of data position</w:t>
      </w:r>
    </w:p>
    <w:p w14:paraId="719020EB" w14:textId="77777777" w:rsidR="00DB0354" w:rsidRPr="00BC742B" w:rsidRDefault="00DB0354" w:rsidP="00DB0354">
      <w:pPr>
        <w:numPr>
          <w:ilvl w:val="1"/>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Specification supports data having frequency-selective assignment with any data duration</w:t>
      </w:r>
    </w:p>
    <w:p w14:paraId="414BCE48" w14:textId="77777777" w:rsidR="00DB0354" w:rsidRPr="00BC742B" w:rsidRDefault="00DB0354" w:rsidP="00DB0354">
      <w:pPr>
        <w:numPr>
          <w:ilvl w:val="0"/>
          <w:numId w:val="39"/>
        </w:numPr>
        <w:overflowPunct/>
        <w:autoSpaceDE/>
        <w:autoSpaceDN/>
        <w:adjustRightInd/>
        <w:spacing w:after="0"/>
        <w:jc w:val="left"/>
        <w:textAlignment w:val="auto"/>
        <w:rPr>
          <w:rFonts w:eastAsia="MS Mincho"/>
          <w:lang w:eastAsia="ja-JP"/>
        </w:rPr>
      </w:pPr>
      <w:r w:rsidRPr="00BC742B">
        <w:rPr>
          <w:rFonts w:eastAsia="MS Mincho" w:hint="eastAsia"/>
          <w:lang w:eastAsia="ja-JP"/>
        </w:rPr>
        <w:t xml:space="preserve">FFS: relations between </w:t>
      </w:r>
      <w:r w:rsidRPr="00BC742B">
        <w:rPr>
          <w:rFonts w:eastAsia="MS Mincho" w:hint="eastAsia"/>
          <w:lang w:eastAsia="ja-JP"/>
        </w:rPr>
        <w:t>“</w:t>
      </w:r>
      <w:r w:rsidRPr="00BC742B">
        <w:rPr>
          <w:rFonts w:eastAsia="MS Mincho" w:hint="eastAsia"/>
          <w:lang w:eastAsia="ja-JP"/>
        </w:rPr>
        <w:t>DL control channel monitoring</w:t>
      </w:r>
      <w:r w:rsidRPr="00BC742B">
        <w:rPr>
          <w:rFonts w:eastAsia="MS Mincho" w:hint="eastAsia"/>
          <w:lang w:eastAsia="ja-JP"/>
        </w:rPr>
        <w:t>”</w:t>
      </w:r>
      <w:r w:rsidRPr="00BC742B">
        <w:rPr>
          <w:rFonts w:eastAsia="MS Mincho" w:hint="eastAsia"/>
          <w:lang w:eastAsia="ja-JP"/>
        </w:rPr>
        <w:t xml:space="preserve"> occasions and data channel durations</w:t>
      </w:r>
    </w:p>
    <w:p w14:paraId="14358430" w14:textId="77777777" w:rsidR="00DB0354" w:rsidRDefault="00DB0354" w:rsidP="00DB0354">
      <w:pPr>
        <w:numPr>
          <w:ilvl w:val="0"/>
          <w:numId w:val="39"/>
        </w:numPr>
        <w:overflowPunct/>
        <w:autoSpaceDE/>
        <w:autoSpaceDN/>
        <w:adjustRightInd/>
        <w:spacing w:after="0"/>
        <w:ind w:left="360" w:firstLine="0"/>
        <w:jc w:val="left"/>
        <w:textAlignment w:val="auto"/>
        <w:rPr>
          <w:rFonts w:eastAsia="MS Mincho"/>
          <w:lang w:eastAsia="ja-JP"/>
        </w:rPr>
      </w:pPr>
      <w:r w:rsidRPr="00AE6699">
        <w:rPr>
          <w:rFonts w:eastAsia="MS Mincho" w:hint="eastAsia"/>
          <w:lang w:eastAsia="ja-JP"/>
        </w:rPr>
        <w:t>Note: this is addition to the agreements at RAN1#86.</w:t>
      </w:r>
    </w:p>
    <w:p w14:paraId="641CEBB8" w14:textId="77777777" w:rsidR="00DB0354" w:rsidRPr="00AE6699" w:rsidRDefault="00DB0354" w:rsidP="00DB0354">
      <w:pPr>
        <w:numPr>
          <w:ilvl w:val="0"/>
          <w:numId w:val="39"/>
        </w:numPr>
        <w:overflowPunct/>
        <w:autoSpaceDE/>
        <w:autoSpaceDN/>
        <w:adjustRightInd/>
        <w:spacing w:after="0"/>
        <w:ind w:left="360" w:firstLine="0"/>
        <w:jc w:val="left"/>
        <w:textAlignment w:val="auto"/>
        <w:rPr>
          <w:rFonts w:eastAsia="MS Mincho"/>
          <w:lang w:eastAsia="ja-JP"/>
        </w:rPr>
      </w:pPr>
      <w:r w:rsidRPr="00AE6699">
        <w:rPr>
          <w:rFonts w:eastAsia="MS Mincho" w:hint="eastAsia"/>
          <w:lang w:eastAsia="ja-JP"/>
        </w:rPr>
        <w:t>Note : 1-symbol case may be restricted depending on the BW.</w:t>
      </w:r>
    </w:p>
    <w:p w14:paraId="64D0BB57" w14:textId="77777777" w:rsidR="00DB0354" w:rsidRDefault="00DB0354" w:rsidP="006628A0">
      <w:pPr>
        <w:pStyle w:val="BodyText"/>
      </w:pPr>
    </w:p>
    <w:p w14:paraId="22560DAE" w14:textId="6176E6E1" w:rsidR="0009560B" w:rsidRPr="0009560B" w:rsidRDefault="008B458D" w:rsidP="006628A0">
      <w:pPr>
        <w:pStyle w:val="BodyText"/>
      </w:pPr>
      <w:r>
        <w:t>In this con</w:t>
      </w:r>
      <w:r w:rsidR="00AE5C65">
        <w:t>tribution we discuss</w:t>
      </w:r>
      <w:r w:rsidR="00DB0354">
        <w:t xml:space="preserve"> aspects related to the blind decoding of the NR-PDCCH</w:t>
      </w:r>
      <w:r w:rsidR="00426A03">
        <w:t xml:space="preserve">. We discuss the mapping of search space candidates at different aggregation levels to the resources in a control resource set in </w:t>
      </w:r>
      <w:r w:rsidR="006C6517">
        <w:fldChar w:fldCharType="begin"/>
      </w:r>
      <w:r w:rsidR="006C6517">
        <w:instrText xml:space="preserve"> REF _Ref478185221 \n \h </w:instrText>
      </w:r>
      <w:r w:rsidR="006C6517">
        <w:fldChar w:fldCharType="separate"/>
      </w:r>
      <w:r w:rsidR="00535998">
        <w:t>[5]</w:t>
      </w:r>
      <w:r w:rsidR="006C6517">
        <w:fldChar w:fldCharType="end"/>
      </w:r>
      <w:r w:rsidR="006C6517">
        <w:t>.</w:t>
      </w:r>
    </w:p>
    <w:p w14:paraId="1026FACB" w14:textId="34FFC7DE" w:rsidR="00047697" w:rsidRPr="00DB0354" w:rsidRDefault="005261FA" w:rsidP="003245DE">
      <w:pPr>
        <w:pStyle w:val="Heading1"/>
      </w:pPr>
      <w:r>
        <w:lastRenderedPageBreak/>
        <w:t>Discussion</w:t>
      </w:r>
    </w:p>
    <w:p w14:paraId="4DE410BD" w14:textId="0F7E9233" w:rsidR="003245DE" w:rsidRDefault="0059719A" w:rsidP="003245DE">
      <w:pPr>
        <w:rPr>
          <w:color w:val="000000"/>
        </w:rPr>
      </w:pPr>
      <w:r>
        <w:rPr>
          <w:color w:val="000000"/>
        </w:rPr>
        <w:t xml:space="preserve">Blind decoding complexity is a key design aspect that needs to be considered in the design of the control channel framework for NR. To manage blind decoding complexity the </w:t>
      </w:r>
      <w:r w:rsidR="003245DE">
        <w:rPr>
          <w:color w:val="000000"/>
        </w:rPr>
        <w:t xml:space="preserve">number of blind decoding candidates </w:t>
      </w:r>
      <w:r>
        <w:rPr>
          <w:color w:val="000000"/>
        </w:rPr>
        <w:t>should</w:t>
      </w:r>
      <w:r w:rsidR="003245DE">
        <w:rPr>
          <w:color w:val="000000"/>
        </w:rPr>
        <w:t xml:space="preserve"> not </w:t>
      </w:r>
      <w:r>
        <w:rPr>
          <w:color w:val="000000"/>
        </w:rPr>
        <w:t xml:space="preserve">be </w:t>
      </w:r>
      <w:r w:rsidR="003245DE">
        <w:rPr>
          <w:color w:val="000000"/>
        </w:rPr>
        <w:t xml:space="preserve">impacted by the number of OFDM symbols in the control resource set and </w:t>
      </w:r>
      <w:r>
        <w:rPr>
          <w:color w:val="000000"/>
        </w:rPr>
        <w:t xml:space="preserve">should be </w:t>
      </w:r>
      <w:r w:rsidR="003245DE">
        <w:rPr>
          <w:color w:val="000000"/>
        </w:rPr>
        <w:t>distributed across all the configured control channel sets.</w:t>
      </w:r>
    </w:p>
    <w:p w14:paraId="03011686" w14:textId="6123CCD4" w:rsidR="0059719A" w:rsidRDefault="0059719A" w:rsidP="003245DE">
      <w:pPr>
        <w:rPr>
          <w:color w:val="000000"/>
        </w:rPr>
      </w:pPr>
      <w:r>
        <w:rPr>
          <w:color w:val="000000"/>
        </w:rPr>
        <w:t xml:space="preserve">A proposed structure of PDCCH candidates was described in </w:t>
      </w:r>
      <w:r w:rsidR="00313882">
        <w:rPr>
          <w:color w:val="000000"/>
        </w:rPr>
        <w:fldChar w:fldCharType="begin"/>
      </w:r>
      <w:r w:rsidR="00313882">
        <w:rPr>
          <w:color w:val="000000"/>
        </w:rPr>
        <w:instrText xml:space="preserve"> REF _Ref478185288 \r \h </w:instrText>
      </w:r>
      <w:r w:rsidR="00313882">
        <w:rPr>
          <w:color w:val="000000"/>
        </w:rPr>
      </w:r>
      <w:r w:rsidR="00313882">
        <w:rPr>
          <w:color w:val="000000"/>
        </w:rPr>
        <w:fldChar w:fldCharType="separate"/>
      </w:r>
      <w:r w:rsidR="00535998">
        <w:rPr>
          <w:color w:val="000000"/>
        </w:rPr>
        <w:t>[6]</w:t>
      </w:r>
      <w:r w:rsidR="00313882">
        <w:rPr>
          <w:color w:val="000000"/>
        </w:rPr>
        <w:fldChar w:fldCharType="end"/>
      </w:r>
      <w:r w:rsidR="00313882">
        <w:rPr>
          <w:color w:val="000000"/>
        </w:rPr>
        <w:t xml:space="preserve"> where how CCEs inside a CORESET should be numbered was shown. In this structure a CCE can be distributed across the CORESET depending on the particular interleaver defined for the CORESET. Search spaces can simply be defined as in LTE on the set of CCEs that belong to the search space</w:t>
      </w:r>
      <w:r w:rsidR="00EA5018">
        <w:rPr>
          <w:color w:val="000000"/>
        </w:rPr>
        <w:t>,</w:t>
      </w:r>
      <w:r w:rsidR="00313882">
        <w:rPr>
          <w:color w:val="000000"/>
        </w:rPr>
        <w:t xml:space="preserve"> with the CCEs corresponding to PDCCH candidate </w:t>
      </w:r>
      <w:r w:rsidR="00313882" w:rsidRPr="00E9040D">
        <w:rPr>
          <w:rFonts w:hint="eastAsia"/>
          <w:i/>
        </w:rPr>
        <w:t>m</w:t>
      </w:r>
      <w:r w:rsidR="00313882" w:rsidRPr="00E9040D">
        <w:rPr>
          <w:rFonts w:hint="eastAsia"/>
        </w:rPr>
        <w:t xml:space="preserve"> of the search space </w:t>
      </w:r>
      <w:r w:rsidR="00313882">
        <w:rPr>
          <w:noProof/>
          <w:position w:val="-12"/>
          <w:lang w:eastAsia="en-US"/>
        </w:rPr>
        <w:drawing>
          <wp:inline distT="0" distB="0" distL="0" distR="0" wp14:anchorId="6A9E1F17" wp14:editId="1E27EB92">
            <wp:extent cx="25273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00EA5018">
        <w:rPr>
          <w:rFonts w:hint="eastAsia"/>
        </w:rPr>
        <w:t xml:space="preserve"> being </w:t>
      </w:r>
      <w:r w:rsidR="00313882" w:rsidRPr="00E9040D">
        <w:t>given by</w:t>
      </w:r>
      <w:r w:rsidR="00313882">
        <w:rPr>
          <w:color w:val="000000"/>
        </w:rPr>
        <w:t xml:space="preserve"> </w:t>
      </w:r>
    </w:p>
    <w:p w14:paraId="532570F9" w14:textId="73E12473" w:rsidR="00313882" w:rsidRDefault="00313882" w:rsidP="00313882">
      <w:pPr>
        <w:jc w:val="center"/>
        <w:rPr>
          <w:color w:val="000000"/>
        </w:rPr>
      </w:pPr>
      <w:r>
        <w:rPr>
          <w:noProof/>
          <w:position w:val="-18"/>
          <w:lang w:eastAsia="en-US"/>
        </w:rPr>
        <w:drawing>
          <wp:inline distT="0" distB="0" distL="0" distR="0" wp14:anchorId="7CB19C2A" wp14:editId="2548C603">
            <wp:extent cx="1815465" cy="27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p>
    <w:p w14:paraId="4162F3A8" w14:textId="642AE793" w:rsidR="003245DE" w:rsidRDefault="00313882" w:rsidP="003245DE">
      <w:pPr>
        <w:rPr>
          <w:color w:val="000000"/>
        </w:rPr>
      </w:pPr>
      <w:r>
        <w:rPr>
          <w:color w:val="000000"/>
        </w:rPr>
        <w:t>where the definitions of the various parameters are defined as for LTE</w:t>
      </w:r>
      <w:r w:rsidR="00EA5018">
        <w:rPr>
          <w:color w:val="000000"/>
        </w:rPr>
        <w:t xml:space="preserve"> for the PDCCH. Another option is to define the candidates as is done for the EPDCCH. This can be discussed further. However, the general principle of following the same approach as in LTE with the set of CCEs defined in a CORESET is a reasonable way to define the PDCCH candidates that the UE must perform blind decoding on. </w:t>
      </w:r>
      <w:r w:rsidR="003245DE">
        <w:rPr>
          <w:color w:val="000000"/>
        </w:rPr>
        <w:t xml:space="preserve"> </w:t>
      </w:r>
    </w:p>
    <w:p w14:paraId="4A5E3343" w14:textId="2E7F9C7D" w:rsidR="00A12469" w:rsidRDefault="00A12469" w:rsidP="003245DE">
      <w:pPr>
        <w:rPr>
          <w:color w:val="000000"/>
        </w:rPr>
      </w:pPr>
      <w:r>
        <w:rPr>
          <w:color w:val="000000"/>
        </w:rPr>
        <w:t xml:space="preserve">The blind decoding rule can ensure some degree of randomization of the search space resources for different UEs to reduce blocking and interference. It is beneficial for the randomization to not include </w:t>
      </w:r>
      <w:r w:rsidR="00B12C24">
        <w:rPr>
          <w:color w:val="000000"/>
        </w:rPr>
        <w:t xml:space="preserve">physical </w:t>
      </w:r>
      <w:r>
        <w:rPr>
          <w:color w:val="000000"/>
        </w:rPr>
        <w:t>cell IDs to allow maximum flexibility for seamless operation in a variety of deployments.</w:t>
      </w:r>
      <w:r w:rsidR="00B12C24">
        <w:rPr>
          <w:color w:val="000000"/>
        </w:rPr>
        <w:t xml:space="preserve"> Virtual cell IDs could be used instead to maximize flexibility.</w:t>
      </w:r>
      <w:r>
        <w:rPr>
          <w:color w:val="000000"/>
        </w:rPr>
        <w:t xml:space="preserve"> </w:t>
      </w:r>
      <w:r w:rsidR="00B12C24">
        <w:rPr>
          <w:color w:val="000000"/>
        </w:rPr>
        <w:t xml:space="preserve">Furthermore, it is beneficial not to base the randomization </w:t>
      </w:r>
      <w:r w:rsidR="003242AA">
        <w:rPr>
          <w:color w:val="000000"/>
        </w:rPr>
        <w:t>on slot numbers but rather rely on UE IDs to reduce</w:t>
      </w:r>
      <w:r>
        <w:rPr>
          <w:color w:val="000000"/>
        </w:rPr>
        <w:t xml:space="preserve"> </w:t>
      </w:r>
      <w:r w:rsidR="003242AA">
        <w:rPr>
          <w:color w:val="000000"/>
        </w:rPr>
        <w:t xml:space="preserve">the probability of static </w:t>
      </w:r>
      <w:r>
        <w:rPr>
          <w:color w:val="000000"/>
        </w:rPr>
        <w:t xml:space="preserve">blocking </w:t>
      </w:r>
      <w:r w:rsidR="003242AA">
        <w:rPr>
          <w:color w:val="000000"/>
        </w:rPr>
        <w:t>and interference patterns</w:t>
      </w:r>
      <w:r>
        <w:rPr>
          <w:color w:val="000000"/>
        </w:rPr>
        <w:t xml:space="preserve">. </w:t>
      </w:r>
      <w:r w:rsidR="00FA2518">
        <w:rPr>
          <w:color w:val="000000"/>
        </w:rPr>
        <w:t>The use of slot numbers creates significant implementation complexities for operation in unlicensed spectrum where the time at which the channel may be available is not known. Without the dependence of the randomization on slot numbers, a transmission can be prepared and transmitted at a different slot without having to prepare the transmission again.</w:t>
      </w:r>
    </w:p>
    <w:p w14:paraId="0C2A5B70" w14:textId="77777777" w:rsidR="003245DE" w:rsidRDefault="003245DE" w:rsidP="003245DE">
      <w:pPr>
        <w:rPr>
          <w:color w:val="000000"/>
        </w:rPr>
      </w:pPr>
      <w:r>
        <w:rPr>
          <w:color w:val="000000"/>
        </w:rPr>
        <w:t>Based on the above discussion, we propose the following:</w:t>
      </w:r>
    </w:p>
    <w:p w14:paraId="50027E46" w14:textId="77777777" w:rsidR="003245DE" w:rsidRDefault="003245DE" w:rsidP="003245DE">
      <w:pPr>
        <w:rPr>
          <w:b/>
          <w:color w:val="000000"/>
        </w:rPr>
      </w:pPr>
    </w:p>
    <w:p w14:paraId="0AB3322D" w14:textId="77777777" w:rsidR="003245DE" w:rsidRPr="00047697" w:rsidRDefault="003245DE" w:rsidP="003245DE">
      <w:pPr>
        <w:rPr>
          <w:b/>
          <w:i/>
          <w:color w:val="000000"/>
        </w:rPr>
      </w:pPr>
      <w:r w:rsidRPr="00047697">
        <w:rPr>
          <w:b/>
          <w:i/>
          <w:color w:val="000000"/>
        </w:rPr>
        <w:t>Proposals:</w:t>
      </w:r>
    </w:p>
    <w:p w14:paraId="6E951E84" w14:textId="0E02CCC1" w:rsidR="003245DE" w:rsidRPr="003242AA" w:rsidRDefault="003245DE" w:rsidP="003242AA">
      <w:pPr>
        <w:pStyle w:val="ListParagraph"/>
        <w:numPr>
          <w:ilvl w:val="0"/>
          <w:numId w:val="27"/>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bookmarkStart w:id="0" w:name="_GoBack"/>
      <w:bookmarkEnd w:id="0"/>
    </w:p>
    <w:p w14:paraId="69C0AEFA" w14:textId="126C6014" w:rsidR="003245DE" w:rsidRPr="006628A0" w:rsidRDefault="003245DE" w:rsidP="003245DE">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r w:rsidR="00A66C42">
        <w:rPr>
          <w:rFonts w:ascii="Arial" w:hAnsi="Arial" w:cs="Arial"/>
          <w:color w:val="000000"/>
          <w:sz w:val="20"/>
          <w:szCs w:val="20"/>
          <w:lang w:val="en-US"/>
        </w:rPr>
        <w:t xml:space="preserve"> similar to the one used for the PDCCH in LTE</w:t>
      </w:r>
      <w:r w:rsidRPr="006628A0">
        <w:rPr>
          <w:rFonts w:ascii="Arial" w:hAnsi="Arial" w:cs="Arial"/>
          <w:color w:val="000000"/>
          <w:sz w:val="20"/>
          <w:szCs w:val="20"/>
          <w:lang w:val="en-US"/>
        </w:rPr>
        <w:t>.</w:t>
      </w:r>
    </w:p>
    <w:p w14:paraId="0F45871E" w14:textId="72A7D4B7" w:rsidR="0009560B" w:rsidRPr="00DB0354" w:rsidRDefault="00A12469" w:rsidP="00DB0354">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 xml:space="preserve">The </w:t>
      </w:r>
      <w:r w:rsidR="0041557D">
        <w:rPr>
          <w:rFonts w:ascii="Arial" w:hAnsi="Arial" w:cs="Arial"/>
          <w:color w:val="000000"/>
          <w:sz w:val="20"/>
          <w:szCs w:val="20"/>
          <w:lang w:val="en-US"/>
        </w:rPr>
        <w:t xml:space="preserve">automatic rule determining blind decode candidates </w:t>
      </w:r>
      <w:r>
        <w:rPr>
          <w:rFonts w:ascii="Arial" w:hAnsi="Arial" w:cs="Arial"/>
          <w:color w:val="000000"/>
          <w:sz w:val="20"/>
          <w:szCs w:val="20"/>
          <w:lang w:val="en-US"/>
        </w:rPr>
        <w:t xml:space="preserve">should not use </w:t>
      </w:r>
      <w:r w:rsidR="00280AD8">
        <w:rPr>
          <w:rFonts w:ascii="Arial" w:hAnsi="Arial" w:cs="Arial"/>
          <w:color w:val="000000"/>
          <w:sz w:val="20"/>
          <w:szCs w:val="20"/>
          <w:lang w:val="en-US"/>
        </w:rPr>
        <w:t xml:space="preserve">the </w:t>
      </w:r>
      <w:r>
        <w:rPr>
          <w:rFonts w:ascii="Arial" w:hAnsi="Arial" w:cs="Arial"/>
          <w:color w:val="000000"/>
          <w:sz w:val="20"/>
          <w:szCs w:val="20"/>
          <w:lang w:val="en-US"/>
        </w:rPr>
        <w:t xml:space="preserve">cell ID for randomization of </w:t>
      </w:r>
      <w:r w:rsidR="0041557D">
        <w:rPr>
          <w:rFonts w:ascii="Arial" w:hAnsi="Arial" w:cs="Arial"/>
          <w:color w:val="000000"/>
          <w:sz w:val="20"/>
          <w:szCs w:val="20"/>
          <w:lang w:val="en-US"/>
        </w:rPr>
        <w:t xml:space="preserve">the CCEs used for </w:t>
      </w:r>
      <w:r>
        <w:rPr>
          <w:rFonts w:ascii="Arial" w:hAnsi="Arial" w:cs="Arial"/>
          <w:color w:val="000000"/>
          <w:sz w:val="20"/>
          <w:szCs w:val="20"/>
          <w:lang w:val="en-US"/>
        </w:rPr>
        <w:t>candidates for different UEs.</w:t>
      </w:r>
    </w:p>
    <w:p w14:paraId="7987F701" w14:textId="756512C4" w:rsidR="00620462" w:rsidRDefault="00620462" w:rsidP="006628A0">
      <w:pPr>
        <w:pStyle w:val="BodyText"/>
        <w:overflowPunct/>
        <w:autoSpaceDE/>
        <w:autoSpaceDN/>
        <w:adjustRightInd/>
        <w:textAlignment w:val="auto"/>
      </w:pPr>
    </w:p>
    <w:p w14:paraId="1A17BA83" w14:textId="75BA66B8" w:rsidR="00413560" w:rsidRDefault="00620462" w:rsidP="006628A0">
      <w:pPr>
        <w:pStyle w:val="BodyText"/>
        <w:overflowPunct/>
        <w:autoSpaceDE/>
        <w:autoSpaceDN/>
        <w:adjustRightInd/>
        <w:textAlignment w:val="auto"/>
        <w:rPr>
          <w:rFonts w:cs="Arial"/>
          <w:color w:val="000000"/>
        </w:rPr>
      </w:pPr>
      <w:r>
        <w:t xml:space="preserve">Another aspect that is important to consider regarding blind decoding complexity is carrier aggregation. It is beneficial to define a number of blind decodes that the UE must perform on a per carrier basis. This allows the operation on a single carrier to not vary too much based on the number of carriers that may be configured to the UE at any given time. </w:t>
      </w:r>
      <w:r w:rsidR="00C033A7">
        <w:t xml:space="preserve">However, within a carrier, the blind decodes can be independent of the number of CORESETs as has already been agreed. </w:t>
      </w:r>
      <w:r w:rsidR="00413560" w:rsidRPr="00620462">
        <w:rPr>
          <w:rFonts w:cs="Arial"/>
          <w:color w:val="000000"/>
        </w:rPr>
        <w:t xml:space="preserve">The total number of blind </w:t>
      </w:r>
      <w:r w:rsidR="00413560">
        <w:rPr>
          <w:rFonts w:cs="Arial"/>
          <w:color w:val="000000"/>
        </w:rPr>
        <w:t>decodes across all the carriers can be</w:t>
      </w:r>
      <w:r w:rsidR="00413560" w:rsidRPr="00620462">
        <w:rPr>
          <w:rFonts w:cs="Arial"/>
          <w:color w:val="000000"/>
        </w:rPr>
        <w:t xml:space="preserve"> limited based on UE capability</w:t>
      </w:r>
      <w:r w:rsidR="00413560">
        <w:rPr>
          <w:rFonts w:cs="Arial"/>
          <w:color w:val="000000"/>
        </w:rPr>
        <w:t xml:space="preserve">. </w:t>
      </w:r>
      <w:r w:rsidR="002543E9">
        <w:rPr>
          <w:rFonts w:cs="Arial"/>
          <w:color w:val="000000"/>
        </w:rPr>
        <w:t xml:space="preserve">Another point left for further study was the issue of </w:t>
      </w:r>
      <w:r w:rsidR="002543E9" w:rsidRPr="00BC742B">
        <w:rPr>
          <w:rFonts w:eastAsia="MS Mincho" w:hint="eastAsia"/>
          <w:lang w:eastAsia="ja-JP"/>
        </w:rPr>
        <w:t>whether or not total number of blind decodings in a sl</w:t>
      </w:r>
      <w:r w:rsidR="002543E9">
        <w:rPr>
          <w:rFonts w:eastAsia="MS Mincho" w:hint="eastAsia"/>
          <w:lang w:eastAsia="ja-JP"/>
        </w:rPr>
        <w:t>ot when a UE is configured with</w:t>
      </w:r>
      <w:r w:rsidR="002543E9">
        <w:rPr>
          <w:rFonts w:eastAsia="MS Mincho"/>
          <w:lang w:eastAsia="ja-JP"/>
        </w:rPr>
        <w:t xml:space="preserve"> </w:t>
      </w:r>
      <w:r w:rsidR="002543E9" w:rsidRPr="00BC742B">
        <w:rPr>
          <w:rFonts w:eastAsia="MS Mincho" w:hint="eastAsia"/>
          <w:lang w:eastAsia="ja-JP"/>
        </w:rPr>
        <w:t>“</w:t>
      </w:r>
      <w:r w:rsidR="002543E9" w:rsidRPr="00BC742B">
        <w:rPr>
          <w:rFonts w:eastAsia="MS Mincho" w:hint="eastAsia"/>
          <w:lang w:eastAsia="ja-JP"/>
        </w:rPr>
        <w:t>DL control channel monitoring</w:t>
      </w:r>
      <w:r w:rsidR="002543E9" w:rsidRPr="00BC742B">
        <w:rPr>
          <w:rFonts w:eastAsia="MS Mincho" w:hint="eastAsia"/>
          <w:lang w:eastAsia="ja-JP"/>
        </w:rPr>
        <w:t>”</w:t>
      </w:r>
      <w:r w:rsidR="002543E9" w:rsidRPr="00BC742B">
        <w:rPr>
          <w:rFonts w:eastAsia="MS Mincho" w:hint="eastAsia"/>
          <w:lang w:eastAsia="ja-JP"/>
        </w:rPr>
        <w:t xml:space="preserve"> per symbol can exceed the total number of blind decodings in a slot when a UE is configured with </w:t>
      </w:r>
      <w:r w:rsidR="002543E9" w:rsidRPr="00BC742B">
        <w:rPr>
          <w:rFonts w:eastAsia="MS Mincho" w:hint="eastAsia"/>
          <w:lang w:eastAsia="ja-JP"/>
        </w:rPr>
        <w:t>“</w:t>
      </w:r>
      <w:r w:rsidR="002543E9" w:rsidRPr="00BC742B">
        <w:rPr>
          <w:rFonts w:eastAsia="MS Mincho" w:hint="eastAsia"/>
          <w:lang w:eastAsia="ja-JP"/>
        </w:rPr>
        <w:t>DL control channel monitoring</w:t>
      </w:r>
      <w:r w:rsidR="002543E9" w:rsidRPr="00BC742B">
        <w:rPr>
          <w:rFonts w:eastAsia="MS Mincho" w:hint="eastAsia"/>
          <w:lang w:eastAsia="ja-JP"/>
        </w:rPr>
        <w:t>”</w:t>
      </w:r>
      <w:r w:rsidR="002543E9">
        <w:rPr>
          <w:rFonts w:eastAsia="MS Mincho" w:hint="eastAsia"/>
          <w:lang w:eastAsia="ja-JP"/>
        </w:rPr>
        <w:t xml:space="preserve"> per slot. While it is important to be able </w:t>
      </w:r>
      <w:r w:rsidR="002543E9">
        <w:rPr>
          <w:rFonts w:eastAsia="MS Mincho"/>
          <w:lang w:eastAsia="ja-JP"/>
        </w:rPr>
        <w:t xml:space="preserve">to handle monitoring per symbol it would also be good to ensure that the complexity for this is not unreasonable. Hence, the total number of blind decoding per slot when the UE is configured to do control channel monitoring per symbol can be allowed to be slightly larger than the number of blind decoding per slot when the UE is configured for monitoring PDCCH per slot. </w:t>
      </w:r>
      <w:r w:rsidR="00413560">
        <w:rPr>
          <w:rFonts w:cs="Arial"/>
          <w:color w:val="000000"/>
        </w:rPr>
        <w:t>This may be summarized in the following proposals.</w:t>
      </w:r>
    </w:p>
    <w:p w14:paraId="658807F6" w14:textId="77777777" w:rsidR="00413560" w:rsidRPr="00047697" w:rsidRDefault="00413560" w:rsidP="00413560">
      <w:pPr>
        <w:rPr>
          <w:b/>
          <w:i/>
          <w:color w:val="000000"/>
        </w:rPr>
      </w:pPr>
      <w:r w:rsidRPr="00047697">
        <w:rPr>
          <w:b/>
          <w:i/>
          <w:color w:val="000000"/>
        </w:rPr>
        <w:t>Proposals:</w:t>
      </w:r>
    </w:p>
    <w:p w14:paraId="4F2C14A3" w14:textId="326BED2C" w:rsidR="00B457D3" w:rsidRPr="00B457D3" w:rsidRDefault="00B457D3" w:rsidP="00B457D3">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Number of blind decodes </w:t>
      </w:r>
      <w:r>
        <w:rPr>
          <w:rFonts w:ascii="Arial" w:hAnsi="Arial" w:cs="Arial"/>
          <w:color w:val="000000"/>
          <w:sz w:val="20"/>
          <w:szCs w:val="20"/>
          <w:lang w:val="en-US"/>
        </w:rPr>
        <w:t xml:space="preserve">are </w:t>
      </w:r>
      <w:r w:rsidRPr="00620462">
        <w:rPr>
          <w:rFonts w:ascii="Arial" w:hAnsi="Arial" w:cs="Arial"/>
          <w:color w:val="000000"/>
          <w:sz w:val="20"/>
          <w:szCs w:val="20"/>
          <w:lang w:val="en-US"/>
        </w:rPr>
        <w:t>defined on a per carrier basis</w:t>
      </w:r>
    </w:p>
    <w:p w14:paraId="0E580700" w14:textId="1146200D" w:rsidR="00413560" w:rsidRDefault="00413560" w:rsidP="00413560">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The total number of blind </w:t>
      </w:r>
      <w:r>
        <w:rPr>
          <w:rFonts w:ascii="Arial" w:hAnsi="Arial" w:cs="Arial"/>
          <w:color w:val="000000"/>
          <w:sz w:val="20"/>
          <w:szCs w:val="20"/>
          <w:lang w:val="en-US"/>
        </w:rPr>
        <w:t xml:space="preserve">decodes </w:t>
      </w:r>
      <w:r w:rsidRPr="00620462">
        <w:rPr>
          <w:rFonts w:ascii="Arial" w:hAnsi="Arial" w:cs="Arial"/>
          <w:color w:val="000000"/>
          <w:sz w:val="20"/>
          <w:szCs w:val="20"/>
          <w:lang w:val="en-US"/>
        </w:rPr>
        <w:t>across all the carriers is limited based on UE capability</w:t>
      </w:r>
    </w:p>
    <w:p w14:paraId="4A485D0D" w14:textId="40878284" w:rsidR="00B457D3" w:rsidRPr="00620462" w:rsidRDefault="00B457D3" w:rsidP="00413560">
      <w:pPr>
        <w:pStyle w:val="ListParagraph"/>
        <w:numPr>
          <w:ilvl w:val="0"/>
          <w:numId w:val="27"/>
        </w:numPr>
        <w:contextualSpacing/>
        <w:rPr>
          <w:rFonts w:ascii="Arial" w:hAnsi="Arial" w:cs="Arial"/>
          <w:color w:val="000000"/>
          <w:sz w:val="20"/>
          <w:szCs w:val="20"/>
          <w:lang w:val="en-US"/>
        </w:rPr>
      </w:pPr>
      <w:r>
        <w:rPr>
          <w:rFonts w:ascii="Arial" w:hAnsi="Arial" w:cs="Arial"/>
          <w:color w:val="000000"/>
          <w:sz w:val="20"/>
          <w:szCs w:val="20"/>
          <w:lang w:val="en-US"/>
        </w:rPr>
        <w:lastRenderedPageBreak/>
        <w:t>The total number of blind decodes per carrier when configured for DL control channel monitoring per symbol can be higher than the number of blind decodes per carrier when configured with DL control channel monitoring per slot.</w:t>
      </w:r>
    </w:p>
    <w:p w14:paraId="77AD737E" w14:textId="77777777" w:rsidR="00413560" w:rsidRPr="00413560" w:rsidRDefault="00413560" w:rsidP="006628A0">
      <w:pPr>
        <w:pStyle w:val="BodyText"/>
        <w:overflowPunct/>
        <w:autoSpaceDE/>
        <w:autoSpaceDN/>
        <w:adjustRightInd/>
        <w:textAlignment w:val="auto"/>
        <w:rPr>
          <w:rFonts w:cs="Arial"/>
          <w:color w:val="000000"/>
        </w:rPr>
      </w:pPr>
    </w:p>
    <w:p w14:paraId="52194F8F" w14:textId="5F2EDD0E" w:rsidR="00AE553B" w:rsidRDefault="00AE553B" w:rsidP="00AE553B">
      <w:pPr>
        <w:pStyle w:val="Heading1"/>
      </w:pPr>
      <w:r>
        <w:t>Conclusion</w:t>
      </w:r>
    </w:p>
    <w:p w14:paraId="683F4B88" w14:textId="17751262" w:rsidR="00C46A98" w:rsidRDefault="007B7B40" w:rsidP="00C46A98">
      <w:pPr>
        <w:pStyle w:val="BodyText"/>
      </w:pPr>
      <w:r>
        <w:t xml:space="preserve">We discussed the configuration of control resource sets and search spaces and </w:t>
      </w:r>
      <w:r w:rsidR="004A3DA8">
        <w:t>made the following proposals</w:t>
      </w:r>
      <w:r>
        <w:t>.</w:t>
      </w:r>
    </w:p>
    <w:p w14:paraId="2CF78C65" w14:textId="77777777" w:rsidR="00DB0354" w:rsidRDefault="006B6397" w:rsidP="00DB0354">
      <w:pPr>
        <w:contextualSpacing/>
        <w:rPr>
          <w:b/>
          <w:i/>
        </w:rPr>
      </w:pPr>
      <w:r w:rsidRPr="00DB0354">
        <w:rPr>
          <w:b/>
          <w:i/>
        </w:rPr>
        <w:t xml:space="preserve">Proposals: </w:t>
      </w:r>
    </w:p>
    <w:p w14:paraId="213C35C5" w14:textId="77777777" w:rsidR="00A66C42" w:rsidRPr="003242AA"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p>
    <w:p w14:paraId="1DE78702" w14:textId="77777777" w:rsidR="00A66C42" w:rsidRPr="006628A0"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r>
        <w:rPr>
          <w:rFonts w:ascii="Arial" w:hAnsi="Arial" w:cs="Arial"/>
          <w:color w:val="000000"/>
          <w:sz w:val="20"/>
          <w:szCs w:val="20"/>
          <w:lang w:val="en-US"/>
        </w:rPr>
        <w:t xml:space="preserve"> similar to the one used for the PDCCH in LTE</w:t>
      </w:r>
      <w:r w:rsidRPr="006628A0">
        <w:rPr>
          <w:rFonts w:ascii="Arial" w:hAnsi="Arial" w:cs="Arial"/>
          <w:color w:val="000000"/>
          <w:sz w:val="20"/>
          <w:szCs w:val="20"/>
          <w:lang w:val="en-US"/>
        </w:rPr>
        <w:t>.</w:t>
      </w:r>
    </w:p>
    <w:p w14:paraId="5633134B" w14:textId="137B2279" w:rsidR="00A66C42"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The automatic rule determining blind decode candidates should not use the cell ID for randomization of the CCEs used for candidates for different UEs.</w:t>
      </w:r>
    </w:p>
    <w:p w14:paraId="589B2E4B" w14:textId="5E40F9E4" w:rsidR="00620462" w:rsidRPr="00620462" w:rsidRDefault="00620462" w:rsidP="00620462">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Number of blind decodes </w:t>
      </w:r>
      <w:r>
        <w:rPr>
          <w:rFonts w:ascii="Arial" w:hAnsi="Arial" w:cs="Arial"/>
          <w:color w:val="000000"/>
          <w:sz w:val="20"/>
          <w:szCs w:val="20"/>
          <w:lang w:val="en-US"/>
        </w:rPr>
        <w:t xml:space="preserve">are </w:t>
      </w:r>
      <w:r w:rsidRPr="00620462">
        <w:rPr>
          <w:rFonts w:ascii="Arial" w:hAnsi="Arial" w:cs="Arial"/>
          <w:color w:val="000000"/>
          <w:sz w:val="20"/>
          <w:szCs w:val="20"/>
          <w:lang w:val="en-US"/>
        </w:rPr>
        <w:t>defined on a per carrier basis</w:t>
      </w:r>
    </w:p>
    <w:p w14:paraId="75E62F5B" w14:textId="0C62521B" w:rsidR="00620462" w:rsidRDefault="00620462" w:rsidP="00620462">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The total number of blind </w:t>
      </w:r>
      <w:r>
        <w:rPr>
          <w:rFonts w:ascii="Arial" w:hAnsi="Arial" w:cs="Arial"/>
          <w:color w:val="000000"/>
          <w:sz w:val="20"/>
          <w:szCs w:val="20"/>
          <w:lang w:val="en-US"/>
        </w:rPr>
        <w:t xml:space="preserve">decodes </w:t>
      </w:r>
      <w:r w:rsidRPr="00620462">
        <w:rPr>
          <w:rFonts w:ascii="Arial" w:hAnsi="Arial" w:cs="Arial"/>
          <w:color w:val="000000"/>
          <w:sz w:val="20"/>
          <w:szCs w:val="20"/>
          <w:lang w:val="en-US"/>
        </w:rPr>
        <w:t>across all the carriers is limited based on UE capability</w:t>
      </w:r>
    </w:p>
    <w:p w14:paraId="32F48431" w14:textId="3C04E3F3" w:rsidR="004F7D42" w:rsidRPr="00620462" w:rsidRDefault="004F7D42" w:rsidP="00620462">
      <w:pPr>
        <w:pStyle w:val="ListParagraph"/>
        <w:numPr>
          <w:ilvl w:val="0"/>
          <w:numId w:val="27"/>
        </w:numPr>
        <w:contextualSpacing/>
        <w:rPr>
          <w:rFonts w:ascii="Arial" w:hAnsi="Arial" w:cs="Arial"/>
          <w:color w:val="000000"/>
          <w:sz w:val="20"/>
          <w:szCs w:val="20"/>
          <w:lang w:val="en-US"/>
        </w:rPr>
      </w:pPr>
      <w:r>
        <w:rPr>
          <w:rFonts w:ascii="Arial" w:hAnsi="Arial" w:cs="Arial"/>
          <w:color w:val="000000"/>
          <w:sz w:val="20"/>
          <w:szCs w:val="20"/>
          <w:lang w:val="en-US"/>
        </w:rPr>
        <w:t>The total number of blind decodes per carrier when configured for DL control channel monitoring per symbol can be higher than the number of blind decodes per carrier when configured with DL control channel monitoring per slot.</w:t>
      </w:r>
    </w:p>
    <w:p w14:paraId="2A456164" w14:textId="3A7E3D6F" w:rsidR="00047697" w:rsidRDefault="00047697" w:rsidP="00A66C42">
      <w:pPr>
        <w:pStyle w:val="ListParagraph"/>
        <w:autoSpaceDE w:val="0"/>
        <w:autoSpaceDN w:val="0"/>
        <w:contextualSpacing/>
        <w:rPr>
          <w:rFonts w:ascii="Arial" w:hAnsi="Arial" w:cs="Arial"/>
          <w:color w:val="000000"/>
          <w:sz w:val="20"/>
          <w:szCs w:val="20"/>
          <w:lang w:val="en-US"/>
        </w:rPr>
      </w:pPr>
    </w:p>
    <w:p w14:paraId="1807A744" w14:textId="77777777" w:rsidR="00A66C42" w:rsidRPr="00A66C42" w:rsidRDefault="00A66C42" w:rsidP="00A66C42">
      <w:pPr>
        <w:pStyle w:val="ListParagraph"/>
        <w:autoSpaceDE w:val="0"/>
        <w:autoSpaceDN w:val="0"/>
        <w:contextualSpacing/>
        <w:rPr>
          <w:rFonts w:ascii="Arial" w:hAnsi="Arial" w:cs="Arial"/>
          <w:color w:val="000000"/>
          <w:sz w:val="20"/>
          <w:szCs w:val="20"/>
          <w:lang w:val="en-US"/>
        </w:rPr>
      </w:pPr>
    </w:p>
    <w:p w14:paraId="3CA25FCB" w14:textId="041390C9" w:rsidR="00F507D1" w:rsidRDefault="00F507D1" w:rsidP="0009033B">
      <w:pPr>
        <w:pStyle w:val="Heading1"/>
      </w:pPr>
      <w:bookmarkStart w:id="1" w:name="_In-sequence_SDU_delivery"/>
      <w:bookmarkEnd w:id="1"/>
      <w:r w:rsidRPr="00CE0424">
        <w:t>References</w:t>
      </w:r>
    </w:p>
    <w:p w14:paraId="5D464982" w14:textId="2A3EE427" w:rsidR="00E61AA3" w:rsidRDefault="00E61AA3" w:rsidP="00E61AA3">
      <w:pPr>
        <w:pStyle w:val="Reference"/>
      </w:pPr>
      <w:bookmarkStart w:id="2" w:name="_Ref477803323"/>
      <w:r>
        <w:t>RP-170377</w:t>
      </w:r>
      <w:bookmarkEnd w:id="2"/>
      <w:r>
        <w:tab/>
      </w:r>
      <w:r>
        <w:tab/>
      </w:r>
      <w:r w:rsidRPr="00D54B8E">
        <w:t>TR 38.802 v2.0.0 on Study on New Radio (NR) Access Technology Phys</w:t>
      </w:r>
      <w:r>
        <w:t>ical Layer Aspects; NTT DOCOMO</w:t>
      </w:r>
    </w:p>
    <w:p w14:paraId="7DA625CA" w14:textId="41272EAA" w:rsidR="00E61AA3" w:rsidRPr="00451587" w:rsidRDefault="00E61AA3" w:rsidP="00E61AA3">
      <w:pPr>
        <w:pStyle w:val="Reference"/>
      </w:pPr>
      <w:bookmarkStart w:id="3" w:name="_Ref477803338"/>
      <w:r w:rsidRPr="00451587">
        <w:t>RP-170855</w:t>
      </w:r>
      <w:bookmarkEnd w:id="3"/>
      <w:r w:rsidRPr="00451587">
        <w:tab/>
      </w:r>
      <w:r w:rsidRPr="00451587">
        <w:tab/>
        <w:t>New WID on New Radio Access Technology; NTT DOCOMO</w:t>
      </w:r>
    </w:p>
    <w:p w14:paraId="2E0E0E5C" w14:textId="655F26CD" w:rsidR="00836182" w:rsidRDefault="00EA313F" w:rsidP="003B365D">
      <w:pPr>
        <w:pStyle w:val="Reference"/>
      </w:pPr>
      <w:bookmarkStart w:id="4" w:name="_Ref473934775"/>
      <w:bookmarkStart w:id="5" w:name="_Ref473637092"/>
      <w:bookmarkStart w:id="6" w:name="_Ref470613638"/>
      <w:bookmarkStart w:id="7" w:name="_Ref465931227"/>
      <w:bookmarkStart w:id="8" w:name="_Ref458515583"/>
      <w:bookmarkStart w:id="9" w:name="_Ref174151459"/>
      <w:bookmarkStart w:id="10" w:name="_Ref189809556"/>
      <w:bookmarkStart w:id="11" w:name="_Ref458165837"/>
      <w:bookmarkStart w:id="12" w:name="_Ref473896381"/>
      <w:r w:rsidRPr="006C6517">
        <w:t>C</w:t>
      </w:r>
      <w:r w:rsidR="003579EB" w:rsidRPr="006C6517">
        <w:t>hairman’s N</w:t>
      </w:r>
      <w:r w:rsidR="004C5E10" w:rsidRPr="006C6517">
        <w:t>otes, 3GPP TSG RAN WG1 Meeting</w:t>
      </w:r>
      <w:r w:rsidR="009E10DB" w:rsidRPr="006C6517">
        <w:t>#8</w:t>
      </w:r>
      <w:bookmarkEnd w:id="4"/>
      <w:r w:rsidR="00AE5C65" w:rsidRPr="006C6517">
        <w:t>8</w:t>
      </w:r>
    </w:p>
    <w:p w14:paraId="0E60858E" w14:textId="4E0ED28E" w:rsidR="00565C08" w:rsidRPr="006C6517" w:rsidRDefault="00565C08" w:rsidP="003B365D">
      <w:pPr>
        <w:pStyle w:val="Reference"/>
      </w:pPr>
      <w:bookmarkStart w:id="13" w:name="_Ref481697546"/>
      <w:r w:rsidRPr="006C6517">
        <w:t>Chairman’s Notes, 3GPP TSG RAN WG1 Meeting#88</w:t>
      </w:r>
      <w:r>
        <w:t>bis</w:t>
      </w:r>
      <w:bookmarkEnd w:id="13"/>
    </w:p>
    <w:p w14:paraId="46D8707A" w14:textId="2E5BEEB8" w:rsidR="00C06DB3" w:rsidRPr="006C6517" w:rsidRDefault="00F42E3B" w:rsidP="00E214D8">
      <w:pPr>
        <w:pStyle w:val="Reference"/>
      </w:pPr>
      <w:bookmarkStart w:id="14" w:name="_Ref473940264"/>
      <w:bookmarkStart w:id="15" w:name="_Ref478185221"/>
      <w:bookmarkStart w:id="16" w:name="_Ref473934800"/>
      <w:r>
        <w:t>R1-1709069</w:t>
      </w:r>
      <w:r w:rsidR="006628A0" w:rsidRPr="006C6517">
        <w:t xml:space="preserve">, </w:t>
      </w:r>
      <w:r w:rsidR="006B6397">
        <w:tab/>
      </w:r>
      <w:r w:rsidR="00C06DB3" w:rsidRPr="006C6517">
        <w:t>On Aggr</w:t>
      </w:r>
      <w:r>
        <w:t>egation Levels,</w:t>
      </w:r>
      <w:r w:rsidR="00C06DB3" w:rsidRPr="006C6517">
        <w:t xml:space="preserve"> Ericsson</w:t>
      </w:r>
      <w:bookmarkEnd w:id="14"/>
      <w:bookmarkEnd w:id="15"/>
    </w:p>
    <w:p w14:paraId="21750C94" w14:textId="288C1E33" w:rsidR="006C6517" w:rsidRPr="006C6517" w:rsidRDefault="006C6517" w:rsidP="00E214D8">
      <w:pPr>
        <w:pStyle w:val="Reference"/>
      </w:pPr>
      <w:bookmarkStart w:id="17" w:name="_Ref478185288"/>
      <w:r w:rsidRPr="006C6517">
        <w:t>R1-17</w:t>
      </w:r>
      <w:r w:rsidR="00F42E3B">
        <w:t>09063</w:t>
      </w:r>
      <w:r w:rsidRPr="006C6517">
        <w:t xml:space="preserve">, </w:t>
      </w:r>
      <w:r w:rsidR="006B6397">
        <w:tab/>
      </w:r>
      <w:r w:rsidRPr="006C6517">
        <w:t>On NR PDCCH Structure; Ericsson</w:t>
      </w:r>
      <w:bookmarkEnd w:id="17"/>
    </w:p>
    <w:bookmarkEnd w:id="5"/>
    <w:bookmarkEnd w:id="6"/>
    <w:bookmarkEnd w:id="7"/>
    <w:bookmarkEnd w:id="8"/>
    <w:bookmarkEnd w:id="9"/>
    <w:bookmarkEnd w:id="10"/>
    <w:bookmarkEnd w:id="11"/>
    <w:bookmarkEnd w:id="12"/>
    <w:bookmarkEnd w:id="16"/>
    <w:p w14:paraId="7BD1958E" w14:textId="7986C986" w:rsidR="002F43C5" w:rsidRPr="00BE3726" w:rsidRDefault="002F43C5" w:rsidP="0009560B">
      <w:pPr>
        <w:pStyle w:val="Reference"/>
        <w:numPr>
          <w:ilvl w:val="0"/>
          <w:numId w:val="0"/>
        </w:numPr>
        <w:ind w:left="567"/>
      </w:pPr>
    </w:p>
    <w:sectPr w:rsidR="002F43C5" w:rsidRPr="00BE37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ABB24" w14:textId="77777777" w:rsidR="00220DD7" w:rsidRDefault="00220DD7">
      <w:r>
        <w:separator/>
      </w:r>
    </w:p>
  </w:endnote>
  <w:endnote w:type="continuationSeparator" w:id="0">
    <w:p w14:paraId="5E721DA5" w14:textId="77777777" w:rsidR="00220DD7" w:rsidRDefault="00220DD7">
      <w:r>
        <w:continuationSeparator/>
      </w:r>
    </w:p>
  </w:endnote>
  <w:endnote w:type="continuationNotice" w:id="1">
    <w:p w14:paraId="17936016" w14:textId="77777777" w:rsidR="00220DD7" w:rsidRDefault="00220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84F56C6"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726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726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40962" w14:textId="77777777" w:rsidR="00220DD7" w:rsidRDefault="00220DD7">
      <w:r>
        <w:separator/>
      </w:r>
    </w:p>
  </w:footnote>
  <w:footnote w:type="continuationSeparator" w:id="0">
    <w:p w14:paraId="52FAFE5A" w14:textId="77777777" w:rsidR="00220DD7" w:rsidRDefault="00220DD7">
      <w:r>
        <w:continuationSeparator/>
      </w:r>
    </w:p>
  </w:footnote>
  <w:footnote w:type="continuationNotice" w:id="1">
    <w:p w14:paraId="54EE0FD8" w14:textId="77777777" w:rsidR="00220DD7" w:rsidRDefault="00220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1A28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5"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3107E44"/>
    <w:multiLevelType w:val="hybridMultilevel"/>
    <w:tmpl w:val="742E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9"/>
  </w:num>
  <w:num w:numId="3">
    <w:abstractNumId w:val="19"/>
  </w:num>
  <w:num w:numId="4">
    <w:abstractNumId w:val="22"/>
  </w:num>
  <w:num w:numId="5">
    <w:abstractNumId w:val="16"/>
  </w:num>
  <w:num w:numId="6">
    <w:abstractNumId w:val="25"/>
  </w:num>
  <w:num w:numId="7">
    <w:abstractNumId w:val="32"/>
  </w:num>
  <w:num w:numId="8">
    <w:abstractNumId w:val="17"/>
  </w:num>
  <w:num w:numId="9">
    <w:abstractNumId w:val="31"/>
  </w:num>
  <w:num w:numId="10">
    <w:abstractNumId w:val="7"/>
  </w:num>
  <w:num w:numId="11">
    <w:abstractNumId w:val="2"/>
  </w:num>
  <w:num w:numId="12">
    <w:abstractNumId w:val="5"/>
  </w:num>
  <w:num w:numId="13">
    <w:abstractNumId w:val="34"/>
  </w:num>
  <w:num w:numId="14">
    <w:abstractNumId w:val="20"/>
  </w:num>
  <w:num w:numId="15">
    <w:abstractNumId w:val="9"/>
  </w:num>
  <w:num w:numId="16">
    <w:abstractNumId w:val="33"/>
  </w:num>
  <w:num w:numId="17">
    <w:abstractNumId w:val="23"/>
  </w:num>
  <w:num w:numId="18">
    <w:abstractNumId w:val="14"/>
  </w:num>
  <w:num w:numId="19">
    <w:abstractNumId w:val="28"/>
  </w:num>
  <w:num w:numId="20">
    <w:abstractNumId w:val="35"/>
  </w:num>
  <w:num w:numId="21">
    <w:abstractNumId w:val="11"/>
  </w:num>
  <w:num w:numId="22">
    <w:abstractNumId w:val="38"/>
  </w:num>
  <w:num w:numId="23">
    <w:abstractNumId w:val="3"/>
  </w:num>
  <w:num w:numId="24">
    <w:abstractNumId w:val="26"/>
  </w:num>
  <w:num w:numId="25">
    <w:abstractNumId w:val="10"/>
  </w:num>
  <w:num w:numId="26">
    <w:abstractNumId w:val="27"/>
  </w:num>
  <w:num w:numId="27">
    <w:abstractNumId w:val="0"/>
  </w:num>
  <w:num w:numId="28">
    <w:abstractNumId w:val="15"/>
  </w:num>
  <w:num w:numId="29">
    <w:abstractNumId w:val="21"/>
  </w:num>
  <w:num w:numId="30">
    <w:abstractNumId w:val="30"/>
  </w:num>
  <w:num w:numId="31">
    <w:abstractNumId w:val="39"/>
  </w:num>
  <w:num w:numId="32">
    <w:abstractNumId w:val="37"/>
  </w:num>
  <w:num w:numId="33">
    <w:abstractNumId w:val="13"/>
  </w:num>
  <w:num w:numId="34">
    <w:abstractNumId w:val="4"/>
  </w:num>
  <w:num w:numId="35">
    <w:abstractNumId w:val="12"/>
  </w:num>
  <w:num w:numId="36">
    <w:abstractNumId w:val="18"/>
  </w:num>
  <w:num w:numId="37">
    <w:abstractNumId w:val="6"/>
  </w:num>
  <w:num w:numId="38">
    <w:abstractNumId w:val="8"/>
  </w:num>
  <w:num w:numId="39">
    <w:abstractNumId w:val="36"/>
  </w:num>
  <w:num w:numId="4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234"/>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6BD"/>
    <w:rsid w:val="00076115"/>
    <w:rsid w:val="00076453"/>
    <w:rsid w:val="00076C39"/>
    <w:rsid w:val="000773CC"/>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0DD7"/>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3E9"/>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882"/>
    <w:rsid w:val="00313FD6"/>
    <w:rsid w:val="003143BD"/>
    <w:rsid w:val="00314D7C"/>
    <w:rsid w:val="003203ED"/>
    <w:rsid w:val="00322C9F"/>
    <w:rsid w:val="003242AA"/>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1F8C"/>
    <w:rsid w:val="00357380"/>
    <w:rsid w:val="003579EB"/>
    <w:rsid w:val="003602D9"/>
    <w:rsid w:val="003604CE"/>
    <w:rsid w:val="00363106"/>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6BBE"/>
    <w:rsid w:val="003F6F52"/>
    <w:rsid w:val="004000E8"/>
    <w:rsid w:val="00400F1F"/>
    <w:rsid w:val="00402E2B"/>
    <w:rsid w:val="0040512B"/>
    <w:rsid w:val="00405CA5"/>
    <w:rsid w:val="00407CD3"/>
    <w:rsid w:val="00410134"/>
    <w:rsid w:val="00410B72"/>
    <w:rsid w:val="00410F18"/>
    <w:rsid w:val="0041263E"/>
    <w:rsid w:val="00413560"/>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4F7D42"/>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5998"/>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3D40"/>
    <w:rsid w:val="00565C08"/>
    <w:rsid w:val="00566E2B"/>
    <w:rsid w:val="0057036A"/>
    <w:rsid w:val="00572505"/>
    <w:rsid w:val="005827E6"/>
    <w:rsid w:val="00582809"/>
    <w:rsid w:val="00585F85"/>
    <w:rsid w:val="0058798C"/>
    <w:rsid w:val="005900FA"/>
    <w:rsid w:val="005935A4"/>
    <w:rsid w:val="005948C2"/>
    <w:rsid w:val="00595DCA"/>
    <w:rsid w:val="00595EC8"/>
    <w:rsid w:val="0059719A"/>
    <w:rsid w:val="0059726F"/>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11444"/>
    <w:rsid w:val="00611B83"/>
    <w:rsid w:val="00613257"/>
    <w:rsid w:val="00617C2C"/>
    <w:rsid w:val="00620462"/>
    <w:rsid w:val="00620A71"/>
    <w:rsid w:val="00620D80"/>
    <w:rsid w:val="00621B29"/>
    <w:rsid w:val="006234A6"/>
    <w:rsid w:val="006238D8"/>
    <w:rsid w:val="00623B0C"/>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D3F"/>
    <w:rsid w:val="00683ECE"/>
    <w:rsid w:val="00685147"/>
    <w:rsid w:val="006876D5"/>
    <w:rsid w:val="00691E97"/>
    <w:rsid w:val="00692480"/>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397"/>
    <w:rsid w:val="006B6614"/>
    <w:rsid w:val="006C03B8"/>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4FDA"/>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102"/>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4E2B"/>
    <w:rsid w:val="0095681E"/>
    <w:rsid w:val="009572D4"/>
    <w:rsid w:val="009615CB"/>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9F56EC"/>
    <w:rsid w:val="00A02E75"/>
    <w:rsid w:val="00A0362C"/>
    <w:rsid w:val="00A048A8"/>
    <w:rsid w:val="00A04F49"/>
    <w:rsid w:val="00A12469"/>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6C42"/>
    <w:rsid w:val="00A67E6C"/>
    <w:rsid w:val="00A70493"/>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5305"/>
    <w:rsid w:val="00B2763F"/>
    <w:rsid w:val="00B27AAC"/>
    <w:rsid w:val="00B30929"/>
    <w:rsid w:val="00B372AA"/>
    <w:rsid w:val="00B40445"/>
    <w:rsid w:val="00B41888"/>
    <w:rsid w:val="00B4408D"/>
    <w:rsid w:val="00B44CDC"/>
    <w:rsid w:val="00B457D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A2280"/>
    <w:rsid w:val="00BA2A08"/>
    <w:rsid w:val="00BA520C"/>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33A7"/>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2DC1"/>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354"/>
    <w:rsid w:val="00DB0A9F"/>
    <w:rsid w:val="00DB2E53"/>
    <w:rsid w:val="00DB377D"/>
    <w:rsid w:val="00DB6E61"/>
    <w:rsid w:val="00DC015E"/>
    <w:rsid w:val="00DC2D36"/>
    <w:rsid w:val="00DC2D80"/>
    <w:rsid w:val="00DC3716"/>
    <w:rsid w:val="00DC53EF"/>
    <w:rsid w:val="00DC5DD1"/>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CFE"/>
    <w:rsid w:val="00E446F1"/>
    <w:rsid w:val="00E45919"/>
    <w:rsid w:val="00E46886"/>
    <w:rsid w:val="00E47AEF"/>
    <w:rsid w:val="00E53B75"/>
    <w:rsid w:val="00E54A3A"/>
    <w:rsid w:val="00E54E3B"/>
    <w:rsid w:val="00E55DFA"/>
    <w:rsid w:val="00E57565"/>
    <w:rsid w:val="00E61AA3"/>
    <w:rsid w:val="00E62CF0"/>
    <w:rsid w:val="00E63838"/>
    <w:rsid w:val="00E64434"/>
    <w:rsid w:val="00E67C51"/>
    <w:rsid w:val="00E70855"/>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95A90"/>
    <w:rsid w:val="00EA313F"/>
    <w:rsid w:val="00EA38BD"/>
    <w:rsid w:val="00EA41B8"/>
    <w:rsid w:val="00EA4A9E"/>
    <w:rsid w:val="00EA5018"/>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2010"/>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2E3B"/>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51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5NUHHDQN7SK2-1-114603</_dlc_DocId>
    <_dlc_DocIdUrl xmlns="08b2df90-05d3-4030-90d4-c9feeb4a1cd9">
      <Url>https://ericoll.internal.ericsson.com/sites/STAR/_layouts/DocIdRedir.aspx?ID=5NUHHDQN7SK2-1-114603</Url>
      <Description>5NUHHDQN7SK2-1-114603</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16339-5AD9-404E-BEB4-A4E90500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DD5A270B-2A91-4968-8D67-8A876BCAD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TotalTime>
  <Pages>3</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cp:lastModifiedBy>
  <cp:revision>7</cp:revision>
  <cp:lastPrinted>2008-01-31T07:09:00Z</cp:lastPrinted>
  <dcterms:created xsi:type="dcterms:W3CDTF">2017-05-06T06:43:00Z</dcterms:created>
  <dcterms:modified xsi:type="dcterms:W3CDTF">2017-05-06T06:49:00Z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4561f055-15d5-4d2e-a34b-b1e7b78fdbbf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