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7C5C0" w14:textId="7421219A" w:rsidR="007829E1" w:rsidRDefault="007829E1" w:rsidP="007829E1">
      <w:pPr>
        <w:pStyle w:val="Header"/>
        <w:rPr>
          <w:bCs/>
          <w:noProof w:val="0"/>
          <w:sz w:val="24"/>
          <w:lang w:val="en-GB"/>
        </w:rPr>
      </w:pPr>
      <w:r>
        <w:rPr>
          <w:bCs/>
          <w:noProof w:val="0"/>
          <w:sz w:val="24"/>
          <w:lang w:val="en-GB"/>
        </w:rPr>
        <w:t>3GPP TSG RAN WG1#</w:t>
      </w:r>
      <w:r w:rsidR="001819FC">
        <w:rPr>
          <w:bCs/>
          <w:noProof w:val="0"/>
          <w:sz w:val="24"/>
          <w:lang w:val="en-GB"/>
        </w:rPr>
        <w:t>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5C28A7">
        <w:rPr>
          <w:bCs/>
          <w:noProof w:val="0"/>
          <w:sz w:val="24"/>
          <w:lang w:val="en-GB"/>
        </w:rPr>
        <w:tab/>
      </w:r>
      <w:r w:rsidR="005C28A7">
        <w:rPr>
          <w:bCs/>
          <w:noProof w:val="0"/>
          <w:sz w:val="24"/>
          <w:lang w:val="en-GB"/>
        </w:rPr>
        <w:tab/>
      </w:r>
      <w:r w:rsidR="007776FA" w:rsidRPr="007776FA">
        <w:rPr>
          <w:bCs/>
          <w:noProof w:val="0"/>
          <w:sz w:val="24"/>
          <w:lang w:val="en-GB"/>
        </w:rPr>
        <w:t>R1-1708911</w:t>
      </w:r>
      <w:bookmarkStart w:id="0" w:name="_GoBack"/>
      <w:bookmarkEnd w:id="0"/>
    </w:p>
    <w:p w14:paraId="22333B48" w14:textId="0CB3958A" w:rsidR="000C3073" w:rsidRDefault="001E389F" w:rsidP="007829E1">
      <w:pPr>
        <w:pStyle w:val="Header"/>
        <w:rPr>
          <w:bCs/>
          <w:noProof w:val="0"/>
          <w:sz w:val="24"/>
          <w:lang w:val="en-GB"/>
        </w:rPr>
      </w:pPr>
      <w:r>
        <w:rPr>
          <w:bCs/>
          <w:sz w:val="24"/>
        </w:rPr>
        <w:t>Hangzhou</w:t>
      </w:r>
      <w:r w:rsidR="007829E1">
        <w:rPr>
          <w:bCs/>
          <w:sz w:val="24"/>
        </w:rPr>
        <w:t xml:space="preserve">, </w:t>
      </w:r>
      <w:r>
        <w:rPr>
          <w:bCs/>
          <w:sz w:val="24"/>
        </w:rPr>
        <w:t>P.R. China</w:t>
      </w:r>
      <w:r w:rsidR="007829E1">
        <w:rPr>
          <w:bCs/>
          <w:sz w:val="24"/>
        </w:rPr>
        <w:t xml:space="preserve"> </w:t>
      </w:r>
      <w:r>
        <w:rPr>
          <w:bCs/>
          <w:sz w:val="24"/>
        </w:rPr>
        <w:t>15</w:t>
      </w:r>
      <w:r w:rsidRPr="001E389F">
        <w:rPr>
          <w:bCs/>
          <w:sz w:val="24"/>
          <w:vertAlign w:val="superscript"/>
        </w:rPr>
        <w:t>th</w:t>
      </w:r>
      <w:r w:rsidR="005C28A7">
        <w:rPr>
          <w:bCs/>
          <w:sz w:val="24"/>
        </w:rPr>
        <w:t xml:space="preserve"> – </w:t>
      </w:r>
      <w:r>
        <w:rPr>
          <w:bCs/>
          <w:sz w:val="24"/>
        </w:rPr>
        <w:t>19</w:t>
      </w:r>
      <w:r w:rsidRPr="001E389F">
        <w:rPr>
          <w:bCs/>
          <w:sz w:val="24"/>
          <w:vertAlign w:val="superscript"/>
        </w:rPr>
        <w:t>th</w:t>
      </w:r>
      <w:r w:rsidR="00AA73EA">
        <w:rPr>
          <w:bCs/>
          <w:sz w:val="24"/>
        </w:rPr>
        <w:t xml:space="preserve"> </w:t>
      </w:r>
      <w:r>
        <w:rPr>
          <w:bCs/>
          <w:sz w:val="24"/>
        </w:rPr>
        <w:t>May</w:t>
      </w:r>
      <w:r w:rsidR="007829E1">
        <w:rPr>
          <w:bCs/>
          <w:sz w:val="24"/>
        </w:rPr>
        <w:t xml:space="preserve"> 2017</w:t>
      </w:r>
    </w:p>
    <w:p w14:paraId="7E19B53B" w14:textId="77777777" w:rsidR="00683A73" w:rsidRPr="007B7496" w:rsidRDefault="00683A73" w:rsidP="00683A73">
      <w:pPr>
        <w:pStyle w:val="Header"/>
        <w:rPr>
          <w:bCs/>
          <w:noProof w:val="0"/>
          <w:sz w:val="24"/>
          <w:lang w:val="en-GB" w:eastAsia="ja-JP"/>
        </w:rPr>
      </w:pPr>
    </w:p>
    <w:p w14:paraId="22760FA0" w14:textId="0870AFAE"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C28A7">
        <w:rPr>
          <w:rFonts w:cs="Arial"/>
          <w:b/>
          <w:bCs/>
          <w:sz w:val="24"/>
        </w:rPr>
        <w:t>7.1.2.2.3</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5D7CF66D"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17D56">
        <w:rPr>
          <w:rFonts w:ascii="Arial" w:hAnsi="Arial" w:cs="Arial"/>
          <w:b/>
          <w:bCs/>
          <w:sz w:val="24"/>
        </w:rPr>
        <w:t>Beam Measurements</w:t>
      </w:r>
      <w:r w:rsidR="008038BB">
        <w:rPr>
          <w:rFonts w:ascii="Arial" w:hAnsi="Arial" w:cs="Arial"/>
          <w:b/>
          <w:bCs/>
          <w:sz w:val="24"/>
        </w:rPr>
        <w:t xml:space="preserve"> and TX/RX Beam Correspondence </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6D913B4" w14:textId="7339C8E7" w:rsidR="00AA73EA" w:rsidRDefault="003D74AF" w:rsidP="00617D56">
      <w:pPr>
        <w:spacing w:after="120"/>
        <w:rPr>
          <w:bCs/>
        </w:rPr>
      </w:pPr>
      <w:r>
        <w:rPr>
          <w:bCs/>
        </w:rPr>
        <w:t>The new radio work item was accepted in RAN#75 plenary [</w:t>
      </w:r>
      <w:r w:rsidR="002E125B">
        <w:rPr>
          <w:bCs/>
        </w:rPr>
        <w:t>1</w:t>
      </w:r>
      <w:r>
        <w:rPr>
          <w:bCs/>
        </w:rPr>
        <w:t>].</w:t>
      </w:r>
      <w:r w:rsidR="00AA73EA">
        <w:rPr>
          <w:bCs/>
        </w:rPr>
        <w:t xml:space="preserve"> </w:t>
      </w:r>
    </w:p>
    <w:p w14:paraId="33F6C28F" w14:textId="51699A22" w:rsidR="00B9601F" w:rsidRDefault="006909FE" w:rsidP="00617D56">
      <w:pPr>
        <w:spacing w:after="120"/>
        <w:rPr>
          <w:bCs/>
        </w:rPr>
      </w:pPr>
      <w:r>
        <w:rPr>
          <w:bCs/>
        </w:rPr>
        <w:t>In this contribution,</w:t>
      </w:r>
      <w:r w:rsidR="00617D56">
        <w:rPr>
          <w:bCs/>
        </w:rPr>
        <w:t xml:space="preserve"> we </w:t>
      </w:r>
      <w:r w:rsidR="00F92921">
        <w:rPr>
          <w:bCs/>
        </w:rPr>
        <w:t xml:space="preserve">discuss about beam measurements, TX/RX beam correspondence and </w:t>
      </w:r>
      <w:r w:rsidR="009C5CDD">
        <w:rPr>
          <w:bCs/>
        </w:rPr>
        <w:t>whether additional procedures are needed to declare UE’s TX/RX beam correspondence situation.</w:t>
      </w:r>
    </w:p>
    <w:p w14:paraId="7679B6EC" w14:textId="44EA0E6A" w:rsidR="007829E1" w:rsidRDefault="007829E1" w:rsidP="006909FE">
      <w:pPr>
        <w:spacing w:after="120"/>
        <w:rPr>
          <w:bCs/>
        </w:rPr>
      </w:pPr>
      <w:r>
        <w:rPr>
          <w:bCs/>
        </w:rPr>
        <w:t>RAN1#AH1_NR made the followin</w:t>
      </w:r>
      <w:r w:rsidR="00583806">
        <w:rPr>
          <w:bCs/>
        </w:rPr>
        <w:t>g further related agreements</w:t>
      </w:r>
      <w:r>
        <w:rPr>
          <w:bCs/>
        </w:rPr>
        <w:t>:</w:t>
      </w:r>
    </w:p>
    <w:tbl>
      <w:tblPr>
        <w:tblStyle w:val="TableGrid"/>
        <w:tblW w:w="0" w:type="auto"/>
        <w:tblLook w:val="04A0" w:firstRow="1" w:lastRow="0" w:firstColumn="1" w:lastColumn="0" w:noHBand="0" w:noVBand="1"/>
      </w:tblPr>
      <w:tblGrid>
        <w:gridCol w:w="9629"/>
      </w:tblGrid>
      <w:tr w:rsidR="007829E1" w14:paraId="0B55B0DA" w14:textId="77777777" w:rsidTr="007829E1">
        <w:tc>
          <w:tcPr>
            <w:tcW w:w="9629" w:type="dxa"/>
          </w:tcPr>
          <w:p w14:paraId="6A893CB9" w14:textId="77777777" w:rsidR="007829E1" w:rsidRPr="007829E1" w:rsidRDefault="007829E1" w:rsidP="007829E1">
            <w:pPr>
              <w:overflowPunct/>
              <w:autoSpaceDE/>
              <w:autoSpaceDN/>
              <w:adjustRightInd/>
              <w:spacing w:after="0"/>
              <w:textAlignment w:val="auto"/>
              <w:rPr>
                <w:rFonts w:ascii="Times" w:eastAsia="MS Mincho" w:hAnsi="Times"/>
                <w:lang w:val="en-US" w:eastAsia="ja-JP"/>
              </w:rPr>
            </w:pPr>
            <w:r w:rsidRPr="007829E1">
              <w:rPr>
                <w:rFonts w:ascii="Times" w:eastAsia="MS Mincho" w:hAnsi="Times"/>
                <w:highlight w:val="green"/>
                <w:lang w:val="en-US" w:eastAsia="ja-JP"/>
              </w:rPr>
              <w:t>Agreement:</w:t>
            </w:r>
          </w:p>
          <w:p w14:paraId="2DEB74A0" w14:textId="77777777" w:rsidR="007829E1" w:rsidRPr="007829E1" w:rsidRDefault="007829E1" w:rsidP="007829E1">
            <w:pPr>
              <w:numPr>
                <w:ilvl w:val="0"/>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For the definition of beam correspondence:</w:t>
            </w:r>
          </w:p>
          <w:p w14:paraId="3CE5FBC9"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Confirm the previous working assumption of the definition</w:t>
            </w:r>
          </w:p>
          <w:p w14:paraId="5DF929CE" w14:textId="77777777" w:rsidR="007829E1" w:rsidRPr="007829E1" w:rsidRDefault="007829E1" w:rsidP="007829E1">
            <w:pPr>
              <w:numPr>
                <w:ilvl w:val="2"/>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Note: this definition/terminology is for convenience of discussion</w:t>
            </w:r>
          </w:p>
          <w:p w14:paraId="3AC5B13B"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The detailed performance conditions are up to RAN4</w:t>
            </w:r>
          </w:p>
          <w:p w14:paraId="4D2D05C4" w14:textId="77777777" w:rsidR="007829E1" w:rsidRPr="007829E1" w:rsidRDefault="007829E1" w:rsidP="007829E1">
            <w:pPr>
              <w:overflowPunct/>
              <w:autoSpaceDE/>
              <w:autoSpaceDN/>
              <w:adjustRightInd/>
              <w:spacing w:after="0"/>
              <w:textAlignment w:val="auto"/>
              <w:rPr>
                <w:rFonts w:ascii="Times" w:eastAsia="Batang" w:hAnsi="Times"/>
                <w:szCs w:val="24"/>
                <w:lang w:val="en-US"/>
              </w:rPr>
            </w:pPr>
            <w:r w:rsidRPr="007829E1">
              <w:rPr>
                <w:rFonts w:ascii="Times" w:eastAsia="Batang" w:hAnsi="Times"/>
                <w:szCs w:val="24"/>
                <w:highlight w:val="green"/>
                <w:lang w:val="en-US"/>
              </w:rPr>
              <w:t>Agreement:</w:t>
            </w:r>
          </w:p>
          <w:p w14:paraId="5343082B" w14:textId="14FD1892" w:rsidR="007829E1" w:rsidRDefault="007829E1" w:rsidP="007829E1">
            <w:pPr>
              <w:numPr>
                <w:ilvl w:val="0"/>
                <w:numId w:val="7"/>
              </w:numPr>
              <w:overflowPunct/>
              <w:autoSpaceDE/>
              <w:autoSpaceDN/>
              <w:adjustRightInd/>
              <w:spacing w:after="0"/>
              <w:contextualSpacing/>
              <w:textAlignment w:val="auto"/>
              <w:rPr>
                <w:rFonts w:eastAsia="MS Mincho"/>
                <w:lang w:val="en-US" w:eastAsia="ja-JP"/>
              </w:rPr>
            </w:pPr>
            <w:r w:rsidRPr="007829E1">
              <w:rPr>
                <w:rFonts w:eastAsia="MS Mincho"/>
                <w:lang w:val="en-US" w:eastAsia="ja-JP"/>
              </w:rPr>
              <w:t>Support capability indication of UE beam correspondence related information to TRP</w:t>
            </w:r>
          </w:p>
          <w:p w14:paraId="71D4C9FC" w14:textId="71F421BC" w:rsidR="007829E1" w:rsidRDefault="007829E1" w:rsidP="007829E1">
            <w:pPr>
              <w:numPr>
                <w:ilvl w:val="1"/>
                <w:numId w:val="7"/>
              </w:numPr>
              <w:overflowPunct/>
              <w:autoSpaceDE/>
              <w:autoSpaceDN/>
              <w:adjustRightInd/>
              <w:spacing w:after="0"/>
              <w:contextualSpacing/>
              <w:textAlignment w:val="auto"/>
              <w:rPr>
                <w:bCs/>
              </w:rPr>
            </w:pPr>
            <w:r w:rsidRPr="007829E1">
              <w:rPr>
                <w:rFonts w:ascii="Times" w:eastAsia="MS Mincho" w:hAnsi="Times"/>
                <w:szCs w:val="24"/>
                <w:lang w:val="en-US"/>
              </w:rPr>
              <w:t>FFS details including capability definition, case(s) (if any) when the indication is not necessary</w:t>
            </w:r>
          </w:p>
        </w:tc>
      </w:tr>
    </w:tbl>
    <w:p w14:paraId="63B51109" w14:textId="2BEBC418" w:rsidR="007829E1" w:rsidRDefault="007829E1" w:rsidP="006909FE">
      <w:pPr>
        <w:spacing w:after="120"/>
        <w:rPr>
          <w:bCs/>
        </w:rPr>
      </w:pPr>
    </w:p>
    <w:p w14:paraId="0ECEA297" w14:textId="42AD2523" w:rsidR="00F92921" w:rsidRDefault="00F92921" w:rsidP="006909FE">
      <w:pPr>
        <w:spacing w:after="120"/>
        <w:rPr>
          <w:bCs/>
        </w:rPr>
      </w:pPr>
      <w:r>
        <w:rPr>
          <w:bCs/>
        </w:rPr>
        <w:t xml:space="preserve">RAN1#88 made the </w:t>
      </w:r>
      <w:r w:rsidR="00583806">
        <w:rPr>
          <w:bCs/>
        </w:rPr>
        <w:t>following related agreements</w:t>
      </w:r>
      <w:r>
        <w:rPr>
          <w:bCs/>
        </w:rPr>
        <w:t>:</w:t>
      </w:r>
    </w:p>
    <w:tbl>
      <w:tblPr>
        <w:tblStyle w:val="TableGrid"/>
        <w:tblW w:w="0" w:type="auto"/>
        <w:tblLook w:val="04A0" w:firstRow="1" w:lastRow="0" w:firstColumn="1" w:lastColumn="0" w:noHBand="0" w:noVBand="1"/>
      </w:tblPr>
      <w:tblGrid>
        <w:gridCol w:w="9629"/>
      </w:tblGrid>
      <w:tr w:rsidR="00F92921" w14:paraId="3462C6CF" w14:textId="77777777" w:rsidTr="00F92921">
        <w:tc>
          <w:tcPr>
            <w:tcW w:w="9629" w:type="dxa"/>
          </w:tcPr>
          <w:p w14:paraId="529AA82E" w14:textId="77777777" w:rsidR="00F92921" w:rsidRPr="00F92921" w:rsidRDefault="00F92921" w:rsidP="00F92921">
            <w:pPr>
              <w:overflowPunct/>
              <w:autoSpaceDE/>
              <w:autoSpaceDN/>
              <w:adjustRightInd/>
              <w:spacing w:after="0"/>
              <w:textAlignment w:val="auto"/>
              <w:rPr>
                <w:rFonts w:ascii="Times" w:eastAsia="Batang" w:hAnsi="Times"/>
                <w:bCs/>
                <w:lang w:eastAsia="ja-JP"/>
              </w:rPr>
            </w:pPr>
            <w:r w:rsidRPr="00F92921">
              <w:rPr>
                <w:rFonts w:ascii="Times" w:eastAsia="Batang" w:hAnsi="Times"/>
                <w:bCs/>
                <w:highlight w:val="green"/>
                <w:lang w:eastAsia="ja-JP"/>
              </w:rPr>
              <w:t>Agreement</w:t>
            </w:r>
            <w:r w:rsidRPr="00F92921">
              <w:rPr>
                <w:rFonts w:ascii="Times" w:eastAsia="Batang" w:hAnsi="Times"/>
                <w:bCs/>
                <w:lang w:eastAsia="ja-JP"/>
              </w:rPr>
              <w:t>:</w:t>
            </w:r>
          </w:p>
          <w:p w14:paraId="1232C1E8" w14:textId="77777777" w:rsidR="00F92921" w:rsidRPr="00F92921" w:rsidRDefault="00F92921" w:rsidP="00F92921">
            <w:pPr>
              <w:numPr>
                <w:ilvl w:val="0"/>
                <w:numId w:val="8"/>
              </w:numPr>
              <w:overflowPunct/>
              <w:autoSpaceDE/>
              <w:autoSpaceDN/>
              <w:adjustRightInd/>
              <w:spacing w:after="0"/>
              <w:contextualSpacing/>
              <w:textAlignment w:val="auto"/>
              <w:rPr>
                <w:lang w:val="en-US" w:eastAsia="ja-JP"/>
              </w:rPr>
            </w:pPr>
            <w:r w:rsidRPr="00F92921">
              <w:rPr>
                <w:lang w:val="en-US" w:eastAsia="ja-JP"/>
              </w:rPr>
              <w:t xml:space="preserve">FFS whether or not to support at least the following association of channel properties between UL and DL antenna ports at the same node for the case with and without beam correspondence </w:t>
            </w:r>
          </w:p>
          <w:p w14:paraId="4045A8EA" w14:textId="5204D7C8" w:rsidR="00F92921" w:rsidRDefault="00F92921" w:rsidP="00F92921">
            <w:pPr>
              <w:numPr>
                <w:ilvl w:val="1"/>
                <w:numId w:val="8"/>
              </w:numPr>
              <w:overflowPunct/>
              <w:autoSpaceDE/>
              <w:autoSpaceDN/>
              <w:adjustRightInd/>
              <w:spacing w:after="0"/>
              <w:contextualSpacing/>
              <w:textAlignment w:val="auto"/>
              <w:rPr>
                <w:lang w:val="en-US" w:eastAsia="ja-JP"/>
              </w:rPr>
            </w:pPr>
            <w:r w:rsidRPr="00F92921">
              <w:rPr>
                <w:lang w:val="en-US" w:eastAsia="ja-JP"/>
              </w:rPr>
              <w:t>UL SRS/DM-RS/RACH and DL CSI-RS/DM-RS/SS</w:t>
            </w:r>
          </w:p>
          <w:p w14:paraId="3176C4A5" w14:textId="3CDE017C" w:rsidR="00F92921" w:rsidRDefault="00F92921" w:rsidP="00F92921">
            <w:pPr>
              <w:numPr>
                <w:ilvl w:val="1"/>
                <w:numId w:val="8"/>
              </w:numPr>
              <w:overflowPunct/>
              <w:autoSpaceDE/>
              <w:autoSpaceDN/>
              <w:adjustRightInd/>
              <w:spacing w:after="0"/>
              <w:contextualSpacing/>
              <w:textAlignment w:val="auto"/>
              <w:rPr>
                <w:bCs/>
              </w:rPr>
            </w:pPr>
            <w:r w:rsidRPr="00F92921">
              <w:rPr>
                <w:rFonts w:ascii="Times" w:eastAsia="Batang" w:hAnsi="Times"/>
                <w:szCs w:val="24"/>
                <w:lang w:val="en-US"/>
              </w:rPr>
              <w:t>Details of beam related indication signaling (if any)</w:t>
            </w:r>
          </w:p>
        </w:tc>
      </w:tr>
    </w:tbl>
    <w:p w14:paraId="74675836" w14:textId="77777777" w:rsidR="00F92921" w:rsidRDefault="00F92921" w:rsidP="006909FE">
      <w:pPr>
        <w:spacing w:after="120"/>
        <w:rPr>
          <w:bCs/>
        </w:rPr>
      </w:pPr>
    </w:p>
    <w:p w14:paraId="1DF305FE" w14:textId="22C7335D"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63DD1F6F" w14:textId="2E9883B7" w:rsidR="00DB055E" w:rsidRDefault="00F772E9" w:rsidP="00DB055E">
      <w:pPr>
        <w:pStyle w:val="Heading2"/>
      </w:pPr>
      <w:r>
        <w:t>2.1</w:t>
      </w:r>
      <w:r w:rsidR="00DB055E">
        <w:tab/>
        <w:t>On the need for mechanism to determine UE’s beam correspondence</w:t>
      </w:r>
    </w:p>
    <w:p w14:paraId="5C43E3E5" w14:textId="3E3866FC" w:rsidR="000550B4" w:rsidRDefault="00825692" w:rsidP="000550B4">
      <w:pPr>
        <w:jc w:val="both"/>
        <w:rPr>
          <w:lang w:val="en-US" w:eastAsia="x-none"/>
        </w:rPr>
      </w:pPr>
      <w:r>
        <w:rPr>
          <w:lang w:val="en-US" w:eastAsia="x-none"/>
        </w:rPr>
        <w:t xml:space="preserve">As a starting point we review the </w:t>
      </w:r>
      <w:r w:rsidR="00F32691">
        <w:rPr>
          <w:lang w:val="en-US" w:eastAsia="x-none"/>
        </w:rPr>
        <w:t xml:space="preserve">confirmed </w:t>
      </w:r>
      <w:r>
        <w:rPr>
          <w:lang w:val="en-US" w:eastAsia="x-none"/>
        </w:rPr>
        <w:t>working assumption related to beam correspondence definition made in RAN1#86bis:</w:t>
      </w:r>
    </w:p>
    <w:tbl>
      <w:tblPr>
        <w:tblStyle w:val="TableGrid"/>
        <w:tblW w:w="0" w:type="auto"/>
        <w:tblLook w:val="04A0" w:firstRow="1" w:lastRow="0" w:firstColumn="1" w:lastColumn="0" w:noHBand="0" w:noVBand="1"/>
      </w:tblPr>
      <w:tblGrid>
        <w:gridCol w:w="9629"/>
      </w:tblGrid>
      <w:tr w:rsidR="00825692" w14:paraId="4B670B29" w14:textId="77777777" w:rsidTr="00825692">
        <w:tc>
          <w:tcPr>
            <w:tcW w:w="9629" w:type="dxa"/>
          </w:tcPr>
          <w:p w14:paraId="4B23F2F2" w14:textId="77777777" w:rsidR="00825692" w:rsidRPr="00035F63" w:rsidRDefault="00825692" w:rsidP="00825692">
            <w:pPr>
              <w:rPr>
                <w:rFonts w:eastAsia="MS Mincho"/>
                <w:highlight w:val="darkYellow"/>
                <w:lang w:val="en-US" w:eastAsia="ja-JP"/>
              </w:rPr>
            </w:pPr>
            <w:r w:rsidRPr="00035F63">
              <w:rPr>
                <w:rFonts w:eastAsia="MS Mincho"/>
                <w:highlight w:val="darkYellow"/>
                <w:lang w:val="en-US" w:eastAsia="ja-JP"/>
              </w:rPr>
              <w:t>Working assumption:</w:t>
            </w:r>
          </w:p>
          <w:p w14:paraId="3D2BF998"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The followings are defined as Tx/Rx beam correspondence at TRP and UE :</w:t>
            </w:r>
          </w:p>
          <w:p w14:paraId="5B13013A"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TRP holds </w:t>
            </w:r>
            <w:r w:rsidRPr="00825692">
              <w:rPr>
                <w:rFonts w:eastAsia="MS Mincho"/>
                <w:sz w:val="20"/>
                <w:lang w:val="en-US"/>
              </w:rPr>
              <w:t>if at least one of the following is satisfied:</w:t>
            </w:r>
          </w:p>
          <w:p w14:paraId="0322F314"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Rx beam for the uplink reception based on UE’s downlink measurement on TRP’s one or more Tx beams.</w:t>
            </w:r>
          </w:p>
          <w:p w14:paraId="6ED3F40B"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Tx beam for the downlink transmission based on TRP’s uplink measurement on TRP’s one or more Rx beams</w:t>
            </w:r>
          </w:p>
          <w:p w14:paraId="54464987"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UE holds </w:t>
            </w:r>
            <w:r w:rsidRPr="00825692">
              <w:rPr>
                <w:rFonts w:eastAsia="MS Mincho"/>
                <w:sz w:val="20"/>
                <w:lang w:val="en-US"/>
              </w:rPr>
              <w:t xml:space="preserve">if at least one of the following is satisfied: </w:t>
            </w:r>
          </w:p>
          <w:p w14:paraId="277F907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Tx beam for the uplink transmission based on UE’s downlink measurement on UE’s one or more Rx beams.</w:t>
            </w:r>
          </w:p>
          <w:p w14:paraId="63D5151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Rx beam for the downlink reception based on TRP’s indication based on uplink measurement on UE’s one or more Tx beams.</w:t>
            </w:r>
          </w:p>
          <w:p w14:paraId="433B0CCE" w14:textId="199A5378" w:rsidR="00825692" w:rsidRDefault="00825692" w:rsidP="009A1840">
            <w:pPr>
              <w:pStyle w:val="ListParagraph"/>
              <w:numPr>
                <w:ilvl w:val="1"/>
                <w:numId w:val="3"/>
              </w:numPr>
              <w:overflowPunct w:val="0"/>
              <w:autoSpaceDE w:val="0"/>
              <w:autoSpaceDN w:val="0"/>
              <w:adjustRightInd w:val="0"/>
              <w:spacing w:after="180"/>
              <w:textAlignment w:val="baseline"/>
              <w:rPr>
                <w:lang w:val="en-US" w:eastAsia="x-none"/>
              </w:rPr>
            </w:pPr>
            <w:r w:rsidRPr="00825692">
              <w:rPr>
                <w:rFonts w:eastAsia="MS Mincho"/>
                <w:sz w:val="20"/>
                <w:lang w:val="en-US"/>
              </w:rPr>
              <w:lastRenderedPageBreak/>
              <w:t>More refined definition can still be discussed</w:t>
            </w:r>
          </w:p>
        </w:tc>
      </w:tr>
    </w:tbl>
    <w:p w14:paraId="2A2E87F3" w14:textId="77777777" w:rsidR="00825692" w:rsidRDefault="00825692" w:rsidP="000550B4">
      <w:pPr>
        <w:jc w:val="both"/>
        <w:rPr>
          <w:lang w:val="en-US" w:eastAsia="x-none"/>
        </w:rPr>
      </w:pPr>
    </w:p>
    <w:p w14:paraId="7624F009" w14:textId="784D2F2A" w:rsidR="00825692" w:rsidRPr="00825692" w:rsidRDefault="009A1460" w:rsidP="000550B4">
      <w:pPr>
        <w:jc w:val="both"/>
        <w:rPr>
          <w:lang w:val="en-US" w:eastAsia="x-none"/>
        </w:rPr>
      </w:pPr>
      <w:r>
        <w:rPr>
          <w:lang w:val="en-US" w:eastAsia="x-none"/>
        </w:rPr>
        <w:t xml:space="preserve">The </w:t>
      </w:r>
      <w:r w:rsidR="00825692">
        <w:rPr>
          <w:lang w:val="en-US" w:eastAsia="x-none"/>
        </w:rPr>
        <w:t xml:space="preserve">TRP can handle both TX/RX beam correspondence and non-correspondence conditions by configuring UEs to act </w:t>
      </w:r>
      <w:r w:rsidR="00377095">
        <w:rPr>
          <w:lang w:val="en-US" w:eastAsia="x-none"/>
        </w:rPr>
        <w:t>i</w:t>
      </w:r>
      <w:r w:rsidR="00825692">
        <w:rPr>
          <w:lang w:val="en-US" w:eastAsia="x-none"/>
        </w:rPr>
        <w:t xml:space="preserve">n </w:t>
      </w:r>
      <w:r w:rsidR="00825692" w:rsidRPr="00825692">
        <w:rPr>
          <w:lang w:val="en-US" w:eastAsia="x-none"/>
        </w:rPr>
        <w:t>certain ways:</w:t>
      </w:r>
    </w:p>
    <w:p w14:paraId="749AA9CB" w14:textId="21CC4D09"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at TRP</w:t>
      </w:r>
    </w:p>
    <w:p w14:paraId="23F5A51F" w14:textId="5AC82E75" w:rsidR="00825692" w:rsidRDefault="00825692" w:rsidP="009A1840">
      <w:pPr>
        <w:pStyle w:val="ListParagraph"/>
        <w:numPr>
          <w:ilvl w:val="1"/>
          <w:numId w:val="4"/>
        </w:numPr>
        <w:jc w:val="both"/>
        <w:rPr>
          <w:sz w:val="20"/>
          <w:szCs w:val="20"/>
          <w:lang w:val="en-US" w:eastAsia="x-none"/>
        </w:rPr>
      </w:pPr>
      <w:r>
        <w:rPr>
          <w:sz w:val="20"/>
          <w:szCs w:val="20"/>
          <w:lang w:val="en-US" w:eastAsia="x-none"/>
        </w:rPr>
        <w:t>TRP determines UL RX beam(s) for the UE based on Beam Status Information reports provided by the UE where measurements are performed based on TRP TX beams</w:t>
      </w:r>
    </w:p>
    <w:p w14:paraId="35B423A5" w14:textId="3AAC84DD"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not available at TRP</w:t>
      </w:r>
    </w:p>
    <w:p w14:paraId="0771D281" w14:textId="61D91CCE" w:rsidR="00825692" w:rsidRDefault="00825692" w:rsidP="009A1840">
      <w:pPr>
        <w:pStyle w:val="ListParagraph"/>
        <w:numPr>
          <w:ilvl w:val="1"/>
          <w:numId w:val="4"/>
        </w:numPr>
        <w:jc w:val="both"/>
        <w:rPr>
          <w:sz w:val="20"/>
          <w:szCs w:val="20"/>
          <w:lang w:val="en-US" w:eastAsia="x-none"/>
        </w:rPr>
      </w:pPr>
      <w:r>
        <w:rPr>
          <w:sz w:val="20"/>
          <w:szCs w:val="20"/>
          <w:lang w:val="en-US" w:eastAsia="x-none"/>
        </w:rPr>
        <w:t xml:space="preserve">TRP configures UE to transmit UL signal (e.g. PRACH preamble in RACH procedure) in repeated manner </w:t>
      </w:r>
      <w:r w:rsidR="00FE769B">
        <w:rPr>
          <w:sz w:val="20"/>
          <w:szCs w:val="20"/>
          <w:lang w:val="en-US" w:eastAsia="x-none"/>
        </w:rPr>
        <w:t xml:space="preserve">or multiple SRSs in time </w:t>
      </w:r>
      <w:r>
        <w:rPr>
          <w:sz w:val="20"/>
          <w:szCs w:val="20"/>
          <w:lang w:val="en-US" w:eastAsia="x-none"/>
        </w:rPr>
        <w:t>in order to be able to determine UL RX beam for the UE. DL TX beam would be determined similarly as in beam correspondence case</w:t>
      </w:r>
    </w:p>
    <w:p w14:paraId="714C1BE3" w14:textId="77777777" w:rsidR="00DB055E" w:rsidRDefault="00DB055E" w:rsidP="000550B4">
      <w:pPr>
        <w:jc w:val="both"/>
        <w:rPr>
          <w:lang w:val="en-US" w:eastAsia="x-none"/>
        </w:rPr>
      </w:pPr>
    </w:p>
    <w:p w14:paraId="01DBEA41" w14:textId="20803AC5" w:rsidR="00F4126F" w:rsidRDefault="00F4126F" w:rsidP="000550B4">
      <w:pPr>
        <w:jc w:val="both"/>
        <w:rPr>
          <w:lang w:val="en-US" w:eastAsia="x-none"/>
        </w:rPr>
      </w:pPr>
      <w:r>
        <w:rPr>
          <w:lang w:val="en-US" w:eastAsia="x-none"/>
        </w:rPr>
        <w:t>In initial access, the TX/RX beam correspondence capability of the UE can be transparent to the system and no different procedure is needed for non-correspondence case than in beam c</w:t>
      </w:r>
      <w:r w:rsidR="00583806">
        <w:rPr>
          <w:lang w:val="en-US" w:eastAsia="x-none"/>
        </w:rPr>
        <w:t>orrespondence case as shown in [3]</w:t>
      </w:r>
      <w:r w:rsidR="00635F4A">
        <w:rPr>
          <w:lang w:val="en-US" w:eastAsia="x-none"/>
        </w:rPr>
        <w:t xml:space="preserve">. </w:t>
      </w:r>
    </w:p>
    <w:p w14:paraId="38BE938F" w14:textId="022F9F5B" w:rsidR="009070AE" w:rsidRPr="00635F4A" w:rsidRDefault="00635F4A" w:rsidP="000550B4">
      <w:pPr>
        <w:jc w:val="both"/>
        <w:rPr>
          <w:b/>
          <w:i/>
          <w:lang w:val="en-US" w:eastAsia="x-none"/>
        </w:rPr>
      </w:pPr>
      <w:r>
        <w:rPr>
          <w:b/>
          <w:i/>
          <w:lang w:val="en-US" w:eastAsia="x-none"/>
        </w:rPr>
        <w:t>Observation: In initial access no mechanism is needed to determine UE’s TX/RX beam correspondence.</w:t>
      </w:r>
    </w:p>
    <w:p w14:paraId="702089D4" w14:textId="032D2CE9" w:rsidR="00242D22" w:rsidRPr="00AC3C0C" w:rsidRDefault="00E3117D" w:rsidP="000550B4">
      <w:pPr>
        <w:jc w:val="both"/>
        <w:rPr>
          <w:lang w:val="en-US" w:eastAsia="x-none"/>
        </w:rPr>
      </w:pPr>
      <w:r>
        <w:rPr>
          <w:lang w:val="en-US" w:eastAsia="x-none"/>
        </w:rPr>
        <w:t xml:space="preserve">Consideration for connected mode, and in general, we start with a hypothesis that UE’s doesn’t have TX/RX beam correspondence. </w:t>
      </w:r>
      <w:r w:rsidR="00242D22">
        <w:rPr>
          <w:lang w:val="en-US" w:eastAsia="x-none"/>
        </w:rPr>
        <w:t xml:space="preserve">On the other hand, as a result of initial access the TRP and UE have mutually aligned DL TX and RX beams as well as UL TX and RX beams. Using those beams the TRP and UE carry out RRC connection establishment </w:t>
      </w:r>
      <w:r w:rsidR="00AC3C0C">
        <w:rPr>
          <w:lang w:val="en-US" w:eastAsia="x-none"/>
        </w:rPr>
        <w:t xml:space="preserve">during which the UE signals TRP UE capability information potentially including the TX/RX beam correspondence </w:t>
      </w:r>
      <w:r w:rsidR="00AC3C0C" w:rsidRPr="00AC3C0C">
        <w:rPr>
          <w:lang w:val="en-US" w:eastAsia="x-none"/>
        </w:rPr>
        <w:t>capability. Based on the capability information TRP may then configure UE accordingly:</w:t>
      </w:r>
    </w:p>
    <w:p w14:paraId="1D41DFA3" w14:textId="1F7F1DF9" w:rsidR="00AC3C0C" w:rsidRDefault="00AC3C0C" w:rsidP="00AC3C0C">
      <w:pPr>
        <w:pStyle w:val="ListParagraph"/>
        <w:numPr>
          <w:ilvl w:val="0"/>
          <w:numId w:val="5"/>
        </w:numPr>
        <w:jc w:val="both"/>
        <w:rPr>
          <w:sz w:val="20"/>
          <w:szCs w:val="20"/>
          <w:lang w:val="en-US" w:eastAsia="x-none"/>
        </w:rPr>
      </w:pPr>
      <w:r>
        <w:rPr>
          <w:sz w:val="20"/>
          <w:szCs w:val="20"/>
          <w:lang w:val="en-US" w:eastAsia="x-none"/>
        </w:rPr>
        <w:t>UE determines its RX and TX beams from cell specific periodical CSI-RS (P1) and UE specific aperiodic CSI-RS (P2)</w:t>
      </w:r>
    </w:p>
    <w:p w14:paraId="6364723B" w14:textId="7E42BF44" w:rsidR="00AC3C0C" w:rsidRPr="002036FB" w:rsidRDefault="00AC3C0C" w:rsidP="00AC3C0C">
      <w:pPr>
        <w:pStyle w:val="ListParagraph"/>
        <w:numPr>
          <w:ilvl w:val="0"/>
          <w:numId w:val="5"/>
        </w:numPr>
        <w:jc w:val="both"/>
        <w:rPr>
          <w:sz w:val="20"/>
          <w:szCs w:val="20"/>
          <w:lang w:val="en-US" w:eastAsia="x-none"/>
        </w:rPr>
      </w:pPr>
      <w:r w:rsidRPr="002036FB">
        <w:rPr>
          <w:sz w:val="20"/>
          <w:szCs w:val="20"/>
          <w:lang w:val="en-US" w:eastAsia="x-none"/>
        </w:rPr>
        <w:t>UE determines its RX beams from cell specific periodical CSI-RS (P1) and UE specific aperiodic CSI-RS (P2) and TX beams based on feedback from gNB for configured multiple SRSs on which the UE may try different TX beams.</w:t>
      </w:r>
    </w:p>
    <w:p w14:paraId="4F6BCE57" w14:textId="77777777" w:rsidR="00AC3C0C" w:rsidRDefault="00AC3C0C" w:rsidP="000550B4">
      <w:pPr>
        <w:jc w:val="both"/>
        <w:rPr>
          <w:lang w:val="en-US" w:eastAsia="x-none"/>
        </w:rPr>
      </w:pPr>
    </w:p>
    <w:p w14:paraId="15F5C740" w14:textId="4B8D8CA4" w:rsidR="00154E22" w:rsidRDefault="00AC3C0C" w:rsidP="000550B4">
      <w:pPr>
        <w:jc w:val="both"/>
        <w:rPr>
          <w:rFonts w:eastAsia="MS Mincho"/>
          <w:b/>
          <w:i/>
          <w:lang w:val="en-US" w:eastAsia="ja-JP"/>
        </w:rPr>
      </w:pPr>
      <w:r>
        <w:rPr>
          <w:b/>
          <w:i/>
          <w:lang w:val="en-US" w:eastAsia="x-none"/>
        </w:rPr>
        <w:t>Proposal</w:t>
      </w:r>
      <w:r w:rsidR="00154E22">
        <w:rPr>
          <w:b/>
          <w:i/>
          <w:lang w:val="en-US" w:eastAsia="x-none"/>
        </w:rPr>
        <w:t>: No</w:t>
      </w:r>
      <w:r w:rsidR="00154E22" w:rsidRPr="00154E22">
        <w:rPr>
          <w:b/>
          <w:i/>
          <w:lang w:val="en-US" w:eastAsia="x-none"/>
        </w:rPr>
        <w:t xml:space="preserve"> </w:t>
      </w:r>
      <w:r w:rsidR="00B53A33">
        <w:rPr>
          <w:b/>
          <w:i/>
          <w:lang w:val="en-US" w:eastAsia="x-none"/>
        </w:rPr>
        <w:t>separate</w:t>
      </w:r>
      <w:r>
        <w:rPr>
          <w:b/>
          <w:i/>
          <w:lang w:val="en-US" w:eastAsia="x-none"/>
        </w:rPr>
        <w:t xml:space="preserve"> procedures/</w:t>
      </w:r>
      <w:r w:rsidR="00B53A33">
        <w:rPr>
          <w:b/>
          <w:i/>
          <w:lang w:val="en-US" w:eastAsia="x-none"/>
        </w:rPr>
        <w:t xml:space="preserve"> </w:t>
      </w:r>
      <w:r w:rsidR="00154E22"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p>
    <w:p w14:paraId="105939FC" w14:textId="76434C00" w:rsidR="00526591" w:rsidRDefault="00F772E9" w:rsidP="00526591">
      <w:pPr>
        <w:pStyle w:val="Heading2"/>
        <w:rPr>
          <w:lang w:val="en-US" w:eastAsia="ja-JP"/>
        </w:rPr>
      </w:pPr>
      <w:r>
        <w:rPr>
          <w:lang w:val="en-US"/>
        </w:rPr>
        <w:t>2.2</w:t>
      </w:r>
      <w:r w:rsidR="00526591">
        <w:rPr>
          <w:lang w:val="en-US"/>
        </w:rPr>
        <w:tab/>
        <w:t xml:space="preserve">On association of </w:t>
      </w:r>
      <w:r w:rsidR="00526591" w:rsidRPr="00F92921">
        <w:rPr>
          <w:lang w:val="en-US" w:eastAsia="ja-JP"/>
        </w:rPr>
        <w:t>channel properties between UL and DL antenna ports at the same</w:t>
      </w:r>
    </w:p>
    <w:p w14:paraId="49309E5A" w14:textId="33597AF1" w:rsidR="00BC2FB8" w:rsidRPr="00BC2FB8" w:rsidRDefault="00BC2FB8" w:rsidP="00BC2FB8">
      <w:pPr>
        <w:rPr>
          <w:lang w:val="en-US" w:eastAsia="ja-JP"/>
        </w:rPr>
      </w:pPr>
      <w:r>
        <w:rPr>
          <w:lang w:val="en-US" w:eastAsia="ja-JP"/>
        </w:rPr>
        <w:t xml:space="preserve">The following agreement was made in RAN1#88. </w:t>
      </w:r>
    </w:p>
    <w:tbl>
      <w:tblPr>
        <w:tblStyle w:val="TableGrid"/>
        <w:tblW w:w="0" w:type="auto"/>
        <w:tblLook w:val="04A0" w:firstRow="1" w:lastRow="0" w:firstColumn="1" w:lastColumn="0" w:noHBand="0" w:noVBand="1"/>
      </w:tblPr>
      <w:tblGrid>
        <w:gridCol w:w="9629"/>
      </w:tblGrid>
      <w:tr w:rsidR="000E04D3" w14:paraId="736F86EE" w14:textId="77777777" w:rsidTr="000E04D3">
        <w:tc>
          <w:tcPr>
            <w:tcW w:w="9629" w:type="dxa"/>
          </w:tcPr>
          <w:p w14:paraId="21BC4B87" w14:textId="77777777" w:rsidR="000E04D3" w:rsidRPr="00F92921" w:rsidRDefault="000E04D3" w:rsidP="000E04D3">
            <w:pPr>
              <w:overflowPunct/>
              <w:autoSpaceDE/>
              <w:autoSpaceDN/>
              <w:adjustRightInd/>
              <w:spacing w:after="0"/>
              <w:textAlignment w:val="auto"/>
              <w:rPr>
                <w:rFonts w:ascii="Times" w:eastAsia="Batang" w:hAnsi="Times"/>
                <w:bCs/>
                <w:lang w:eastAsia="ja-JP"/>
              </w:rPr>
            </w:pPr>
            <w:r w:rsidRPr="00F92921">
              <w:rPr>
                <w:rFonts w:ascii="Times" w:eastAsia="Batang" w:hAnsi="Times"/>
                <w:bCs/>
                <w:highlight w:val="green"/>
                <w:lang w:eastAsia="ja-JP"/>
              </w:rPr>
              <w:t>Agreement</w:t>
            </w:r>
            <w:r w:rsidRPr="00F92921">
              <w:rPr>
                <w:rFonts w:ascii="Times" w:eastAsia="Batang" w:hAnsi="Times"/>
                <w:bCs/>
                <w:lang w:eastAsia="ja-JP"/>
              </w:rPr>
              <w:t>:</w:t>
            </w:r>
          </w:p>
          <w:p w14:paraId="4FAA34A3" w14:textId="77777777" w:rsidR="000E04D3" w:rsidRPr="00F92921" w:rsidRDefault="000E04D3" w:rsidP="000E04D3">
            <w:pPr>
              <w:numPr>
                <w:ilvl w:val="0"/>
                <w:numId w:val="8"/>
              </w:numPr>
              <w:overflowPunct/>
              <w:autoSpaceDE/>
              <w:autoSpaceDN/>
              <w:adjustRightInd/>
              <w:spacing w:after="0"/>
              <w:contextualSpacing/>
              <w:textAlignment w:val="auto"/>
              <w:rPr>
                <w:lang w:val="en-US" w:eastAsia="ja-JP"/>
              </w:rPr>
            </w:pPr>
            <w:r w:rsidRPr="00F92921">
              <w:rPr>
                <w:lang w:val="en-US" w:eastAsia="ja-JP"/>
              </w:rPr>
              <w:t xml:space="preserve">FFS whether or not to support at least the following association of channel properties between UL and DL antenna ports at the same node for the case with and without beam correspondence </w:t>
            </w:r>
          </w:p>
          <w:p w14:paraId="4FB22CB4" w14:textId="77777777" w:rsidR="000E04D3" w:rsidRDefault="000E04D3" w:rsidP="000E04D3">
            <w:pPr>
              <w:numPr>
                <w:ilvl w:val="1"/>
                <w:numId w:val="8"/>
              </w:numPr>
              <w:overflowPunct/>
              <w:autoSpaceDE/>
              <w:autoSpaceDN/>
              <w:adjustRightInd/>
              <w:spacing w:after="0"/>
              <w:contextualSpacing/>
              <w:textAlignment w:val="auto"/>
              <w:rPr>
                <w:lang w:val="en-US" w:eastAsia="ja-JP"/>
              </w:rPr>
            </w:pPr>
            <w:r w:rsidRPr="00F92921">
              <w:rPr>
                <w:lang w:val="en-US" w:eastAsia="ja-JP"/>
              </w:rPr>
              <w:t>UL SRS/DM-RS/RACH and DL CSI-RS/DM-RS/SS</w:t>
            </w:r>
          </w:p>
          <w:p w14:paraId="2E83054F" w14:textId="19661F3D" w:rsidR="000E04D3" w:rsidRPr="000E04D3" w:rsidRDefault="000E04D3" w:rsidP="00526591">
            <w:pPr>
              <w:numPr>
                <w:ilvl w:val="1"/>
                <w:numId w:val="8"/>
              </w:numPr>
              <w:overflowPunct/>
              <w:autoSpaceDE/>
              <w:autoSpaceDN/>
              <w:adjustRightInd/>
              <w:spacing w:after="0"/>
              <w:contextualSpacing/>
              <w:textAlignment w:val="auto"/>
              <w:rPr>
                <w:bCs/>
              </w:rPr>
            </w:pPr>
            <w:r w:rsidRPr="00F92921">
              <w:rPr>
                <w:rFonts w:ascii="Times" w:eastAsia="Batang" w:hAnsi="Times"/>
                <w:szCs w:val="24"/>
                <w:lang w:val="en-US"/>
              </w:rPr>
              <w:t>Details of beam related indication signaling (if any)</w:t>
            </w:r>
          </w:p>
        </w:tc>
      </w:tr>
    </w:tbl>
    <w:p w14:paraId="6447E417" w14:textId="0565F325" w:rsidR="0057758D" w:rsidRDefault="0057758D" w:rsidP="00526591">
      <w:pPr>
        <w:rPr>
          <w:lang w:eastAsia="ja-JP"/>
        </w:rPr>
      </w:pPr>
    </w:p>
    <w:p w14:paraId="332D79EE" w14:textId="20018EAD" w:rsidR="0057758D" w:rsidRDefault="0057758D" w:rsidP="00526591">
      <w:pPr>
        <w:rPr>
          <w:lang w:eastAsia="ja-JP"/>
        </w:rPr>
      </w:pPr>
      <w:r>
        <w:rPr>
          <w:lang w:eastAsia="ja-JP"/>
        </w:rPr>
        <w:t>Some potential use cases corresponding to above RAN1#88 agreement were further sketched in [4] as follows:</w:t>
      </w:r>
    </w:p>
    <w:p w14:paraId="01F9D465" w14:textId="77777777" w:rsidR="005D1CDC" w:rsidRPr="0057758D" w:rsidRDefault="00893553" w:rsidP="0057758D">
      <w:pPr>
        <w:numPr>
          <w:ilvl w:val="0"/>
          <w:numId w:val="10"/>
        </w:numPr>
        <w:rPr>
          <w:lang w:val="en-US" w:eastAsia="ja-JP"/>
        </w:rPr>
      </w:pPr>
      <w:r w:rsidRPr="0057758D">
        <w:rPr>
          <w:lang w:val="en-US" w:eastAsia="ja-JP"/>
        </w:rPr>
        <w:t>Use cases of UL SRS and DL CSI-RS association</w:t>
      </w:r>
    </w:p>
    <w:p w14:paraId="6855D1EC" w14:textId="77777777" w:rsidR="005D1CDC" w:rsidRPr="0057758D" w:rsidRDefault="00893553" w:rsidP="0057758D">
      <w:pPr>
        <w:numPr>
          <w:ilvl w:val="1"/>
          <w:numId w:val="10"/>
        </w:numPr>
        <w:rPr>
          <w:lang w:val="fi-FI" w:eastAsia="ja-JP"/>
        </w:rPr>
      </w:pPr>
      <w:r w:rsidRPr="0057758D">
        <w:rPr>
          <w:lang w:val="en-US" w:eastAsia="ja-JP"/>
        </w:rPr>
        <w:t>At UE side:</w:t>
      </w:r>
    </w:p>
    <w:p w14:paraId="3F634385" w14:textId="77777777" w:rsidR="005D1CDC" w:rsidRPr="0057758D" w:rsidRDefault="00893553" w:rsidP="0057758D">
      <w:pPr>
        <w:numPr>
          <w:ilvl w:val="2"/>
          <w:numId w:val="10"/>
        </w:numPr>
        <w:rPr>
          <w:lang w:val="en-US" w:eastAsia="ja-JP"/>
        </w:rPr>
      </w:pPr>
      <w:r w:rsidRPr="0057758D">
        <w:rPr>
          <w:lang w:val="en-US" w:eastAsia="ja-JP"/>
        </w:rPr>
        <w:t>Tx beam of UL SRS is determined based on Rx beam(s) of DL CSI-RS</w:t>
      </w:r>
    </w:p>
    <w:p w14:paraId="5E222EAA" w14:textId="77777777" w:rsidR="005D1CDC" w:rsidRPr="0057758D" w:rsidRDefault="00893553" w:rsidP="0057758D">
      <w:pPr>
        <w:numPr>
          <w:ilvl w:val="2"/>
          <w:numId w:val="10"/>
        </w:numPr>
        <w:rPr>
          <w:lang w:val="en-US" w:eastAsia="ja-JP"/>
        </w:rPr>
      </w:pPr>
      <w:r w:rsidRPr="0057758D">
        <w:rPr>
          <w:lang w:val="en-US" w:eastAsia="ja-JP"/>
        </w:rPr>
        <w:t>Rx beam of DL CSI-RS is determined based on Tx beam(s) of UL SRS</w:t>
      </w:r>
    </w:p>
    <w:p w14:paraId="6065186E" w14:textId="77777777" w:rsidR="005D1CDC" w:rsidRPr="0057758D" w:rsidRDefault="00893553" w:rsidP="0057758D">
      <w:pPr>
        <w:numPr>
          <w:ilvl w:val="1"/>
          <w:numId w:val="10"/>
        </w:numPr>
        <w:rPr>
          <w:lang w:val="fi-FI" w:eastAsia="ja-JP"/>
        </w:rPr>
      </w:pPr>
      <w:r w:rsidRPr="0057758D">
        <w:rPr>
          <w:lang w:val="en-US" w:eastAsia="ja-JP"/>
        </w:rPr>
        <w:t>At TRP side:</w:t>
      </w:r>
    </w:p>
    <w:p w14:paraId="21672AA6" w14:textId="77777777" w:rsidR="005D1CDC" w:rsidRPr="0057758D" w:rsidRDefault="00893553" w:rsidP="0057758D">
      <w:pPr>
        <w:numPr>
          <w:ilvl w:val="2"/>
          <w:numId w:val="10"/>
        </w:numPr>
        <w:rPr>
          <w:lang w:val="en-US" w:eastAsia="ja-JP"/>
        </w:rPr>
      </w:pPr>
      <w:r w:rsidRPr="0057758D">
        <w:rPr>
          <w:lang w:val="en-US" w:eastAsia="ja-JP"/>
        </w:rPr>
        <w:t>Tx beam of DL CSI-RS is determined based on Rx beam(s) of SRS</w:t>
      </w:r>
    </w:p>
    <w:p w14:paraId="0DDBF15C" w14:textId="77777777" w:rsidR="005D1CDC" w:rsidRPr="0057758D" w:rsidRDefault="00893553" w:rsidP="0057758D">
      <w:pPr>
        <w:numPr>
          <w:ilvl w:val="2"/>
          <w:numId w:val="10"/>
        </w:numPr>
        <w:rPr>
          <w:lang w:val="en-US" w:eastAsia="ja-JP"/>
        </w:rPr>
      </w:pPr>
      <w:r w:rsidRPr="0057758D">
        <w:rPr>
          <w:lang w:val="en-US" w:eastAsia="ja-JP"/>
        </w:rPr>
        <w:t>Rx beam of SRS is determined based on Tx beam(s) of DL CSI-RS</w:t>
      </w:r>
    </w:p>
    <w:p w14:paraId="49C6FBBC" w14:textId="77777777" w:rsidR="005D1CDC" w:rsidRPr="0057758D" w:rsidRDefault="00893553" w:rsidP="0057758D">
      <w:pPr>
        <w:numPr>
          <w:ilvl w:val="0"/>
          <w:numId w:val="10"/>
        </w:numPr>
        <w:rPr>
          <w:lang w:val="en-US" w:eastAsia="ja-JP"/>
        </w:rPr>
      </w:pPr>
      <w:r w:rsidRPr="0057758D">
        <w:rPr>
          <w:lang w:val="en-US" w:eastAsia="ja-JP"/>
        </w:rPr>
        <w:lastRenderedPageBreak/>
        <w:t>Use cases of UL SRS and DL DMRS association</w:t>
      </w:r>
    </w:p>
    <w:p w14:paraId="71B446AB" w14:textId="77777777" w:rsidR="005D1CDC" w:rsidRPr="0057758D" w:rsidRDefault="00893553" w:rsidP="0057758D">
      <w:pPr>
        <w:numPr>
          <w:ilvl w:val="1"/>
          <w:numId w:val="10"/>
        </w:numPr>
        <w:rPr>
          <w:lang w:val="fi-FI" w:eastAsia="ja-JP"/>
        </w:rPr>
      </w:pPr>
      <w:r w:rsidRPr="0057758D">
        <w:rPr>
          <w:lang w:val="en-US" w:eastAsia="ja-JP"/>
        </w:rPr>
        <w:t>At UE side:</w:t>
      </w:r>
    </w:p>
    <w:p w14:paraId="2C07F320" w14:textId="77777777" w:rsidR="005D1CDC" w:rsidRPr="0057758D" w:rsidRDefault="00893553" w:rsidP="0057758D">
      <w:pPr>
        <w:numPr>
          <w:ilvl w:val="2"/>
          <w:numId w:val="10"/>
        </w:numPr>
        <w:rPr>
          <w:lang w:val="en-US" w:eastAsia="ja-JP"/>
        </w:rPr>
      </w:pPr>
      <w:r w:rsidRPr="0057758D">
        <w:rPr>
          <w:lang w:val="en-US" w:eastAsia="ja-JP"/>
        </w:rPr>
        <w:t>Rx beam of DL DMRS is determined based on Tx beam(s) of UL SRS</w:t>
      </w:r>
    </w:p>
    <w:p w14:paraId="4806E6C5" w14:textId="77777777" w:rsidR="005D1CDC" w:rsidRPr="0057758D" w:rsidRDefault="00893553" w:rsidP="0057758D">
      <w:pPr>
        <w:numPr>
          <w:ilvl w:val="1"/>
          <w:numId w:val="10"/>
        </w:numPr>
        <w:rPr>
          <w:lang w:val="fi-FI" w:eastAsia="ja-JP"/>
        </w:rPr>
      </w:pPr>
      <w:r w:rsidRPr="0057758D">
        <w:rPr>
          <w:lang w:val="en-US" w:eastAsia="ja-JP"/>
        </w:rPr>
        <w:t>At TRP side:</w:t>
      </w:r>
    </w:p>
    <w:p w14:paraId="4BCFECBB" w14:textId="77777777" w:rsidR="005D1CDC" w:rsidRPr="0057758D" w:rsidRDefault="00893553" w:rsidP="0057758D">
      <w:pPr>
        <w:numPr>
          <w:ilvl w:val="2"/>
          <w:numId w:val="10"/>
        </w:numPr>
        <w:rPr>
          <w:lang w:val="en-US" w:eastAsia="ja-JP"/>
        </w:rPr>
      </w:pPr>
      <w:r w:rsidRPr="0057758D">
        <w:rPr>
          <w:lang w:val="en-US" w:eastAsia="ja-JP"/>
        </w:rPr>
        <w:t>Tx beam of DL DMRS is determined based on Rx beam(s) of SRS</w:t>
      </w:r>
    </w:p>
    <w:p w14:paraId="592F6EBE" w14:textId="1A212B3D" w:rsidR="00E30B35" w:rsidRDefault="005C28A7" w:rsidP="00E30B35">
      <w:pPr>
        <w:jc w:val="both"/>
        <w:rPr>
          <w:lang w:val="en-US"/>
        </w:rPr>
      </w:pPr>
      <w:r>
        <w:rPr>
          <w:lang w:val="en-US"/>
        </w:rPr>
        <w:t>However, w</w:t>
      </w:r>
      <w:r w:rsidR="00E30B35">
        <w:rPr>
          <w:lang w:val="en-US"/>
        </w:rPr>
        <w:t xml:space="preserve">hen beam correspondence holds, the gNB transmits DL RS (CSI-RS) for P1/2/3 procedures. The UE is reporting based on CRI the characteristics of these beams. For UL transmission, the gNB is assigning UL resources (e.g SRS) for performing UL transmission (e.g. sounding over the best N CRI indicated beams). The SRS resources are allocated in time, as the UE can sound one direction at a time, hence the gNB needs to allocate multiple such SRS in different time instances. The gNB is in control of both SRS allocation and also knows where each SRS needs to be received on what Rx gNB beam as otherwise the gNB reception would not be possible. Hence the gNB has the knowledge of the best DL beams and the corresponding UL transmission on these beams. Such operation is transparent to the UE and needs no specification changes. </w:t>
      </w:r>
    </w:p>
    <w:p w14:paraId="0BB86783" w14:textId="13053731" w:rsidR="00E30B35" w:rsidRPr="00A032C1" w:rsidRDefault="00E30B35" w:rsidP="00E30B35">
      <w:pPr>
        <w:rPr>
          <w:b/>
          <w:i/>
          <w:lang w:val="en-US"/>
        </w:rPr>
      </w:pPr>
      <w:r>
        <w:rPr>
          <w:b/>
          <w:i/>
          <w:lang w:val="en-US"/>
        </w:rPr>
        <w:t>Proposal</w:t>
      </w:r>
      <w:r w:rsidR="005C28A7">
        <w:rPr>
          <w:b/>
          <w:i/>
          <w:lang w:val="en-US"/>
        </w:rPr>
        <w:t>: T</w:t>
      </w:r>
      <w:r w:rsidRPr="00A032C1">
        <w:rPr>
          <w:b/>
          <w:i/>
          <w:lang w:val="en-US"/>
        </w:rPr>
        <w:t>he association between DL and UL RS transmission is gNB implementation and does not need specification.</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6FD3F336"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 PDCCH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49805DE9" w:rsidR="000550B4" w:rsidRPr="000550B4" w:rsidRDefault="00AC3C0C" w:rsidP="000550B4">
      <w:pPr>
        <w:jc w:val="both"/>
        <w:rPr>
          <w:b/>
          <w:i/>
          <w:lang w:eastAsia="x-none"/>
        </w:rPr>
      </w:pPr>
      <w:r>
        <w:rPr>
          <w:b/>
          <w:i/>
          <w:lang w:val="en-US" w:eastAsia="x-none"/>
        </w:rPr>
        <w:t>Observation: In initial access no mechanism is needed to determine UE’s TX/RX beam correspondence.</w:t>
      </w:r>
    </w:p>
    <w:p w14:paraId="496019D9" w14:textId="2B21ADB0" w:rsidR="00DA5766" w:rsidRDefault="00AC3C0C" w:rsidP="000550B4">
      <w:pPr>
        <w:jc w:val="both"/>
        <w:rPr>
          <w:b/>
          <w:i/>
          <w:lang w:val="en-US" w:eastAsia="x-none"/>
        </w:rPr>
      </w:pPr>
      <w:r>
        <w:rPr>
          <w:b/>
          <w:i/>
          <w:lang w:val="en-US" w:eastAsia="x-none"/>
        </w:rPr>
        <w:t>Proposal: No</w:t>
      </w:r>
      <w:r w:rsidRPr="00154E22">
        <w:rPr>
          <w:b/>
          <w:i/>
          <w:lang w:val="en-US" w:eastAsia="x-none"/>
        </w:rPr>
        <w:t xml:space="preserve"> </w:t>
      </w:r>
      <w:r>
        <w:rPr>
          <w:b/>
          <w:i/>
          <w:lang w:val="en-US" w:eastAsia="x-none"/>
        </w:rPr>
        <w:t xml:space="preserve">separate procedures/ </w:t>
      </w:r>
      <w:r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r w:rsidR="00DA5766" w:rsidRPr="00DA5766">
        <w:rPr>
          <w:b/>
          <w:i/>
          <w:lang w:val="en-US" w:eastAsia="x-none"/>
        </w:rPr>
        <w:t xml:space="preserve"> </w:t>
      </w:r>
    </w:p>
    <w:p w14:paraId="1383C216" w14:textId="72BBC804" w:rsidR="00583806" w:rsidRPr="00F772E9" w:rsidRDefault="00E30B35" w:rsidP="00583806">
      <w:pPr>
        <w:rPr>
          <w:b/>
          <w:i/>
          <w:lang w:val="en-US"/>
        </w:rPr>
      </w:pPr>
      <w:r>
        <w:rPr>
          <w:b/>
          <w:i/>
          <w:lang w:val="en-US"/>
        </w:rPr>
        <w:t>Proposal</w:t>
      </w:r>
      <w:r w:rsidRPr="00A032C1">
        <w:rPr>
          <w:b/>
          <w:i/>
          <w:lang w:val="en-US"/>
        </w:rPr>
        <w:t xml:space="preserve">: </w:t>
      </w:r>
      <w:r>
        <w:rPr>
          <w:b/>
          <w:i/>
          <w:lang w:val="en-US"/>
        </w:rPr>
        <w:t>T</w:t>
      </w:r>
      <w:r w:rsidRPr="00A032C1">
        <w:rPr>
          <w:b/>
          <w:i/>
          <w:lang w:val="en-US"/>
        </w:rPr>
        <w:t>he association between DL and UL RS transmission is gNB implementation and does not need specification.</w:t>
      </w:r>
    </w:p>
    <w:p w14:paraId="6719C21D" w14:textId="77777777" w:rsidR="0034111C" w:rsidRPr="00A51522" w:rsidRDefault="0034111C">
      <w:pPr>
        <w:pStyle w:val="Heading1"/>
      </w:pPr>
      <w:r w:rsidRPr="00A51522">
        <w:t>References</w:t>
      </w:r>
      <w:r w:rsidR="00A2459D" w:rsidRPr="00A51522">
        <w:t xml:space="preserve"> </w:t>
      </w:r>
    </w:p>
    <w:p w14:paraId="7674A533" w14:textId="77777777" w:rsidR="002E125B" w:rsidRPr="001C5B55" w:rsidRDefault="002E125B" w:rsidP="002E125B">
      <w:pPr>
        <w:numPr>
          <w:ilvl w:val="0"/>
          <w:numId w:val="1"/>
        </w:numPr>
        <w:rPr>
          <w:sz w:val="18"/>
        </w:rPr>
      </w:pPr>
      <w:r w:rsidRPr="001C5B55">
        <w:rPr>
          <w:sz w:val="18"/>
          <w:lang w:eastAsia="zh-CN"/>
        </w:rPr>
        <w:t>3GPP Work Item Description, “New WID on New Radio Access Technology”, March 2017.</w:t>
      </w:r>
    </w:p>
    <w:p w14:paraId="213589C1" w14:textId="604C10AA" w:rsidR="00774E42" w:rsidRDefault="00774E42" w:rsidP="00D35EF4">
      <w:pPr>
        <w:numPr>
          <w:ilvl w:val="0"/>
          <w:numId w:val="1"/>
        </w:numPr>
        <w:rPr>
          <w:sz w:val="18"/>
        </w:rPr>
      </w:pPr>
      <w:r>
        <w:rPr>
          <w:sz w:val="18"/>
        </w:rPr>
        <w:t>RAN1#AH1_NR Chairman Notes</w:t>
      </w:r>
    </w:p>
    <w:p w14:paraId="61282F6F" w14:textId="7B765189" w:rsidR="00AA73EA" w:rsidRDefault="00AA73EA" w:rsidP="00D35EF4">
      <w:pPr>
        <w:numPr>
          <w:ilvl w:val="0"/>
          <w:numId w:val="1"/>
        </w:numPr>
        <w:rPr>
          <w:sz w:val="18"/>
        </w:rPr>
      </w:pPr>
      <w:r>
        <w:rPr>
          <w:sz w:val="18"/>
        </w:rPr>
        <w:t>RAN1 #88 Chairman Notes</w:t>
      </w:r>
    </w:p>
    <w:p w14:paraId="0522E278" w14:textId="133B350B" w:rsidR="0057758D" w:rsidRDefault="0057758D" w:rsidP="00D35EF4">
      <w:pPr>
        <w:numPr>
          <w:ilvl w:val="0"/>
          <w:numId w:val="1"/>
        </w:numPr>
        <w:rPr>
          <w:sz w:val="18"/>
        </w:rPr>
      </w:pPr>
      <w:r>
        <w:rPr>
          <w:sz w:val="18"/>
        </w:rPr>
        <w:t>R1-1706735, “Way Forward on RS association for UL and DL beam management”.</w:t>
      </w:r>
    </w:p>
    <w:sectPr w:rsidR="0057758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CA230" w14:textId="77777777" w:rsidR="001C77BC" w:rsidRDefault="001C77BC">
      <w:r>
        <w:separator/>
      </w:r>
    </w:p>
  </w:endnote>
  <w:endnote w:type="continuationSeparator" w:id="0">
    <w:p w14:paraId="3A4C91B8" w14:textId="77777777" w:rsidR="001C77BC" w:rsidRDefault="001C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D4163" w14:textId="77777777" w:rsidR="001C77BC" w:rsidRDefault="001C77BC">
      <w:r>
        <w:separator/>
      </w:r>
    </w:p>
  </w:footnote>
  <w:footnote w:type="continuationSeparator" w:id="0">
    <w:p w14:paraId="6B148586" w14:textId="77777777" w:rsidR="001C77BC" w:rsidRDefault="001C7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C07C2"/>
    <w:multiLevelType w:val="hybridMultilevel"/>
    <w:tmpl w:val="903260FA"/>
    <w:lvl w:ilvl="0" w:tplc="CCF8CBA4">
      <w:start w:val="1"/>
      <w:numFmt w:val="bullet"/>
      <w:lvlText w:val="•"/>
      <w:lvlJc w:val="left"/>
      <w:pPr>
        <w:tabs>
          <w:tab w:val="num" w:pos="720"/>
        </w:tabs>
        <w:ind w:left="720" w:hanging="360"/>
      </w:pPr>
      <w:rPr>
        <w:rFonts w:ascii="Arial" w:hAnsi="Arial" w:hint="default"/>
      </w:rPr>
    </w:lvl>
    <w:lvl w:ilvl="1" w:tplc="D4B493DC">
      <w:start w:val="1"/>
      <w:numFmt w:val="bullet"/>
      <w:lvlText w:val="•"/>
      <w:lvlJc w:val="left"/>
      <w:pPr>
        <w:tabs>
          <w:tab w:val="num" w:pos="1440"/>
        </w:tabs>
        <w:ind w:left="1440" w:hanging="360"/>
      </w:pPr>
      <w:rPr>
        <w:rFonts w:ascii="Arial" w:hAnsi="Arial" w:hint="default"/>
      </w:rPr>
    </w:lvl>
    <w:lvl w:ilvl="2" w:tplc="0128CD52">
      <w:numFmt w:val="bullet"/>
      <w:lvlText w:val="•"/>
      <w:lvlJc w:val="left"/>
      <w:pPr>
        <w:tabs>
          <w:tab w:val="num" w:pos="2160"/>
        </w:tabs>
        <w:ind w:left="2160" w:hanging="360"/>
      </w:pPr>
      <w:rPr>
        <w:rFonts w:ascii="Arial" w:hAnsi="Arial" w:hint="default"/>
      </w:rPr>
    </w:lvl>
    <w:lvl w:ilvl="3" w:tplc="50A64F68">
      <w:numFmt w:val="bullet"/>
      <w:lvlText w:val="•"/>
      <w:lvlJc w:val="left"/>
      <w:pPr>
        <w:tabs>
          <w:tab w:val="num" w:pos="2880"/>
        </w:tabs>
        <w:ind w:left="2880" w:hanging="360"/>
      </w:pPr>
      <w:rPr>
        <w:rFonts w:ascii="Arial" w:hAnsi="Arial" w:hint="default"/>
      </w:rPr>
    </w:lvl>
    <w:lvl w:ilvl="4" w:tplc="B8CABFC8" w:tentative="1">
      <w:start w:val="1"/>
      <w:numFmt w:val="bullet"/>
      <w:lvlText w:val="•"/>
      <w:lvlJc w:val="left"/>
      <w:pPr>
        <w:tabs>
          <w:tab w:val="num" w:pos="3600"/>
        </w:tabs>
        <w:ind w:left="3600" w:hanging="360"/>
      </w:pPr>
      <w:rPr>
        <w:rFonts w:ascii="Arial" w:hAnsi="Arial" w:hint="default"/>
      </w:rPr>
    </w:lvl>
    <w:lvl w:ilvl="5" w:tplc="F9444826" w:tentative="1">
      <w:start w:val="1"/>
      <w:numFmt w:val="bullet"/>
      <w:lvlText w:val="•"/>
      <w:lvlJc w:val="left"/>
      <w:pPr>
        <w:tabs>
          <w:tab w:val="num" w:pos="4320"/>
        </w:tabs>
        <w:ind w:left="4320" w:hanging="360"/>
      </w:pPr>
      <w:rPr>
        <w:rFonts w:ascii="Arial" w:hAnsi="Arial" w:hint="default"/>
      </w:rPr>
    </w:lvl>
    <w:lvl w:ilvl="6" w:tplc="337A1F22" w:tentative="1">
      <w:start w:val="1"/>
      <w:numFmt w:val="bullet"/>
      <w:lvlText w:val="•"/>
      <w:lvlJc w:val="left"/>
      <w:pPr>
        <w:tabs>
          <w:tab w:val="num" w:pos="5040"/>
        </w:tabs>
        <w:ind w:left="5040" w:hanging="360"/>
      </w:pPr>
      <w:rPr>
        <w:rFonts w:ascii="Arial" w:hAnsi="Arial" w:hint="default"/>
      </w:rPr>
    </w:lvl>
    <w:lvl w:ilvl="7" w:tplc="E4205294" w:tentative="1">
      <w:start w:val="1"/>
      <w:numFmt w:val="bullet"/>
      <w:lvlText w:val="•"/>
      <w:lvlJc w:val="left"/>
      <w:pPr>
        <w:tabs>
          <w:tab w:val="num" w:pos="5760"/>
        </w:tabs>
        <w:ind w:left="5760" w:hanging="360"/>
      </w:pPr>
      <w:rPr>
        <w:rFonts w:ascii="Arial" w:hAnsi="Arial" w:hint="default"/>
      </w:rPr>
    </w:lvl>
    <w:lvl w:ilvl="8" w:tplc="59BCD3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92AB5"/>
    <w:multiLevelType w:val="hybridMultilevel"/>
    <w:tmpl w:val="4EA814CE"/>
    <w:lvl w:ilvl="0" w:tplc="7E923838">
      <w:start w:val="1"/>
      <w:numFmt w:val="bullet"/>
      <w:lvlText w:val="•"/>
      <w:lvlJc w:val="left"/>
      <w:pPr>
        <w:tabs>
          <w:tab w:val="num" w:pos="720"/>
        </w:tabs>
        <w:ind w:left="720" w:hanging="360"/>
      </w:pPr>
      <w:rPr>
        <w:rFonts w:ascii="Arial" w:hAnsi="Arial" w:hint="default"/>
      </w:rPr>
    </w:lvl>
    <w:lvl w:ilvl="1" w:tplc="0AF6D4C2">
      <w:start w:val="1"/>
      <w:numFmt w:val="bullet"/>
      <w:lvlText w:val="•"/>
      <w:lvlJc w:val="left"/>
      <w:pPr>
        <w:tabs>
          <w:tab w:val="num" w:pos="1440"/>
        </w:tabs>
        <w:ind w:left="1440" w:hanging="360"/>
      </w:pPr>
      <w:rPr>
        <w:rFonts w:ascii="Arial" w:hAnsi="Arial" w:hint="default"/>
      </w:rPr>
    </w:lvl>
    <w:lvl w:ilvl="2" w:tplc="B4F4966A">
      <w:numFmt w:val="bullet"/>
      <w:lvlText w:val="•"/>
      <w:lvlJc w:val="left"/>
      <w:pPr>
        <w:tabs>
          <w:tab w:val="num" w:pos="2160"/>
        </w:tabs>
        <w:ind w:left="2160" w:hanging="360"/>
      </w:pPr>
      <w:rPr>
        <w:rFonts w:ascii="Arial" w:hAnsi="Arial" w:hint="default"/>
      </w:rPr>
    </w:lvl>
    <w:lvl w:ilvl="3" w:tplc="F7E6C910">
      <w:numFmt w:val="bullet"/>
      <w:lvlText w:val="•"/>
      <w:lvlJc w:val="left"/>
      <w:pPr>
        <w:tabs>
          <w:tab w:val="num" w:pos="2880"/>
        </w:tabs>
        <w:ind w:left="2880" w:hanging="360"/>
      </w:pPr>
      <w:rPr>
        <w:rFonts w:ascii="Arial" w:hAnsi="Arial" w:hint="default"/>
      </w:rPr>
    </w:lvl>
    <w:lvl w:ilvl="4" w:tplc="271E3178" w:tentative="1">
      <w:start w:val="1"/>
      <w:numFmt w:val="bullet"/>
      <w:lvlText w:val="•"/>
      <w:lvlJc w:val="left"/>
      <w:pPr>
        <w:tabs>
          <w:tab w:val="num" w:pos="3600"/>
        </w:tabs>
        <w:ind w:left="3600" w:hanging="360"/>
      </w:pPr>
      <w:rPr>
        <w:rFonts w:ascii="Arial" w:hAnsi="Arial" w:hint="default"/>
      </w:rPr>
    </w:lvl>
    <w:lvl w:ilvl="5" w:tplc="1C0C6034" w:tentative="1">
      <w:start w:val="1"/>
      <w:numFmt w:val="bullet"/>
      <w:lvlText w:val="•"/>
      <w:lvlJc w:val="left"/>
      <w:pPr>
        <w:tabs>
          <w:tab w:val="num" w:pos="4320"/>
        </w:tabs>
        <w:ind w:left="4320" w:hanging="360"/>
      </w:pPr>
      <w:rPr>
        <w:rFonts w:ascii="Arial" w:hAnsi="Arial" w:hint="default"/>
      </w:rPr>
    </w:lvl>
    <w:lvl w:ilvl="6" w:tplc="01F0B720" w:tentative="1">
      <w:start w:val="1"/>
      <w:numFmt w:val="bullet"/>
      <w:lvlText w:val="•"/>
      <w:lvlJc w:val="left"/>
      <w:pPr>
        <w:tabs>
          <w:tab w:val="num" w:pos="5040"/>
        </w:tabs>
        <w:ind w:left="5040" w:hanging="360"/>
      </w:pPr>
      <w:rPr>
        <w:rFonts w:ascii="Arial" w:hAnsi="Arial" w:hint="default"/>
      </w:rPr>
    </w:lvl>
    <w:lvl w:ilvl="7" w:tplc="E2E64A3E" w:tentative="1">
      <w:start w:val="1"/>
      <w:numFmt w:val="bullet"/>
      <w:lvlText w:val="•"/>
      <w:lvlJc w:val="left"/>
      <w:pPr>
        <w:tabs>
          <w:tab w:val="num" w:pos="5760"/>
        </w:tabs>
        <w:ind w:left="5760" w:hanging="360"/>
      </w:pPr>
      <w:rPr>
        <w:rFonts w:ascii="Arial" w:hAnsi="Arial" w:hint="default"/>
      </w:rPr>
    </w:lvl>
    <w:lvl w:ilvl="8" w:tplc="BB1813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1B0DE8"/>
    <w:multiLevelType w:val="hybridMultilevel"/>
    <w:tmpl w:val="A896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5742A"/>
    <w:multiLevelType w:val="hybridMultilevel"/>
    <w:tmpl w:val="72222350"/>
    <w:lvl w:ilvl="0" w:tplc="00D2E342">
      <w:start w:val="1"/>
      <w:numFmt w:val="bullet"/>
      <w:lvlText w:val="•"/>
      <w:lvlJc w:val="left"/>
      <w:pPr>
        <w:tabs>
          <w:tab w:val="num" w:pos="720"/>
        </w:tabs>
        <w:ind w:left="720" w:hanging="360"/>
      </w:pPr>
      <w:rPr>
        <w:rFonts w:ascii="Arial" w:hAnsi="Arial" w:cs="Times New Roman" w:hint="default"/>
      </w:rPr>
    </w:lvl>
    <w:lvl w:ilvl="1" w:tplc="FD66F748">
      <w:start w:val="1"/>
      <w:numFmt w:val="bullet"/>
      <w:lvlText w:val="•"/>
      <w:lvlJc w:val="left"/>
      <w:pPr>
        <w:tabs>
          <w:tab w:val="num" w:pos="1440"/>
        </w:tabs>
        <w:ind w:left="1440" w:hanging="360"/>
      </w:pPr>
      <w:rPr>
        <w:rFonts w:ascii="Arial" w:hAnsi="Arial" w:cs="Times New Roman" w:hint="default"/>
      </w:rPr>
    </w:lvl>
    <w:lvl w:ilvl="2" w:tplc="39C81FCE">
      <w:numFmt w:val="bullet"/>
      <w:lvlText w:val="•"/>
      <w:lvlJc w:val="left"/>
      <w:pPr>
        <w:tabs>
          <w:tab w:val="num" w:pos="2160"/>
        </w:tabs>
        <w:ind w:left="2160" w:hanging="360"/>
      </w:pPr>
      <w:rPr>
        <w:rFonts w:ascii="Arial" w:hAnsi="Arial" w:cs="Times New Roman" w:hint="default"/>
      </w:rPr>
    </w:lvl>
    <w:lvl w:ilvl="3" w:tplc="7FB00358">
      <w:numFmt w:val="bullet"/>
      <w:lvlText w:val="•"/>
      <w:lvlJc w:val="left"/>
      <w:pPr>
        <w:tabs>
          <w:tab w:val="num" w:pos="2880"/>
        </w:tabs>
        <w:ind w:left="2880" w:hanging="360"/>
      </w:pPr>
      <w:rPr>
        <w:rFonts w:ascii="Arial" w:hAnsi="Arial" w:cs="Times New Roman" w:hint="default"/>
      </w:rPr>
    </w:lvl>
    <w:lvl w:ilvl="4" w:tplc="C61CA528">
      <w:start w:val="1"/>
      <w:numFmt w:val="bullet"/>
      <w:lvlText w:val="•"/>
      <w:lvlJc w:val="left"/>
      <w:pPr>
        <w:tabs>
          <w:tab w:val="num" w:pos="3600"/>
        </w:tabs>
        <w:ind w:left="3600" w:hanging="360"/>
      </w:pPr>
      <w:rPr>
        <w:rFonts w:ascii="Arial" w:hAnsi="Arial" w:cs="Times New Roman" w:hint="default"/>
      </w:rPr>
    </w:lvl>
    <w:lvl w:ilvl="5" w:tplc="7C8EDFCE">
      <w:start w:val="1"/>
      <w:numFmt w:val="bullet"/>
      <w:lvlText w:val="•"/>
      <w:lvlJc w:val="left"/>
      <w:pPr>
        <w:tabs>
          <w:tab w:val="num" w:pos="4320"/>
        </w:tabs>
        <w:ind w:left="4320" w:hanging="360"/>
      </w:pPr>
      <w:rPr>
        <w:rFonts w:ascii="Arial" w:hAnsi="Arial" w:cs="Times New Roman" w:hint="default"/>
      </w:rPr>
    </w:lvl>
    <w:lvl w:ilvl="6" w:tplc="77F46F8E">
      <w:start w:val="1"/>
      <w:numFmt w:val="bullet"/>
      <w:lvlText w:val="•"/>
      <w:lvlJc w:val="left"/>
      <w:pPr>
        <w:tabs>
          <w:tab w:val="num" w:pos="5040"/>
        </w:tabs>
        <w:ind w:left="5040" w:hanging="360"/>
      </w:pPr>
      <w:rPr>
        <w:rFonts w:ascii="Arial" w:hAnsi="Arial" w:cs="Times New Roman" w:hint="default"/>
      </w:rPr>
    </w:lvl>
    <w:lvl w:ilvl="7" w:tplc="3CE2208C">
      <w:start w:val="1"/>
      <w:numFmt w:val="bullet"/>
      <w:lvlText w:val="•"/>
      <w:lvlJc w:val="left"/>
      <w:pPr>
        <w:tabs>
          <w:tab w:val="num" w:pos="5760"/>
        </w:tabs>
        <w:ind w:left="5760" w:hanging="360"/>
      </w:pPr>
      <w:rPr>
        <w:rFonts w:ascii="Arial" w:hAnsi="Arial" w:cs="Times New Roman" w:hint="default"/>
      </w:rPr>
    </w:lvl>
    <w:lvl w:ilvl="8" w:tplc="0910E5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0"/>
  </w:num>
  <w:num w:numId="6">
    <w:abstractNumId w:val="8"/>
  </w:num>
  <w:num w:numId="7">
    <w:abstractNumId w:val="2"/>
  </w:num>
  <w:num w:numId="8">
    <w:abstractNumId w:val="7"/>
  </w:num>
  <w:num w:numId="9">
    <w:abstractNumId w:val="1"/>
  </w:num>
  <w:num w:numId="10">
    <w:abstractNumId w:val="6"/>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0D5"/>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4D3"/>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19FC"/>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BC"/>
    <w:rsid w:val="001C77F0"/>
    <w:rsid w:val="001D46A0"/>
    <w:rsid w:val="001D7CA4"/>
    <w:rsid w:val="001D7E58"/>
    <w:rsid w:val="001E0417"/>
    <w:rsid w:val="001E389F"/>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0E9"/>
    <w:rsid w:val="002036FB"/>
    <w:rsid w:val="00204B3A"/>
    <w:rsid w:val="0020535A"/>
    <w:rsid w:val="00206955"/>
    <w:rsid w:val="00207437"/>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D22"/>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25B"/>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D4A"/>
    <w:rsid w:val="003642A6"/>
    <w:rsid w:val="00364F33"/>
    <w:rsid w:val="0036642F"/>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4AF"/>
    <w:rsid w:val="003D764F"/>
    <w:rsid w:val="003E0667"/>
    <w:rsid w:val="003E0BCE"/>
    <w:rsid w:val="003E13E0"/>
    <w:rsid w:val="003E1660"/>
    <w:rsid w:val="003E1CD1"/>
    <w:rsid w:val="003E2A2D"/>
    <w:rsid w:val="003E31CC"/>
    <w:rsid w:val="003E64A9"/>
    <w:rsid w:val="003E7905"/>
    <w:rsid w:val="003F02D0"/>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7E1"/>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91"/>
    <w:rsid w:val="005265A3"/>
    <w:rsid w:val="00526783"/>
    <w:rsid w:val="00527FB1"/>
    <w:rsid w:val="0053162F"/>
    <w:rsid w:val="00531777"/>
    <w:rsid w:val="0053281C"/>
    <w:rsid w:val="005340C9"/>
    <w:rsid w:val="005375FE"/>
    <w:rsid w:val="00541F4B"/>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2C97"/>
    <w:rsid w:val="005741DA"/>
    <w:rsid w:val="0057758D"/>
    <w:rsid w:val="00580793"/>
    <w:rsid w:val="00581470"/>
    <w:rsid w:val="00582087"/>
    <w:rsid w:val="005831DD"/>
    <w:rsid w:val="00583806"/>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C28A7"/>
    <w:rsid w:val="005D059A"/>
    <w:rsid w:val="005D07C5"/>
    <w:rsid w:val="005D1CDC"/>
    <w:rsid w:val="005D4302"/>
    <w:rsid w:val="005D434E"/>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A9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0B0"/>
    <w:rsid w:val="006C37B6"/>
    <w:rsid w:val="006C4FC1"/>
    <w:rsid w:val="006C51A5"/>
    <w:rsid w:val="006C529D"/>
    <w:rsid w:val="006D0252"/>
    <w:rsid w:val="006D0E6B"/>
    <w:rsid w:val="006D2146"/>
    <w:rsid w:val="006D392D"/>
    <w:rsid w:val="006D4493"/>
    <w:rsid w:val="006D632E"/>
    <w:rsid w:val="006E094A"/>
    <w:rsid w:val="006E12B1"/>
    <w:rsid w:val="006E13D1"/>
    <w:rsid w:val="006E1C26"/>
    <w:rsid w:val="006E2FED"/>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7EA"/>
    <w:rsid w:val="00742B44"/>
    <w:rsid w:val="00753BB5"/>
    <w:rsid w:val="007541E5"/>
    <w:rsid w:val="00756832"/>
    <w:rsid w:val="007626D0"/>
    <w:rsid w:val="007651CA"/>
    <w:rsid w:val="00767519"/>
    <w:rsid w:val="007704E1"/>
    <w:rsid w:val="00772569"/>
    <w:rsid w:val="00772E8C"/>
    <w:rsid w:val="007736D3"/>
    <w:rsid w:val="00774E42"/>
    <w:rsid w:val="0077500F"/>
    <w:rsid w:val="0077548E"/>
    <w:rsid w:val="00775A86"/>
    <w:rsid w:val="00777315"/>
    <w:rsid w:val="007776FA"/>
    <w:rsid w:val="00780919"/>
    <w:rsid w:val="007815C8"/>
    <w:rsid w:val="007826C8"/>
    <w:rsid w:val="007829E1"/>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8BA"/>
    <w:rsid w:val="007E0AF3"/>
    <w:rsid w:val="007E25AB"/>
    <w:rsid w:val="007E79C5"/>
    <w:rsid w:val="007F0674"/>
    <w:rsid w:val="007F2845"/>
    <w:rsid w:val="007F43BC"/>
    <w:rsid w:val="007F4740"/>
    <w:rsid w:val="008006C6"/>
    <w:rsid w:val="00800C52"/>
    <w:rsid w:val="0080153E"/>
    <w:rsid w:val="008038BB"/>
    <w:rsid w:val="00805FA0"/>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553"/>
    <w:rsid w:val="00894FDC"/>
    <w:rsid w:val="00896357"/>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67DF6"/>
    <w:rsid w:val="00970490"/>
    <w:rsid w:val="00970D1D"/>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5CDD"/>
    <w:rsid w:val="009C650E"/>
    <w:rsid w:val="009C70DB"/>
    <w:rsid w:val="009D19BC"/>
    <w:rsid w:val="009D1E26"/>
    <w:rsid w:val="009D2348"/>
    <w:rsid w:val="009D2F0C"/>
    <w:rsid w:val="009D3578"/>
    <w:rsid w:val="009D3A5F"/>
    <w:rsid w:val="009D5193"/>
    <w:rsid w:val="009D5C32"/>
    <w:rsid w:val="009D6472"/>
    <w:rsid w:val="009D79F4"/>
    <w:rsid w:val="009E032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4E5E"/>
    <w:rsid w:val="00A566FD"/>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A73EA"/>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875"/>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2FB8"/>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1E81"/>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A94"/>
    <w:rsid w:val="00D67BC5"/>
    <w:rsid w:val="00D7021B"/>
    <w:rsid w:val="00D70D33"/>
    <w:rsid w:val="00D73077"/>
    <w:rsid w:val="00D734FA"/>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0DCB"/>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0B35"/>
    <w:rsid w:val="00E3117D"/>
    <w:rsid w:val="00E319DB"/>
    <w:rsid w:val="00E31AFC"/>
    <w:rsid w:val="00E3409E"/>
    <w:rsid w:val="00E34F76"/>
    <w:rsid w:val="00E37BE5"/>
    <w:rsid w:val="00E41119"/>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2691"/>
    <w:rsid w:val="00F33DC8"/>
    <w:rsid w:val="00F34444"/>
    <w:rsid w:val="00F4065A"/>
    <w:rsid w:val="00F4126F"/>
    <w:rsid w:val="00F4275C"/>
    <w:rsid w:val="00F45693"/>
    <w:rsid w:val="00F52339"/>
    <w:rsid w:val="00F5277A"/>
    <w:rsid w:val="00F532E8"/>
    <w:rsid w:val="00F537FF"/>
    <w:rsid w:val="00F55998"/>
    <w:rsid w:val="00F560FE"/>
    <w:rsid w:val="00F6111C"/>
    <w:rsid w:val="00F614C0"/>
    <w:rsid w:val="00F61647"/>
    <w:rsid w:val="00F64B3E"/>
    <w:rsid w:val="00F657CF"/>
    <w:rsid w:val="00F66A00"/>
    <w:rsid w:val="00F713A3"/>
    <w:rsid w:val="00F71A8F"/>
    <w:rsid w:val="00F73BBD"/>
    <w:rsid w:val="00F75330"/>
    <w:rsid w:val="00F76BD9"/>
    <w:rsid w:val="00F772E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2921"/>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138E"/>
    <w:rsid w:val="00FC3AEE"/>
    <w:rsid w:val="00FC5902"/>
    <w:rsid w:val="00FC6238"/>
    <w:rsid w:val="00FD2599"/>
    <w:rsid w:val="00FD33FC"/>
    <w:rsid w:val="00FD3730"/>
    <w:rsid w:val="00FD3ADE"/>
    <w:rsid w:val="00FD3B08"/>
    <w:rsid w:val="00FD3F3C"/>
    <w:rsid w:val="00FD427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7829E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894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377333">
      <w:bodyDiv w:val="1"/>
      <w:marLeft w:val="0"/>
      <w:marRight w:val="0"/>
      <w:marTop w:val="0"/>
      <w:marBottom w:val="0"/>
      <w:divBdr>
        <w:top w:val="none" w:sz="0" w:space="0" w:color="auto"/>
        <w:left w:val="none" w:sz="0" w:space="0" w:color="auto"/>
        <w:bottom w:val="none" w:sz="0" w:space="0" w:color="auto"/>
        <w:right w:val="none" w:sz="0" w:space="0" w:color="auto"/>
      </w:divBdr>
      <w:divsChild>
        <w:div w:id="260458644">
          <w:marLeft w:val="720"/>
          <w:marRight w:val="0"/>
          <w:marTop w:val="0"/>
          <w:marBottom w:val="0"/>
          <w:divBdr>
            <w:top w:val="none" w:sz="0" w:space="0" w:color="auto"/>
            <w:left w:val="none" w:sz="0" w:space="0" w:color="auto"/>
            <w:bottom w:val="none" w:sz="0" w:space="0" w:color="auto"/>
            <w:right w:val="none" w:sz="0" w:space="0" w:color="auto"/>
          </w:divBdr>
        </w:div>
        <w:div w:id="816150464">
          <w:marLeft w:val="1440"/>
          <w:marRight w:val="0"/>
          <w:marTop w:val="0"/>
          <w:marBottom w:val="0"/>
          <w:divBdr>
            <w:top w:val="none" w:sz="0" w:space="0" w:color="auto"/>
            <w:left w:val="none" w:sz="0" w:space="0" w:color="auto"/>
            <w:bottom w:val="none" w:sz="0" w:space="0" w:color="auto"/>
            <w:right w:val="none" w:sz="0" w:space="0" w:color="auto"/>
          </w:divBdr>
        </w:div>
        <w:div w:id="2090350115">
          <w:marLeft w:val="2160"/>
          <w:marRight w:val="0"/>
          <w:marTop w:val="0"/>
          <w:marBottom w:val="0"/>
          <w:divBdr>
            <w:top w:val="none" w:sz="0" w:space="0" w:color="auto"/>
            <w:left w:val="none" w:sz="0" w:space="0" w:color="auto"/>
            <w:bottom w:val="none" w:sz="0" w:space="0" w:color="auto"/>
            <w:right w:val="none" w:sz="0" w:space="0" w:color="auto"/>
          </w:divBdr>
        </w:div>
        <w:div w:id="524363328">
          <w:marLeft w:val="2160"/>
          <w:marRight w:val="0"/>
          <w:marTop w:val="0"/>
          <w:marBottom w:val="0"/>
          <w:divBdr>
            <w:top w:val="none" w:sz="0" w:space="0" w:color="auto"/>
            <w:left w:val="none" w:sz="0" w:space="0" w:color="auto"/>
            <w:bottom w:val="none" w:sz="0" w:space="0" w:color="auto"/>
            <w:right w:val="none" w:sz="0" w:space="0" w:color="auto"/>
          </w:divBdr>
        </w:div>
        <w:div w:id="943534741">
          <w:marLeft w:val="1440"/>
          <w:marRight w:val="0"/>
          <w:marTop w:val="0"/>
          <w:marBottom w:val="0"/>
          <w:divBdr>
            <w:top w:val="none" w:sz="0" w:space="0" w:color="auto"/>
            <w:left w:val="none" w:sz="0" w:space="0" w:color="auto"/>
            <w:bottom w:val="none" w:sz="0" w:space="0" w:color="auto"/>
            <w:right w:val="none" w:sz="0" w:space="0" w:color="auto"/>
          </w:divBdr>
        </w:div>
        <w:div w:id="1297032247">
          <w:marLeft w:val="2160"/>
          <w:marRight w:val="0"/>
          <w:marTop w:val="0"/>
          <w:marBottom w:val="0"/>
          <w:divBdr>
            <w:top w:val="none" w:sz="0" w:space="0" w:color="auto"/>
            <w:left w:val="none" w:sz="0" w:space="0" w:color="auto"/>
            <w:bottom w:val="none" w:sz="0" w:space="0" w:color="auto"/>
            <w:right w:val="none" w:sz="0" w:space="0" w:color="auto"/>
          </w:divBdr>
        </w:div>
        <w:div w:id="1029376050">
          <w:marLeft w:val="2160"/>
          <w:marRight w:val="0"/>
          <w:marTop w:val="0"/>
          <w:marBottom w:val="0"/>
          <w:divBdr>
            <w:top w:val="none" w:sz="0" w:space="0" w:color="auto"/>
            <w:left w:val="none" w:sz="0" w:space="0" w:color="auto"/>
            <w:bottom w:val="none" w:sz="0" w:space="0" w:color="auto"/>
            <w:right w:val="none" w:sz="0" w:space="0" w:color="auto"/>
          </w:divBdr>
        </w:div>
        <w:div w:id="1986084944">
          <w:marLeft w:val="720"/>
          <w:marRight w:val="0"/>
          <w:marTop w:val="0"/>
          <w:marBottom w:val="0"/>
          <w:divBdr>
            <w:top w:val="none" w:sz="0" w:space="0" w:color="auto"/>
            <w:left w:val="none" w:sz="0" w:space="0" w:color="auto"/>
            <w:bottom w:val="none" w:sz="0" w:space="0" w:color="auto"/>
            <w:right w:val="none" w:sz="0" w:space="0" w:color="auto"/>
          </w:divBdr>
        </w:div>
        <w:div w:id="562715638">
          <w:marLeft w:val="1440"/>
          <w:marRight w:val="0"/>
          <w:marTop w:val="0"/>
          <w:marBottom w:val="0"/>
          <w:divBdr>
            <w:top w:val="none" w:sz="0" w:space="0" w:color="auto"/>
            <w:left w:val="none" w:sz="0" w:space="0" w:color="auto"/>
            <w:bottom w:val="none" w:sz="0" w:space="0" w:color="auto"/>
            <w:right w:val="none" w:sz="0" w:space="0" w:color="auto"/>
          </w:divBdr>
        </w:div>
        <w:div w:id="206769299">
          <w:marLeft w:val="2160"/>
          <w:marRight w:val="0"/>
          <w:marTop w:val="0"/>
          <w:marBottom w:val="0"/>
          <w:divBdr>
            <w:top w:val="none" w:sz="0" w:space="0" w:color="auto"/>
            <w:left w:val="none" w:sz="0" w:space="0" w:color="auto"/>
            <w:bottom w:val="none" w:sz="0" w:space="0" w:color="auto"/>
            <w:right w:val="none" w:sz="0" w:space="0" w:color="auto"/>
          </w:divBdr>
        </w:div>
        <w:div w:id="312485166">
          <w:marLeft w:val="1440"/>
          <w:marRight w:val="0"/>
          <w:marTop w:val="0"/>
          <w:marBottom w:val="0"/>
          <w:divBdr>
            <w:top w:val="none" w:sz="0" w:space="0" w:color="auto"/>
            <w:left w:val="none" w:sz="0" w:space="0" w:color="auto"/>
            <w:bottom w:val="none" w:sz="0" w:space="0" w:color="auto"/>
            <w:right w:val="none" w:sz="0" w:space="0" w:color="auto"/>
          </w:divBdr>
        </w:div>
        <w:div w:id="789861970">
          <w:marLeft w:val="216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1152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5217388">
      <w:bodyDiv w:val="1"/>
      <w:marLeft w:val="0"/>
      <w:marRight w:val="0"/>
      <w:marTop w:val="0"/>
      <w:marBottom w:val="0"/>
      <w:divBdr>
        <w:top w:val="none" w:sz="0" w:space="0" w:color="auto"/>
        <w:left w:val="none" w:sz="0" w:space="0" w:color="auto"/>
        <w:bottom w:val="none" w:sz="0" w:space="0" w:color="auto"/>
        <w:right w:val="none" w:sz="0" w:space="0" w:color="auto"/>
      </w:divBdr>
      <w:divsChild>
        <w:div w:id="709300736">
          <w:marLeft w:val="720"/>
          <w:marRight w:val="0"/>
          <w:marTop w:val="0"/>
          <w:marBottom w:val="0"/>
          <w:divBdr>
            <w:top w:val="none" w:sz="0" w:space="0" w:color="auto"/>
            <w:left w:val="none" w:sz="0" w:space="0" w:color="auto"/>
            <w:bottom w:val="none" w:sz="0" w:space="0" w:color="auto"/>
            <w:right w:val="none" w:sz="0" w:space="0" w:color="auto"/>
          </w:divBdr>
        </w:div>
        <w:div w:id="247808163">
          <w:marLeft w:val="1440"/>
          <w:marRight w:val="0"/>
          <w:marTop w:val="0"/>
          <w:marBottom w:val="0"/>
          <w:divBdr>
            <w:top w:val="none" w:sz="0" w:space="0" w:color="auto"/>
            <w:left w:val="none" w:sz="0" w:space="0" w:color="auto"/>
            <w:bottom w:val="none" w:sz="0" w:space="0" w:color="auto"/>
            <w:right w:val="none" w:sz="0" w:space="0" w:color="auto"/>
          </w:divBdr>
        </w:div>
        <w:div w:id="766387091">
          <w:marLeft w:val="2160"/>
          <w:marRight w:val="0"/>
          <w:marTop w:val="0"/>
          <w:marBottom w:val="0"/>
          <w:divBdr>
            <w:top w:val="none" w:sz="0" w:space="0" w:color="auto"/>
            <w:left w:val="none" w:sz="0" w:space="0" w:color="auto"/>
            <w:bottom w:val="none" w:sz="0" w:space="0" w:color="auto"/>
            <w:right w:val="none" w:sz="0" w:space="0" w:color="auto"/>
          </w:divBdr>
        </w:div>
        <w:div w:id="625434339">
          <w:marLeft w:val="2160"/>
          <w:marRight w:val="0"/>
          <w:marTop w:val="0"/>
          <w:marBottom w:val="0"/>
          <w:divBdr>
            <w:top w:val="none" w:sz="0" w:space="0" w:color="auto"/>
            <w:left w:val="none" w:sz="0" w:space="0" w:color="auto"/>
            <w:bottom w:val="none" w:sz="0" w:space="0" w:color="auto"/>
            <w:right w:val="none" w:sz="0" w:space="0" w:color="auto"/>
          </w:divBdr>
        </w:div>
        <w:div w:id="431704057">
          <w:marLeft w:val="1440"/>
          <w:marRight w:val="0"/>
          <w:marTop w:val="0"/>
          <w:marBottom w:val="0"/>
          <w:divBdr>
            <w:top w:val="none" w:sz="0" w:space="0" w:color="auto"/>
            <w:left w:val="none" w:sz="0" w:space="0" w:color="auto"/>
            <w:bottom w:val="none" w:sz="0" w:space="0" w:color="auto"/>
            <w:right w:val="none" w:sz="0" w:space="0" w:color="auto"/>
          </w:divBdr>
        </w:div>
        <w:div w:id="814491310">
          <w:marLeft w:val="2160"/>
          <w:marRight w:val="0"/>
          <w:marTop w:val="0"/>
          <w:marBottom w:val="0"/>
          <w:divBdr>
            <w:top w:val="none" w:sz="0" w:space="0" w:color="auto"/>
            <w:left w:val="none" w:sz="0" w:space="0" w:color="auto"/>
            <w:bottom w:val="none" w:sz="0" w:space="0" w:color="auto"/>
            <w:right w:val="none" w:sz="0" w:space="0" w:color="auto"/>
          </w:divBdr>
        </w:div>
        <w:div w:id="1107582845">
          <w:marLeft w:val="2160"/>
          <w:marRight w:val="0"/>
          <w:marTop w:val="0"/>
          <w:marBottom w:val="0"/>
          <w:divBdr>
            <w:top w:val="none" w:sz="0" w:space="0" w:color="auto"/>
            <w:left w:val="none" w:sz="0" w:space="0" w:color="auto"/>
            <w:bottom w:val="none" w:sz="0" w:space="0" w:color="auto"/>
            <w:right w:val="none" w:sz="0" w:space="0" w:color="auto"/>
          </w:divBdr>
        </w:div>
        <w:div w:id="1216895498">
          <w:marLeft w:val="720"/>
          <w:marRight w:val="0"/>
          <w:marTop w:val="0"/>
          <w:marBottom w:val="0"/>
          <w:divBdr>
            <w:top w:val="none" w:sz="0" w:space="0" w:color="auto"/>
            <w:left w:val="none" w:sz="0" w:space="0" w:color="auto"/>
            <w:bottom w:val="none" w:sz="0" w:space="0" w:color="auto"/>
            <w:right w:val="none" w:sz="0" w:space="0" w:color="auto"/>
          </w:divBdr>
        </w:div>
        <w:div w:id="843788469">
          <w:marLeft w:val="1440"/>
          <w:marRight w:val="0"/>
          <w:marTop w:val="0"/>
          <w:marBottom w:val="0"/>
          <w:divBdr>
            <w:top w:val="none" w:sz="0" w:space="0" w:color="auto"/>
            <w:left w:val="none" w:sz="0" w:space="0" w:color="auto"/>
            <w:bottom w:val="none" w:sz="0" w:space="0" w:color="auto"/>
            <w:right w:val="none" w:sz="0" w:space="0" w:color="auto"/>
          </w:divBdr>
        </w:div>
        <w:div w:id="8416083">
          <w:marLeft w:val="2160"/>
          <w:marRight w:val="0"/>
          <w:marTop w:val="0"/>
          <w:marBottom w:val="0"/>
          <w:divBdr>
            <w:top w:val="none" w:sz="0" w:space="0" w:color="auto"/>
            <w:left w:val="none" w:sz="0" w:space="0" w:color="auto"/>
            <w:bottom w:val="none" w:sz="0" w:space="0" w:color="auto"/>
            <w:right w:val="none" w:sz="0" w:space="0" w:color="auto"/>
          </w:divBdr>
        </w:div>
        <w:div w:id="168836169">
          <w:marLeft w:val="1440"/>
          <w:marRight w:val="0"/>
          <w:marTop w:val="0"/>
          <w:marBottom w:val="0"/>
          <w:divBdr>
            <w:top w:val="none" w:sz="0" w:space="0" w:color="auto"/>
            <w:left w:val="none" w:sz="0" w:space="0" w:color="auto"/>
            <w:bottom w:val="none" w:sz="0" w:space="0" w:color="auto"/>
            <w:right w:val="none" w:sz="0" w:space="0" w:color="auto"/>
          </w:divBdr>
        </w:div>
        <w:div w:id="1300108649">
          <w:marLeft w:val="216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4809422">
      <w:bodyDiv w:val="1"/>
      <w:marLeft w:val="0"/>
      <w:marRight w:val="0"/>
      <w:marTop w:val="0"/>
      <w:marBottom w:val="0"/>
      <w:divBdr>
        <w:top w:val="none" w:sz="0" w:space="0" w:color="auto"/>
        <w:left w:val="none" w:sz="0" w:space="0" w:color="auto"/>
        <w:bottom w:val="none" w:sz="0" w:space="0" w:color="auto"/>
        <w:right w:val="none" w:sz="0" w:space="0" w:color="auto"/>
      </w:divBdr>
      <w:divsChild>
        <w:div w:id="644512386">
          <w:marLeft w:val="720"/>
          <w:marRight w:val="0"/>
          <w:marTop w:val="0"/>
          <w:marBottom w:val="0"/>
          <w:divBdr>
            <w:top w:val="none" w:sz="0" w:space="0" w:color="auto"/>
            <w:left w:val="none" w:sz="0" w:space="0" w:color="auto"/>
            <w:bottom w:val="none" w:sz="0" w:space="0" w:color="auto"/>
            <w:right w:val="none" w:sz="0" w:space="0" w:color="auto"/>
          </w:divBdr>
        </w:div>
        <w:div w:id="905843600">
          <w:marLeft w:val="1440"/>
          <w:marRight w:val="0"/>
          <w:marTop w:val="0"/>
          <w:marBottom w:val="0"/>
          <w:divBdr>
            <w:top w:val="none" w:sz="0" w:space="0" w:color="auto"/>
            <w:left w:val="none" w:sz="0" w:space="0" w:color="auto"/>
            <w:bottom w:val="none" w:sz="0" w:space="0" w:color="auto"/>
            <w:right w:val="none" w:sz="0" w:space="0" w:color="auto"/>
          </w:divBdr>
        </w:div>
        <w:div w:id="2080786417">
          <w:marLeft w:val="2160"/>
          <w:marRight w:val="0"/>
          <w:marTop w:val="0"/>
          <w:marBottom w:val="0"/>
          <w:divBdr>
            <w:top w:val="none" w:sz="0" w:space="0" w:color="auto"/>
            <w:left w:val="none" w:sz="0" w:space="0" w:color="auto"/>
            <w:bottom w:val="none" w:sz="0" w:space="0" w:color="auto"/>
            <w:right w:val="none" w:sz="0" w:space="0" w:color="auto"/>
          </w:divBdr>
        </w:div>
        <w:div w:id="837157603">
          <w:marLeft w:val="2160"/>
          <w:marRight w:val="0"/>
          <w:marTop w:val="0"/>
          <w:marBottom w:val="0"/>
          <w:divBdr>
            <w:top w:val="none" w:sz="0" w:space="0" w:color="auto"/>
            <w:left w:val="none" w:sz="0" w:space="0" w:color="auto"/>
            <w:bottom w:val="none" w:sz="0" w:space="0" w:color="auto"/>
            <w:right w:val="none" w:sz="0" w:space="0" w:color="auto"/>
          </w:divBdr>
        </w:div>
        <w:div w:id="1643346381">
          <w:marLeft w:val="1440"/>
          <w:marRight w:val="0"/>
          <w:marTop w:val="0"/>
          <w:marBottom w:val="0"/>
          <w:divBdr>
            <w:top w:val="none" w:sz="0" w:space="0" w:color="auto"/>
            <w:left w:val="none" w:sz="0" w:space="0" w:color="auto"/>
            <w:bottom w:val="none" w:sz="0" w:space="0" w:color="auto"/>
            <w:right w:val="none" w:sz="0" w:space="0" w:color="auto"/>
          </w:divBdr>
        </w:div>
        <w:div w:id="1987591157">
          <w:marLeft w:val="2160"/>
          <w:marRight w:val="0"/>
          <w:marTop w:val="0"/>
          <w:marBottom w:val="0"/>
          <w:divBdr>
            <w:top w:val="none" w:sz="0" w:space="0" w:color="auto"/>
            <w:left w:val="none" w:sz="0" w:space="0" w:color="auto"/>
            <w:bottom w:val="none" w:sz="0" w:space="0" w:color="auto"/>
            <w:right w:val="none" w:sz="0" w:space="0" w:color="auto"/>
          </w:divBdr>
        </w:div>
        <w:div w:id="1048991442">
          <w:marLeft w:val="2160"/>
          <w:marRight w:val="0"/>
          <w:marTop w:val="0"/>
          <w:marBottom w:val="0"/>
          <w:divBdr>
            <w:top w:val="none" w:sz="0" w:space="0" w:color="auto"/>
            <w:left w:val="none" w:sz="0" w:space="0" w:color="auto"/>
            <w:bottom w:val="none" w:sz="0" w:space="0" w:color="auto"/>
            <w:right w:val="none" w:sz="0" w:space="0" w:color="auto"/>
          </w:divBdr>
        </w:div>
        <w:div w:id="904149493">
          <w:marLeft w:val="720"/>
          <w:marRight w:val="0"/>
          <w:marTop w:val="0"/>
          <w:marBottom w:val="0"/>
          <w:divBdr>
            <w:top w:val="none" w:sz="0" w:space="0" w:color="auto"/>
            <w:left w:val="none" w:sz="0" w:space="0" w:color="auto"/>
            <w:bottom w:val="none" w:sz="0" w:space="0" w:color="auto"/>
            <w:right w:val="none" w:sz="0" w:space="0" w:color="auto"/>
          </w:divBdr>
        </w:div>
        <w:div w:id="1196846682">
          <w:marLeft w:val="1440"/>
          <w:marRight w:val="0"/>
          <w:marTop w:val="0"/>
          <w:marBottom w:val="0"/>
          <w:divBdr>
            <w:top w:val="none" w:sz="0" w:space="0" w:color="auto"/>
            <w:left w:val="none" w:sz="0" w:space="0" w:color="auto"/>
            <w:bottom w:val="none" w:sz="0" w:space="0" w:color="auto"/>
            <w:right w:val="none" w:sz="0" w:space="0" w:color="auto"/>
          </w:divBdr>
        </w:div>
        <w:div w:id="566188916">
          <w:marLeft w:val="2160"/>
          <w:marRight w:val="0"/>
          <w:marTop w:val="0"/>
          <w:marBottom w:val="0"/>
          <w:divBdr>
            <w:top w:val="none" w:sz="0" w:space="0" w:color="auto"/>
            <w:left w:val="none" w:sz="0" w:space="0" w:color="auto"/>
            <w:bottom w:val="none" w:sz="0" w:space="0" w:color="auto"/>
            <w:right w:val="none" w:sz="0" w:space="0" w:color="auto"/>
          </w:divBdr>
        </w:div>
        <w:div w:id="709259588">
          <w:marLeft w:val="1440"/>
          <w:marRight w:val="0"/>
          <w:marTop w:val="0"/>
          <w:marBottom w:val="0"/>
          <w:divBdr>
            <w:top w:val="none" w:sz="0" w:space="0" w:color="auto"/>
            <w:left w:val="none" w:sz="0" w:space="0" w:color="auto"/>
            <w:bottom w:val="none" w:sz="0" w:space="0" w:color="auto"/>
            <w:right w:val="none" w:sz="0" w:space="0" w:color="auto"/>
          </w:divBdr>
        </w:div>
        <w:div w:id="964699822">
          <w:marLeft w:val="2160"/>
          <w:marRight w:val="0"/>
          <w:marTop w:val="0"/>
          <w:marBottom w:val="0"/>
          <w:divBdr>
            <w:top w:val="none" w:sz="0" w:space="0" w:color="auto"/>
            <w:left w:val="none" w:sz="0" w:space="0" w:color="auto"/>
            <w:bottom w:val="none" w:sz="0" w:space="0" w:color="auto"/>
            <w:right w:val="none" w:sz="0" w:space="0" w:color="auto"/>
          </w:divBdr>
        </w:div>
      </w:divsChild>
    </w:div>
    <w:div w:id="182107661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SP-5AIRPNAIUNRU-1830940522-750</_dlc_DocId>
    <_dlc_DocIdUrl xmlns="71c5aaf6-e6ce-465b-b873-5148d2a4c105">
      <Url>https://nokia.sharepoint.com/sites/c5g/5gradio/_layouts/15/DocIdRedir.aspx?ID=SP-5AIRPNAIUNRU-1830940522-750</Url>
      <Description>SP-5AIRPNAIUNRU-1830940522-750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38E4D6-742A-4201-912E-574B53BF23B6}">
  <ds:schemaRefs>
    <ds:schemaRef ds:uri="http://schemas.microsoft.com/sharepoint/events"/>
  </ds:schemaRefs>
</ds:datastoreItem>
</file>

<file path=customXml/itemProps3.xml><?xml version="1.0" encoding="utf-8"?>
<ds:datastoreItem xmlns:ds="http://schemas.openxmlformats.org/officeDocument/2006/customXml" ds:itemID="{10F64DFE-E04A-470A-BDB6-B1FD94AEF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F5FCB3C-CF79-4923-85CA-45D91AE5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6</cp:revision>
  <cp:lastPrinted>2016-06-20T11:35:00Z</cp:lastPrinted>
  <dcterms:created xsi:type="dcterms:W3CDTF">2017-05-03T07:45:00Z</dcterms:created>
  <dcterms:modified xsi:type="dcterms:W3CDTF">2017-05-05T11:55:00Z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f0b0fa46-db88-46de-8a08-414f63958ec6</vt:lpwstr>
  </property>
</Properties>
</file>