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6CEB4" w14:textId="2B8421E5" w:rsidR="00DB228C" w:rsidRPr="00EE76A9" w:rsidRDefault="00DB228C" w:rsidP="00DB228C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_GoBack"/>
      <w:bookmarkEnd w:id="0"/>
      <w:r w:rsidRPr="007B7496">
        <w:rPr>
          <w:bCs/>
          <w:noProof w:val="0"/>
          <w:sz w:val="24"/>
          <w:lang w:val="en-GB"/>
        </w:rPr>
        <w:t xml:space="preserve">3GPP TSG-RAN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1#89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>
        <w:rPr>
          <w:bCs/>
          <w:noProof w:val="0"/>
          <w:sz w:val="24"/>
          <w:lang w:val="en-GB" w:eastAsia="ja-JP"/>
        </w:rPr>
        <w:t>170</w:t>
      </w:r>
      <w:r w:rsidR="00C20C51">
        <w:rPr>
          <w:bCs/>
          <w:noProof w:val="0"/>
          <w:sz w:val="24"/>
          <w:lang w:val="en-GB" w:eastAsia="ja-JP"/>
        </w:rPr>
        <w:t>8531</w:t>
      </w:r>
    </w:p>
    <w:p w14:paraId="3E448796" w14:textId="77777777" w:rsidR="00DB228C" w:rsidRPr="00461210" w:rsidRDefault="00DB228C" w:rsidP="00DB228C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Hangzhou, P.R. China, May 15-19</w:t>
      </w:r>
      <w:r>
        <w:rPr>
          <w:bCs/>
          <w:sz w:val="24"/>
        </w:rPr>
        <w:t xml:space="preserve">, </w:t>
      </w:r>
      <w:r w:rsidRPr="00235B77">
        <w:rPr>
          <w:bCs/>
          <w:sz w:val="24"/>
        </w:rPr>
        <w:t>201</w:t>
      </w:r>
      <w:r>
        <w:rPr>
          <w:bCs/>
          <w:sz w:val="24"/>
        </w:rPr>
        <w:t>7</w:t>
      </w:r>
    </w:p>
    <w:p w14:paraId="6612682C" w14:textId="77777777" w:rsidR="00DB228C" w:rsidRPr="007B7496" w:rsidRDefault="00DB228C" w:rsidP="00DB228C">
      <w:pPr>
        <w:pStyle w:val="Header"/>
        <w:rPr>
          <w:bCs/>
          <w:noProof w:val="0"/>
          <w:sz w:val="24"/>
          <w:lang w:val="en-GB" w:eastAsia="ja-JP"/>
        </w:rPr>
      </w:pPr>
    </w:p>
    <w:p w14:paraId="6B33424A" w14:textId="0F2BC0B5" w:rsidR="00DB228C" w:rsidRPr="007B7496" w:rsidRDefault="00DB228C" w:rsidP="00DB228C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7.1.3.3.6</w:t>
      </w:r>
    </w:p>
    <w:p w14:paraId="2882F6B6" w14:textId="77777777" w:rsidR="00DB228C" w:rsidRPr="00F174DB" w:rsidRDefault="00DB228C" w:rsidP="00DB228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 xml:space="preserve">okia, Alcatel-Lucent Shanghai Bell </w:t>
      </w:r>
    </w:p>
    <w:p w14:paraId="6B7D9EB7" w14:textId="77777777" w:rsidR="00DB228C" w:rsidRDefault="00DB228C" w:rsidP="00DB228C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On scheduling of mini-slots within slots </w:t>
      </w:r>
    </w:p>
    <w:p w14:paraId="74F57B80" w14:textId="78C9A9A2" w:rsidR="00DB228C" w:rsidRPr="007B7496" w:rsidRDefault="00DB228C" w:rsidP="00DB228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25CC1B3C" w14:textId="77777777" w:rsidR="00F12EB4" w:rsidRPr="007B7496" w:rsidRDefault="00F12EB4" w:rsidP="00612825">
      <w:pPr>
        <w:rPr>
          <w:rFonts w:ascii="Arial" w:hAnsi="Arial" w:cs="Arial"/>
          <w:b/>
          <w:bCs/>
          <w:sz w:val="24"/>
        </w:rPr>
      </w:pPr>
    </w:p>
    <w:p w14:paraId="0CD5867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3C2F866" w14:textId="4ACD0AAE" w:rsidR="00D510BF" w:rsidRDefault="00D510BF" w:rsidP="00D510BF">
      <w:pPr>
        <w:spacing w:after="120"/>
        <w:jc w:val="both"/>
        <w:rPr>
          <w:bCs/>
        </w:rPr>
      </w:pPr>
      <w:r>
        <w:rPr>
          <w:bCs/>
        </w:rPr>
        <w:t>The newly started work item on New Radio [1] states the following:</w:t>
      </w:r>
    </w:p>
    <w:p w14:paraId="6BFD7A97" w14:textId="77777777" w:rsidR="00D510BF" w:rsidRPr="00F12EB4" w:rsidRDefault="00D510BF" w:rsidP="00F12EB4">
      <w:pPr>
        <w:spacing w:after="0"/>
        <w:ind w:left="284"/>
        <w:rPr>
          <w:bCs/>
          <w:color w:val="4472C4" w:themeColor="accent5"/>
          <w:lang w:eastAsia="ja-JP"/>
        </w:rPr>
      </w:pPr>
      <w:r w:rsidRPr="00F12EB4">
        <w:rPr>
          <w:bCs/>
          <w:color w:val="4472C4" w:themeColor="accent5"/>
        </w:rPr>
        <w:t>According to the outcome of the study item, the NR should specify the followings [TR38.912]</w:t>
      </w:r>
      <w:r w:rsidRPr="00F12EB4">
        <w:rPr>
          <w:rFonts w:hint="eastAsia"/>
          <w:bCs/>
          <w:color w:val="4472C4" w:themeColor="accent5"/>
          <w:lang w:eastAsia="ja-JP"/>
        </w:rPr>
        <w:t>:</w:t>
      </w:r>
    </w:p>
    <w:p w14:paraId="7654ED36" w14:textId="77777777" w:rsidR="00D510BF" w:rsidRPr="00F12EB4" w:rsidRDefault="00D510BF" w:rsidP="00F12EB4">
      <w:pPr>
        <w:pStyle w:val="B1"/>
        <w:spacing w:after="0"/>
        <w:ind w:left="852"/>
        <w:rPr>
          <w:color w:val="4472C4" w:themeColor="accent5"/>
          <w:lang w:eastAsia="ja-JP"/>
        </w:rPr>
      </w:pPr>
      <w:r w:rsidRPr="00F12EB4">
        <w:rPr>
          <w:rFonts w:hint="eastAsia"/>
          <w:color w:val="4472C4" w:themeColor="accent5"/>
          <w:lang w:eastAsia="ja-JP"/>
        </w:rPr>
        <w:t>-</w:t>
      </w:r>
      <w:r w:rsidRPr="00F12EB4">
        <w:rPr>
          <w:rFonts w:hint="eastAsia"/>
          <w:color w:val="4472C4" w:themeColor="accent5"/>
          <w:lang w:eastAsia="ja-JP"/>
        </w:rPr>
        <w:tab/>
        <w:t>Physical layer aspects</w:t>
      </w:r>
      <w:r w:rsidRPr="00F12EB4">
        <w:rPr>
          <w:color w:val="4472C4" w:themeColor="accent5"/>
          <w:lang w:eastAsia="ja-JP"/>
        </w:rPr>
        <w:t xml:space="preserve"> including [RAN1]</w:t>
      </w:r>
      <w:r w:rsidRPr="00F12EB4">
        <w:rPr>
          <w:rFonts w:hint="eastAsia"/>
          <w:color w:val="4472C4" w:themeColor="accent5"/>
          <w:lang w:eastAsia="ja-JP"/>
        </w:rPr>
        <w:t>:</w:t>
      </w:r>
    </w:p>
    <w:p w14:paraId="331D2249" w14:textId="06C49CF1" w:rsidR="00D510BF" w:rsidRPr="00F12EB4" w:rsidRDefault="00F12EB4" w:rsidP="00F12EB4">
      <w:pPr>
        <w:pStyle w:val="B2"/>
        <w:spacing w:after="0"/>
        <w:ind w:left="1135"/>
        <w:rPr>
          <w:color w:val="4472C4" w:themeColor="accent5"/>
          <w:lang w:eastAsia="ja-JP"/>
        </w:rPr>
      </w:pPr>
      <w:r w:rsidRPr="00F12EB4">
        <w:rPr>
          <w:rFonts w:hint="eastAsia"/>
          <w:color w:val="4472C4" w:themeColor="accent5"/>
          <w:lang w:eastAsia="ja-JP"/>
        </w:rPr>
        <w:t>[</w:t>
      </w:r>
      <w:r w:rsidRPr="00F12EB4">
        <w:rPr>
          <w:color w:val="4472C4" w:themeColor="accent5"/>
          <w:lang w:eastAsia="ja-JP"/>
        </w:rPr>
        <w:t>…]</w:t>
      </w:r>
    </w:p>
    <w:p w14:paraId="7FB9131F" w14:textId="5A2C76C2" w:rsidR="00D510BF" w:rsidRPr="00F12EB4" w:rsidRDefault="00D510BF" w:rsidP="00F12EB4">
      <w:pPr>
        <w:pStyle w:val="B2"/>
        <w:spacing w:after="0"/>
        <w:ind w:left="1135"/>
        <w:rPr>
          <w:color w:val="4472C4" w:themeColor="accent5"/>
          <w:lang w:eastAsia="ja-JP"/>
        </w:rPr>
      </w:pPr>
      <w:r w:rsidRPr="00F12EB4">
        <w:rPr>
          <w:rFonts w:hint="eastAsia"/>
          <w:color w:val="4472C4" w:themeColor="accent5"/>
          <w:lang w:eastAsia="ja-JP"/>
        </w:rPr>
        <w:t>-</w:t>
      </w:r>
      <w:r w:rsidRPr="00F12EB4">
        <w:rPr>
          <w:rFonts w:hint="eastAsia"/>
          <w:color w:val="4472C4" w:themeColor="accent5"/>
          <w:lang w:eastAsia="ja-JP"/>
        </w:rPr>
        <w:tab/>
      </w:r>
      <w:r w:rsidRPr="00F12EB4">
        <w:rPr>
          <w:color w:val="4472C4" w:themeColor="accent5"/>
          <w:lang w:eastAsia="ja-JP"/>
        </w:rPr>
        <w:t>Physical layer channels for control and data</w:t>
      </w:r>
      <w:r w:rsidR="00DB228C">
        <w:rPr>
          <w:color w:val="4472C4" w:themeColor="accent5"/>
          <w:lang w:eastAsia="ja-JP"/>
        </w:rPr>
        <w:t xml:space="preserve"> based on associated waveform, </w:t>
      </w:r>
      <w:r w:rsidRPr="00F12EB4">
        <w:rPr>
          <w:color w:val="4472C4" w:themeColor="accent5"/>
          <w:lang w:eastAsia="ja-JP"/>
        </w:rPr>
        <w:t>numerologies and frame structure in line with the conclusions of the study item, including mini-slot design</w:t>
      </w:r>
      <w:r w:rsidRPr="00F12EB4">
        <w:rPr>
          <w:rFonts w:hint="eastAsia"/>
          <w:color w:val="4472C4" w:themeColor="accent5"/>
          <w:lang w:eastAsia="ja-JP"/>
        </w:rPr>
        <w:t>;</w:t>
      </w:r>
    </w:p>
    <w:p w14:paraId="7EFDB752" w14:textId="0D8C71D8" w:rsidR="00F12EB4" w:rsidRPr="00F12EB4" w:rsidRDefault="00F12EB4" w:rsidP="00F12EB4">
      <w:pPr>
        <w:pStyle w:val="B2"/>
        <w:spacing w:after="0"/>
        <w:ind w:left="1135"/>
        <w:rPr>
          <w:color w:val="4472C4" w:themeColor="accent5"/>
          <w:lang w:eastAsia="ja-JP"/>
        </w:rPr>
      </w:pPr>
      <w:r w:rsidRPr="00F12EB4">
        <w:rPr>
          <w:rFonts w:hint="eastAsia"/>
          <w:color w:val="4472C4" w:themeColor="accent5"/>
          <w:lang w:eastAsia="ja-JP"/>
        </w:rPr>
        <w:t>[</w:t>
      </w:r>
      <w:r w:rsidRPr="00F12EB4">
        <w:rPr>
          <w:color w:val="4472C4" w:themeColor="accent5"/>
          <w:lang w:eastAsia="ja-JP"/>
        </w:rPr>
        <w:t>…]</w:t>
      </w:r>
    </w:p>
    <w:p w14:paraId="371F8888" w14:textId="77777777" w:rsidR="00D510BF" w:rsidRDefault="00D510BF" w:rsidP="00D510BF">
      <w:pPr>
        <w:spacing w:after="120"/>
        <w:jc w:val="both"/>
        <w:rPr>
          <w:bCs/>
        </w:rPr>
      </w:pPr>
    </w:p>
    <w:p w14:paraId="05DE19BE" w14:textId="1D8E0871" w:rsidR="00D510BF" w:rsidRDefault="00D510BF" w:rsidP="00D510BF">
      <w:pPr>
        <w:spacing w:after="120"/>
        <w:jc w:val="both"/>
        <w:rPr>
          <w:bCs/>
        </w:rPr>
      </w:pPr>
      <w:r>
        <w:rPr>
          <w:bCs/>
        </w:rPr>
        <w:t>The TR38.</w:t>
      </w:r>
      <w:r w:rsidR="00F12EB4">
        <w:rPr>
          <w:bCs/>
        </w:rPr>
        <w:t>912</w:t>
      </w:r>
      <w:r>
        <w:rPr>
          <w:bCs/>
        </w:rPr>
        <w:t xml:space="preserve"> [2] </w:t>
      </w:r>
      <w:r w:rsidR="00F12EB4">
        <w:rPr>
          <w:bCs/>
        </w:rPr>
        <w:t xml:space="preserve">referred to in the above-quoted WID </w:t>
      </w:r>
      <w:r>
        <w:rPr>
          <w:bCs/>
        </w:rPr>
        <w:t>lists some design principles of the mini-slot</w:t>
      </w:r>
    </w:p>
    <w:p w14:paraId="66B12647" w14:textId="77777777" w:rsidR="00F12EB4" w:rsidRPr="00F12EB4" w:rsidRDefault="00F12EB4" w:rsidP="00F12EB4">
      <w:pPr>
        <w:spacing w:after="0"/>
        <w:ind w:left="284"/>
        <w:jc w:val="both"/>
        <w:rPr>
          <w:color w:val="4472C4" w:themeColor="accent5"/>
          <w:lang w:eastAsia="ja-JP"/>
        </w:rPr>
      </w:pPr>
      <w:r w:rsidRPr="00F12EB4">
        <w:rPr>
          <w:color w:val="4472C4" w:themeColor="accent5"/>
          <w:lang w:eastAsia="ja-JP"/>
        </w:rPr>
        <w:t>Mini-slots hav</w:t>
      </w:r>
      <w:r w:rsidRPr="00F12EB4">
        <w:rPr>
          <w:rFonts w:hint="eastAsia"/>
          <w:color w:val="4472C4" w:themeColor="accent5"/>
          <w:lang w:eastAsia="ja-JP"/>
        </w:rPr>
        <w:t>ing</w:t>
      </w:r>
      <w:r w:rsidRPr="00F12EB4">
        <w:rPr>
          <w:color w:val="4472C4" w:themeColor="accent5"/>
          <w:lang w:eastAsia="ja-JP"/>
        </w:rPr>
        <w:t xml:space="preserve"> the following lengths</w:t>
      </w:r>
      <w:r w:rsidRPr="00F12EB4">
        <w:rPr>
          <w:rFonts w:hint="eastAsia"/>
          <w:color w:val="4472C4" w:themeColor="accent5"/>
          <w:lang w:eastAsia="ja-JP"/>
        </w:rPr>
        <w:t xml:space="preserve"> are defined.</w:t>
      </w:r>
    </w:p>
    <w:p w14:paraId="351653E0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At least above 6 GHz, mini-slot with length 1 symbol supported</w:t>
      </w:r>
      <w:r w:rsidRPr="00F12EB4">
        <w:rPr>
          <w:rFonts w:hint="eastAsia"/>
          <w:color w:val="4472C4" w:themeColor="accent5"/>
          <w:lang w:val="en-US" w:eastAsia="ja-JP"/>
        </w:rPr>
        <w:t>.</w:t>
      </w:r>
    </w:p>
    <w:p w14:paraId="349C894C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Lengths from 2 to slot length -1</w:t>
      </w:r>
    </w:p>
    <w:p w14:paraId="744C090A" w14:textId="77777777" w:rsidR="00F12EB4" w:rsidRPr="00F12EB4" w:rsidRDefault="00F12EB4" w:rsidP="00F12EB4">
      <w:pPr>
        <w:pStyle w:val="B2"/>
        <w:ind w:left="1135"/>
        <w:rPr>
          <w:rFonts w:eastAsia="Malgun Gothic"/>
          <w:color w:val="4472C4" w:themeColor="accent5"/>
          <w:lang w:val="en-US" w:eastAsia="ja-JP"/>
        </w:rPr>
      </w:pPr>
      <w:r w:rsidRPr="00F12EB4">
        <w:rPr>
          <w:color w:val="4472C4" w:themeColor="accent5"/>
          <w:lang w:val="en-US" w:eastAsia="ja-JP"/>
        </w:rPr>
        <w:t>-</w:t>
      </w:r>
      <w:r w:rsidRPr="00F12EB4">
        <w:rPr>
          <w:color w:val="4472C4" w:themeColor="accent5"/>
          <w:lang w:val="en-US" w:eastAsia="ja-JP"/>
        </w:rPr>
        <w:tab/>
        <w:t xml:space="preserve">For URLLC, </w:t>
      </w:r>
      <w:r w:rsidRPr="00F12EB4">
        <w:rPr>
          <w:rFonts w:hint="eastAsia"/>
          <w:color w:val="4472C4" w:themeColor="accent5"/>
          <w:lang w:val="en-US" w:eastAsia="ja-JP"/>
        </w:rPr>
        <w:t xml:space="preserve">at least </w:t>
      </w:r>
      <w:r w:rsidRPr="00F12EB4">
        <w:rPr>
          <w:color w:val="4472C4" w:themeColor="accent5"/>
          <w:lang w:val="en-US" w:eastAsia="ja-JP"/>
        </w:rPr>
        <w:t>2 is supported</w:t>
      </w:r>
    </w:p>
    <w:p w14:paraId="2403BC12" w14:textId="77777777" w:rsidR="00F12EB4" w:rsidRPr="00F12EB4" w:rsidRDefault="00F12EB4" w:rsidP="00F12EB4">
      <w:pPr>
        <w:spacing w:after="0"/>
        <w:ind w:left="284"/>
        <w:jc w:val="both"/>
        <w:rPr>
          <w:color w:val="4472C4" w:themeColor="accent5"/>
          <w:lang w:val="en-US" w:eastAsia="ja-JP"/>
        </w:rPr>
      </w:pPr>
      <w:r w:rsidRPr="00F12EB4">
        <w:rPr>
          <w:rFonts w:hint="eastAsia"/>
          <w:color w:val="4472C4" w:themeColor="accent5"/>
          <w:lang w:val="en-US" w:eastAsia="ja-JP"/>
        </w:rPr>
        <w:t>T</w:t>
      </w:r>
      <w:r w:rsidRPr="00F12EB4">
        <w:rPr>
          <w:color w:val="4472C4" w:themeColor="accent5"/>
          <w:lang w:val="en-US" w:eastAsia="ja-JP"/>
        </w:rPr>
        <w:t>he following should</w:t>
      </w:r>
      <w:r w:rsidRPr="00F12EB4">
        <w:rPr>
          <w:rFonts w:hint="eastAsia"/>
          <w:color w:val="4472C4" w:themeColor="accent5"/>
          <w:lang w:val="en-US" w:eastAsia="ja-JP"/>
        </w:rPr>
        <w:t xml:space="preserve"> be taken </w:t>
      </w:r>
      <w:r w:rsidRPr="00F12EB4">
        <w:rPr>
          <w:color w:val="4472C4" w:themeColor="accent5"/>
          <w:lang w:val="en-US" w:eastAsia="ja-JP"/>
        </w:rPr>
        <w:t>into account for designing slot-level channels/signals/procedures:</w:t>
      </w:r>
    </w:p>
    <w:p w14:paraId="3E52C6B2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Possible occurrence of mini-slot/slot transmission(s) occupying resources scheduled for ongoing slot transmission(s) of a given carrier for the same/different UEs.</w:t>
      </w:r>
    </w:p>
    <w:p w14:paraId="089D716F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At least one of DM-RS format/structure/configuration for slot-level data channel is re-used for mini-slot-level data channel.</w:t>
      </w:r>
    </w:p>
    <w:p w14:paraId="1B156FD7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At least one of DL control channel format/structure/configuration for slot-level data scheduling is designed to be applicable to mini-slot-level data scheduling.</w:t>
      </w:r>
    </w:p>
    <w:p w14:paraId="20704DA5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At least one of UL control channel format/structure/configuration for slot-level UCI feedback is designed to be applicable to mini-slot-level UCI feedback.</w:t>
      </w:r>
    </w:p>
    <w:p w14:paraId="0F5F71CF" w14:textId="77777777" w:rsidR="00F12EB4" w:rsidRPr="00F12EB4" w:rsidRDefault="00F12EB4" w:rsidP="00F12EB4">
      <w:pPr>
        <w:spacing w:before="240"/>
        <w:ind w:left="284"/>
        <w:jc w:val="both"/>
        <w:rPr>
          <w:color w:val="4472C4" w:themeColor="accent5"/>
          <w:lang w:val="en-US" w:eastAsia="ja-JP"/>
        </w:rPr>
      </w:pPr>
      <w:r w:rsidRPr="00F12EB4">
        <w:rPr>
          <w:rFonts w:hint="eastAsia"/>
          <w:color w:val="4472C4" w:themeColor="accent5"/>
          <w:lang w:val="en-US" w:eastAsia="ja-JP"/>
        </w:rPr>
        <w:t>N</w:t>
      </w:r>
      <w:r w:rsidRPr="00F12EB4">
        <w:rPr>
          <w:color w:val="4472C4" w:themeColor="accent5"/>
          <w:lang w:val="en-US" w:eastAsia="ja-JP"/>
        </w:rPr>
        <w:t xml:space="preserve">ote </w:t>
      </w:r>
      <w:r w:rsidRPr="00F12EB4">
        <w:rPr>
          <w:rFonts w:hint="eastAsia"/>
          <w:color w:val="4472C4" w:themeColor="accent5"/>
          <w:lang w:val="en-US" w:eastAsia="ja-JP"/>
        </w:rPr>
        <w:t>that s</w:t>
      </w:r>
      <w:r w:rsidRPr="00F12EB4">
        <w:rPr>
          <w:color w:val="4472C4" w:themeColor="accent5"/>
          <w:lang w:val="en-US" w:eastAsia="ja-JP"/>
        </w:rPr>
        <w:t>ome UEs targeting certain use cases may not support all mini-slot lengths and all starting positions</w:t>
      </w:r>
      <w:r w:rsidRPr="00F12EB4">
        <w:rPr>
          <w:rFonts w:hint="eastAsia"/>
          <w:color w:val="4472C4" w:themeColor="accent5"/>
          <w:lang w:val="en-US" w:eastAsia="ja-JP"/>
        </w:rPr>
        <w:t>. Mini-slot c</w:t>
      </w:r>
      <w:r w:rsidRPr="00F12EB4">
        <w:rPr>
          <w:color w:val="4472C4" w:themeColor="accent5"/>
          <w:lang w:val="en-US" w:eastAsia="ja-JP"/>
        </w:rPr>
        <w:t>an start at any OFDM symbol, at least above 6 GHz</w:t>
      </w:r>
      <w:r w:rsidRPr="00F12EB4">
        <w:rPr>
          <w:rFonts w:hint="eastAsia"/>
          <w:color w:val="4472C4" w:themeColor="accent5"/>
          <w:lang w:val="en-US" w:eastAsia="ja-JP"/>
        </w:rPr>
        <w:t xml:space="preserve">. </w:t>
      </w:r>
      <w:r w:rsidRPr="00F12EB4">
        <w:rPr>
          <w:color w:val="4472C4" w:themeColor="accent5"/>
          <w:lang w:val="en-US" w:eastAsia="ja-JP"/>
        </w:rPr>
        <w:t>A mini-slot contains DM-RS at position(s) relative to the start of the mini-slot</w:t>
      </w:r>
      <w:r w:rsidRPr="00F12EB4">
        <w:rPr>
          <w:rFonts w:hint="eastAsia"/>
          <w:color w:val="4472C4" w:themeColor="accent5"/>
          <w:lang w:val="en-US" w:eastAsia="ja-JP"/>
        </w:rPr>
        <w:t>.</w:t>
      </w:r>
    </w:p>
    <w:p w14:paraId="5B9DD4E2" w14:textId="77777777" w:rsidR="00F12EB4" w:rsidRPr="00F12EB4" w:rsidRDefault="00F12EB4" w:rsidP="00F12EB4">
      <w:pPr>
        <w:spacing w:after="0"/>
        <w:ind w:left="284"/>
        <w:jc w:val="both"/>
        <w:rPr>
          <w:color w:val="4472C4" w:themeColor="accent5"/>
          <w:lang w:val="en-US" w:eastAsia="ja-JP"/>
        </w:rPr>
      </w:pPr>
      <w:r w:rsidRPr="00F12EB4">
        <w:rPr>
          <w:rFonts w:hint="eastAsia"/>
          <w:color w:val="4472C4" w:themeColor="accent5"/>
          <w:lang w:val="en-US" w:eastAsia="ja-JP"/>
        </w:rPr>
        <w:t xml:space="preserve">The </w:t>
      </w:r>
      <w:r w:rsidRPr="00F12EB4">
        <w:rPr>
          <w:color w:val="4472C4" w:themeColor="accent5"/>
          <w:lang w:val="en-US" w:eastAsia="ja-JP"/>
        </w:rPr>
        <w:t>following targets/use-cases to design mini-slots</w:t>
      </w:r>
      <w:r w:rsidRPr="00F12EB4">
        <w:rPr>
          <w:rFonts w:hint="eastAsia"/>
          <w:color w:val="4472C4" w:themeColor="accent5"/>
          <w:lang w:val="en-US" w:eastAsia="ja-JP"/>
        </w:rPr>
        <w:t xml:space="preserve"> </w:t>
      </w:r>
      <w:r w:rsidRPr="00F12EB4">
        <w:rPr>
          <w:color w:val="4472C4" w:themeColor="accent5"/>
          <w:lang w:val="en-US" w:eastAsia="ja-JP"/>
        </w:rPr>
        <w:t>should</w:t>
      </w:r>
      <w:r w:rsidRPr="00F12EB4">
        <w:rPr>
          <w:rFonts w:hint="eastAsia"/>
          <w:color w:val="4472C4" w:themeColor="accent5"/>
          <w:lang w:val="en-US" w:eastAsia="ja-JP"/>
        </w:rPr>
        <w:t xml:space="preserve"> be taken into account.</w:t>
      </w:r>
    </w:p>
    <w:p w14:paraId="50FCD544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Support of very low latency including URLLC for certain slot lengths</w:t>
      </w:r>
    </w:p>
    <w:p w14:paraId="0E8E7284" w14:textId="77777777" w:rsidR="00F12EB4" w:rsidRPr="00F12EB4" w:rsidRDefault="00F12EB4" w:rsidP="00F12EB4">
      <w:pPr>
        <w:pStyle w:val="B2"/>
        <w:spacing w:after="0"/>
        <w:ind w:left="1135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Target slot lengths are at least 1ms, 0.5ms.</w:t>
      </w:r>
    </w:p>
    <w:p w14:paraId="09CBD925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Support of finer TDM granularity of scheduling for the same/different UEs within a slot</w:t>
      </w:r>
      <w:r w:rsidRPr="00F12EB4">
        <w:rPr>
          <w:rFonts w:hint="eastAsia"/>
          <w:color w:val="4472C4" w:themeColor="accent5"/>
          <w:lang w:val="en-US" w:eastAsia="ja-JP"/>
        </w:rPr>
        <w:t>, e</w:t>
      </w:r>
      <w:r w:rsidRPr="00F12EB4">
        <w:rPr>
          <w:rFonts w:eastAsia="Malgun Gothic"/>
          <w:color w:val="4472C4" w:themeColor="accent5"/>
          <w:lang w:val="en-US" w:eastAsia="ja-JP"/>
        </w:rPr>
        <w:t>specially if TRxP uses beam-sweeping (e.g., above 6GHz).</w:t>
      </w:r>
    </w:p>
    <w:p w14:paraId="6C5613D7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NR-LTE co-existence</w:t>
      </w:r>
    </w:p>
    <w:p w14:paraId="3D44102C" w14:textId="77777777" w:rsidR="00F12EB4" w:rsidRPr="00F12EB4" w:rsidRDefault="00F12EB4" w:rsidP="00F12EB4">
      <w:pPr>
        <w:pStyle w:val="B2"/>
        <w:spacing w:after="0"/>
        <w:ind w:left="1135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Note that this use case also exists for slot-based scheduling</w:t>
      </w:r>
    </w:p>
    <w:p w14:paraId="772D4591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Forward compatibility towards unlicensed spectrum operation</w:t>
      </w:r>
    </w:p>
    <w:p w14:paraId="1ED2C6DC" w14:textId="77777777" w:rsidR="00F12EB4" w:rsidRPr="00F12EB4" w:rsidRDefault="00F12EB4" w:rsidP="00F12EB4">
      <w:pPr>
        <w:spacing w:before="240" w:after="0"/>
        <w:ind w:left="284"/>
        <w:jc w:val="both"/>
        <w:rPr>
          <w:color w:val="4472C4" w:themeColor="accent5"/>
          <w:lang w:val="en-US" w:eastAsia="ja-JP"/>
        </w:rPr>
      </w:pPr>
      <w:r w:rsidRPr="00F12EB4">
        <w:rPr>
          <w:rFonts w:hint="eastAsia"/>
          <w:color w:val="4472C4" w:themeColor="accent5"/>
          <w:lang w:val="en-US" w:eastAsia="ja-JP"/>
        </w:rPr>
        <w:t>T</w:t>
      </w:r>
      <w:r w:rsidRPr="00F12EB4">
        <w:rPr>
          <w:color w:val="4472C4" w:themeColor="accent5"/>
          <w:lang w:val="en-US" w:eastAsia="ja-JP"/>
        </w:rPr>
        <w:t>he following should</w:t>
      </w:r>
      <w:r w:rsidRPr="00F12EB4">
        <w:rPr>
          <w:rFonts w:hint="eastAsia"/>
          <w:color w:val="4472C4" w:themeColor="accent5"/>
          <w:lang w:val="en-US" w:eastAsia="ja-JP"/>
        </w:rPr>
        <w:t xml:space="preserve"> be taken </w:t>
      </w:r>
      <w:r w:rsidRPr="00F12EB4">
        <w:rPr>
          <w:color w:val="4472C4" w:themeColor="accent5"/>
          <w:lang w:val="en-US" w:eastAsia="ja-JP"/>
        </w:rPr>
        <w:t>into account as starting point for designing mini-slotlevel channels/signals/procedures:</w:t>
      </w:r>
    </w:p>
    <w:p w14:paraId="1723B114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Possible occurrence of mini-slot/slot transmission(s) occupying resources scheduled for ongoing slot transmission(s) of a given carrier for the same/different UEs</w:t>
      </w:r>
    </w:p>
    <w:p w14:paraId="4F4D06DC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</w:r>
      <w:r w:rsidRPr="00F12EB4">
        <w:rPr>
          <w:rFonts w:eastAsia="Malgun Gothic" w:hint="eastAsia"/>
          <w:color w:val="4472C4" w:themeColor="accent5"/>
          <w:lang w:val="en-US" w:eastAsia="ja-JP"/>
        </w:rPr>
        <w:t>DM-RS for mini-slot-level data channel is just a re-use of that for slot-level data channel</w:t>
      </w:r>
    </w:p>
    <w:p w14:paraId="590D0168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DL control channel for mini-slot-level data scheduling is just a re-use of that for slot-level data scheduling</w:t>
      </w:r>
    </w:p>
    <w:p w14:paraId="62FBEAAA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UL control channel for mini-slot-level UCI feedback is just a re-use of that for slot-level UCI feedback</w:t>
      </w:r>
    </w:p>
    <w:p w14:paraId="75666D92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Scheduling/HARQ timelines for a mini-slot can be based on scheduling/HARQ timelines for a slot</w:t>
      </w:r>
    </w:p>
    <w:p w14:paraId="758676DE" w14:textId="6C922AA3" w:rsid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Scheduling/HARQ timelines for a mini-slot can be based on scheduling/HARQ timelines shorter than those for a slot</w:t>
      </w:r>
    </w:p>
    <w:p w14:paraId="2DB34120" w14:textId="4EBE36FF" w:rsidR="003831F2" w:rsidRPr="007B5915" w:rsidRDefault="003831F2" w:rsidP="003831F2">
      <w:pPr>
        <w:spacing w:after="120"/>
        <w:jc w:val="both"/>
        <w:rPr>
          <w:bCs/>
        </w:rPr>
      </w:pPr>
      <w:r w:rsidRPr="007B5915">
        <w:rPr>
          <w:bCs/>
        </w:rPr>
        <w:lastRenderedPageBreak/>
        <w:t xml:space="preserve">RAN1#87 (November 2016) made the following agreement: </w:t>
      </w:r>
    </w:p>
    <w:p w14:paraId="78B94DE2" w14:textId="77777777" w:rsidR="003831F2" w:rsidRPr="007B5915" w:rsidRDefault="003831F2" w:rsidP="003831F2">
      <w:pPr>
        <w:ind w:left="284"/>
        <w:rPr>
          <w:rFonts w:eastAsia="MS Mincho"/>
          <w:lang w:val="en-US" w:eastAsia="ja-JP"/>
        </w:rPr>
      </w:pPr>
      <w:r w:rsidRPr="007B5915">
        <w:rPr>
          <w:rFonts w:eastAsia="MS Mincho" w:hint="eastAsia"/>
          <w:highlight w:val="green"/>
          <w:lang w:val="en-US" w:eastAsia="ja-JP"/>
        </w:rPr>
        <w:t>Agreements:</w:t>
      </w:r>
    </w:p>
    <w:p w14:paraId="77EDDAD3" w14:textId="77777777" w:rsidR="003831F2" w:rsidRPr="007B5915" w:rsidRDefault="003831F2" w:rsidP="003831F2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left="100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NR-PDCCH monitoring at least for single-stage DCI design,</w:t>
      </w:r>
    </w:p>
    <w:p w14:paraId="7AF0B713" w14:textId="77777777" w:rsidR="003831F2" w:rsidRPr="007B5915" w:rsidRDefault="003831F2" w:rsidP="003831F2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after="180"/>
        <w:ind w:left="172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 xml:space="preserve">NR supports the following minimum granularity of the DCI monitoring occasion: </w:t>
      </w:r>
    </w:p>
    <w:p w14:paraId="7FAC5FCA" w14:textId="77777777" w:rsidR="003831F2" w:rsidRPr="007B5915" w:rsidRDefault="003831F2" w:rsidP="003831F2">
      <w:pPr>
        <w:pStyle w:val="ListParagraph"/>
        <w:numPr>
          <w:ilvl w:val="2"/>
          <w:numId w:val="28"/>
        </w:numPr>
        <w:overflowPunct w:val="0"/>
        <w:autoSpaceDE w:val="0"/>
        <w:autoSpaceDN w:val="0"/>
        <w:adjustRightInd w:val="0"/>
        <w:spacing w:after="180"/>
        <w:ind w:left="244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For slots: once per slot</w:t>
      </w:r>
    </w:p>
    <w:p w14:paraId="12E3CD62" w14:textId="40B16E3E" w:rsidR="003831F2" w:rsidRPr="007B5915" w:rsidRDefault="003831F2" w:rsidP="003831F2">
      <w:pPr>
        <w:pStyle w:val="ListParagraph"/>
        <w:numPr>
          <w:ilvl w:val="2"/>
          <w:numId w:val="28"/>
        </w:numPr>
        <w:overflowPunct w:val="0"/>
        <w:autoSpaceDE w:val="0"/>
        <w:autoSpaceDN w:val="0"/>
        <w:adjustRightInd w:val="0"/>
        <w:spacing w:after="180"/>
        <w:ind w:left="244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When mini-slots are used: FFS if every symbol or every second symbol</w:t>
      </w:r>
    </w:p>
    <w:p w14:paraId="484AEBF6" w14:textId="77777777" w:rsidR="003831F2" w:rsidRPr="007B5915" w:rsidRDefault="003831F2" w:rsidP="003831F2">
      <w:pPr>
        <w:pStyle w:val="ListParagraph"/>
        <w:numPr>
          <w:ilvl w:val="3"/>
          <w:numId w:val="28"/>
        </w:numPr>
        <w:overflowPunct w:val="0"/>
        <w:autoSpaceDE w:val="0"/>
        <w:autoSpaceDN w:val="0"/>
        <w:adjustRightInd w:val="0"/>
        <w:spacing w:after="180"/>
        <w:ind w:left="316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FFS with respect to which numerology if slot and mini-slot have different numerology (e.g. SCS, CP overhead)</w:t>
      </w:r>
    </w:p>
    <w:p w14:paraId="7D4B2184" w14:textId="77777777" w:rsidR="003831F2" w:rsidRPr="007B5915" w:rsidRDefault="003831F2" w:rsidP="003831F2">
      <w:pPr>
        <w:pStyle w:val="ListParagraph"/>
        <w:numPr>
          <w:ilvl w:val="3"/>
          <w:numId w:val="28"/>
        </w:numPr>
        <w:overflowPunct w:val="0"/>
        <w:autoSpaceDE w:val="0"/>
        <w:autoSpaceDN w:val="0"/>
        <w:adjustRightInd w:val="0"/>
        <w:spacing w:after="180"/>
        <w:ind w:left="316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 xml:space="preserve">Note: slot/mini-slot alignment is not assumed here </w:t>
      </w:r>
    </w:p>
    <w:p w14:paraId="0DE99DB7" w14:textId="6FF14945" w:rsidR="003831F2" w:rsidRPr="007B5915" w:rsidRDefault="003831F2" w:rsidP="003831F2">
      <w:pPr>
        <w:pStyle w:val="ListParagraph"/>
        <w:numPr>
          <w:ilvl w:val="3"/>
          <w:numId w:val="28"/>
        </w:numPr>
        <w:overflowPunct w:val="0"/>
        <w:autoSpaceDE w:val="0"/>
        <w:autoSpaceDN w:val="0"/>
        <w:adjustRightInd w:val="0"/>
        <w:spacing w:after="180"/>
        <w:ind w:left="3164"/>
        <w:textAlignment w:val="baseline"/>
        <w:rPr>
          <w:rFonts w:eastAsia="MS Mincho"/>
          <w:b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Note: This may not apply in all cases</w:t>
      </w:r>
    </w:p>
    <w:p w14:paraId="43939675" w14:textId="51C13CFE" w:rsidR="00C758C6" w:rsidRDefault="00C758C6" w:rsidP="009335D6">
      <w:pPr>
        <w:spacing w:after="120"/>
        <w:jc w:val="both"/>
        <w:rPr>
          <w:rFonts w:eastAsia="MS Mincho"/>
          <w:lang w:val="en-US" w:eastAsia="ja-JP"/>
        </w:rPr>
      </w:pPr>
    </w:p>
    <w:p w14:paraId="27E058C3" w14:textId="40BB258B" w:rsidR="007D3BD8" w:rsidRPr="007B5915" w:rsidRDefault="007D3BD8" w:rsidP="007D3BD8">
      <w:pPr>
        <w:spacing w:after="120"/>
        <w:jc w:val="both"/>
        <w:rPr>
          <w:bCs/>
        </w:rPr>
      </w:pPr>
      <w:r w:rsidRPr="007B5915">
        <w:rPr>
          <w:bCs/>
        </w:rPr>
        <w:t>RAN1#8</w:t>
      </w:r>
      <w:r>
        <w:rPr>
          <w:bCs/>
        </w:rPr>
        <w:t>8bis</w:t>
      </w:r>
      <w:r w:rsidRPr="007B5915">
        <w:rPr>
          <w:bCs/>
        </w:rPr>
        <w:t xml:space="preserve"> (</w:t>
      </w:r>
      <w:r>
        <w:rPr>
          <w:bCs/>
        </w:rPr>
        <w:t>April</w:t>
      </w:r>
      <w:r w:rsidRPr="007B5915">
        <w:rPr>
          <w:bCs/>
        </w:rPr>
        <w:t xml:space="preserve"> 2</w:t>
      </w:r>
      <w:r>
        <w:rPr>
          <w:bCs/>
        </w:rPr>
        <w:t>017</w:t>
      </w:r>
      <w:r w:rsidRPr="007B5915">
        <w:rPr>
          <w:bCs/>
        </w:rPr>
        <w:t>) made the following agreement</w:t>
      </w:r>
      <w:r w:rsidR="00C72BFC">
        <w:rPr>
          <w:bCs/>
        </w:rPr>
        <w:t>s and working assumptions</w:t>
      </w:r>
      <w:r w:rsidRPr="007B5915">
        <w:rPr>
          <w:bCs/>
        </w:rPr>
        <w:t xml:space="preserve">: </w:t>
      </w:r>
    </w:p>
    <w:p w14:paraId="73778CA3" w14:textId="77777777" w:rsidR="007D3BD8" w:rsidRPr="007D3BD8" w:rsidRDefault="007D3BD8" w:rsidP="007D3BD8">
      <w:pPr>
        <w:overflowPunct/>
        <w:autoSpaceDE/>
        <w:autoSpaceDN/>
        <w:adjustRightInd/>
        <w:spacing w:after="0"/>
        <w:ind w:left="284"/>
        <w:textAlignment w:val="auto"/>
        <w:rPr>
          <w:rFonts w:ascii="Times" w:eastAsia="MS Mincho" w:hAnsi="Times"/>
          <w:highlight w:val="darkYellow"/>
          <w:lang w:eastAsia="ja-JP"/>
        </w:rPr>
      </w:pPr>
      <w:r w:rsidRPr="007D3BD8">
        <w:rPr>
          <w:rFonts w:ascii="Times" w:eastAsia="MS Mincho" w:hAnsi="Times" w:hint="eastAsia"/>
          <w:highlight w:val="green"/>
          <w:lang w:eastAsia="ja-JP"/>
        </w:rPr>
        <w:t>Agreement</w:t>
      </w:r>
      <w:r w:rsidRPr="007D3BD8">
        <w:rPr>
          <w:rFonts w:ascii="Times" w:eastAsia="MS Mincho" w:hAnsi="Times"/>
          <w:highlight w:val="green"/>
          <w:lang w:eastAsia="ja-JP"/>
        </w:rPr>
        <w:t>s</w:t>
      </w:r>
    </w:p>
    <w:p w14:paraId="4C5B34D0" w14:textId="77777777" w:rsidR="007D3BD8" w:rsidRPr="007D3BD8" w:rsidRDefault="007D3BD8" w:rsidP="007D3BD8">
      <w:pPr>
        <w:numPr>
          <w:ilvl w:val="0"/>
          <w:numId w:val="29"/>
        </w:numPr>
        <w:overflowPunct/>
        <w:autoSpaceDE/>
        <w:autoSpaceDN/>
        <w:adjustRightInd/>
        <w:spacing w:after="0"/>
        <w:ind w:left="100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 xml:space="preserve">UE can be configured to </w:t>
      </w:r>
      <w:r w:rsidRPr="007D3BD8">
        <w:rPr>
          <w:rFonts w:eastAsia="MS Mincho" w:hint="eastAsia"/>
          <w:lang w:val="en-US" w:eastAsia="ja-JP"/>
        </w:rPr>
        <w:t>“</w:t>
      </w:r>
      <w:r w:rsidRPr="007D3BD8">
        <w:rPr>
          <w:rFonts w:eastAsia="MS Mincho" w:hint="eastAsia"/>
          <w:lang w:val="en-US" w:eastAsia="ja-JP"/>
        </w:rPr>
        <w:t>monitor DL control channel</w:t>
      </w:r>
      <w:r w:rsidRPr="007D3BD8">
        <w:rPr>
          <w:rFonts w:eastAsia="MS Mincho" w:hint="eastAsia"/>
          <w:lang w:val="en-US" w:eastAsia="ja-JP"/>
        </w:rPr>
        <w:t>”</w:t>
      </w:r>
      <w:r w:rsidRPr="007D3BD8">
        <w:rPr>
          <w:rFonts w:eastAsia="MS Mincho" w:hint="eastAsia"/>
          <w:lang w:val="en-US" w:eastAsia="ja-JP"/>
        </w:rPr>
        <w:t xml:space="preserve"> in terms of slot or OFDM symbol with respect to the numerology of the DL control channel</w:t>
      </w:r>
    </w:p>
    <w:p w14:paraId="6205E31B" w14:textId="77777777" w:rsidR="007D3BD8" w:rsidRPr="007D3BD8" w:rsidRDefault="007D3BD8" w:rsidP="007D3BD8">
      <w:pPr>
        <w:numPr>
          <w:ilvl w:val="1"/>
          <w:numId w:val="29"/>
        </w:numPr>
        <w:overflowPunct/>
        <w:autoSpaceDE/>
        <w:autoSpaceDN/>
        <w:adjustRightInd/>
        <w:spacing w:after="0"/>
        <w:ind w:left="172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 xml:space="preserve">Specification supports occasion of </w:t>
      </w:r>
      <w:r w:rsidRPr="007D3BD8">
        <w:rPr>
          <w:rFonts w:eastAsia="MS Mincho" w:hint="eastAsia"/>
          <w:lang w:val="en-US" w:eastAsia="ja-JP"/>
        </w:rPr>
        <w:t>“</w:t>
      </w:r>
      <w:r w:rsidRPr="007D3BD8">
        <w:rPr>
          <w:rFonts w:eastAsia="MS Mincho" w:hint="eastAsia"/>
          <w:lang w:val="en-US" w:eastAsia="ja-JP"/>
        </w:rPr>
        <w:t>DL control channel monitoring</w:t>
      </w:r>
      <w:r w:rsidRPr="007D3BD8">
        <w:rPr>
          <w:rFonts w:eastAsia="MS Mincho" w:hint="eastAsia"/>
          <w:lang w:val="en-US" w:eastAsia="ja-JP"/>
        </w:rPr>
        <w:t>”</w:t>
      </w:r>
      <w:r w:rsidRPr="007D3BD8">
        <w:rPr>
          <w:rFonts w:eastAsia="MS Mincho" w:hint="eastAsia"/>
          <w:lang w:val="en-US" w:eastAsia="ja-JP"/>
        </w:rPr>
        <w:t xml:space="preserve"> per 1 symbol with respect to the numerology of the DL control channel</w:t>
      </w:r>
    </w:p>
    <w:p w14:paraId="16E670F5" w14:textId="77777777" w:rsidR="007D3BD8" w:rsidRPr="007D3BD8" w:rsidRDefault="007D3BD8" w:rsidP="007D3BD8">
      <w:pPr>
        <w:numPr>
          <w:ilvl w:val="2"/>
          <w:numId w:val="29"/>
        </w:numPr>
        <w:overflowPunct/>
        <w:autoSpaceDE/>
        <w:autoSpaceDN/>
        <w:adjustRightInd/>
        <w:spacing w:after="0"/>
        <w:ind w:left="244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Note: This may not be applied to all type of the UEs and/or use-cases</w:t>
      </w:r>
    </w:p>
    <w:p w14:paraId="21881AEE" w14:textId="77777777" w:rsidR="007D3BD8" w:rsidRPr="007D3BD8" w:rsidRDefault="007D3BD8" w:rsidP="007D3BD8">
      <w:pPr>
        <w:numPr>
          <w:ilvl w:val="2"/>
          <w:numId w:val="29"/>
        </w:numPr>
        <w:overflowPunct/>
        <w:autoSpaceDE/>
        <w:autoSpaceDN/>
        <w:adjustRightInd/>
        <w:spacing w:after="0"/>
        <w:ind w:left="244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 xml:space="preserve">FFS whether or not total number of blind decodings in a slot when a UE is configured with </w:t>
      </w:r>
      <w:r w:rsidRPr="007D3BD8">
        <w:rPr>
          <w:rFonts w:eastAsia="MS Mincho" w:hint="eastAsia"/>
          <w:lang w:val="en-US" w:eastAsia="ja-JP"/>
        </w:rPr>
        <w:t>“</w:t>
      </w:r>
      <w:r w:rsidRPr="007D3BD8">
        <w:rPr>
          <w:rFonts w:eastAsia="MS Mincho" w:hint="eastAsia"/>
          <w:lang w:val="en-US" w:eastAsia="ja-JP"/>
        </w:rPr>
        <w:t>DL control channel monitoring</w:t>
      </w:r>
      <w:r w:rsidRPr="007D3BD8">
        <w:rPr>
          <w:rFonts w:eastAsia="MS Mincho" w:hint="eastAsia"/>
          <w:lang w:val="en-US" w:eastAsia="ja-JP"/>
        </w:rPr>
        <w:t>”</w:t>
      </w:r>
      <w:r w:rsidRPr="007D3BD8">
        <w:rPr>
          <w:rFonts w:eastAsia="MS Mincho" w:hint="eastAsia"/>
          <w:lang w:val="en-US" w:eastAsia="ja-JP"/>
        </w:rPr>
        <w:t xml:space="preserve"> per symbol can exceed the total number of blind decodings in a slot when a UE is configured with </w:t>
      </w:r>
      <w:r w:rsidRPr="007D3BD8">
        <w:rPr>
          <w:rFonts w:eastAsia="MS Mincho" w:hint="eastAsia"/>
          <w:lang w:val="en-US" w:eastAsia="ja-JP"/>
        </w:rPr>
        <w:t>“</w:t>
      </w:r>
      <w:r w:rsidRPr="007D3BD8">
        <w:rPr>
          <w:rFonts w:eastAsia="MS Mincho" w:hint="eastAsia"/>
          <w:lang w:val="en-US" w:eastAsia="ja-JP"/>
        </w:rPr>
        <w:t>DL control channel monitoring</w:t>
      </w:r>
      <w:r w:rsidRPr="007D3BD8">
        <w:rPr>
          <w:rFonts w:eastAsia="MS Mincho" w:hint="eastAsia"/>
          <w:lang w:val="en-US" w:eastAsia="ja-JP"/>
        </w:rPr>
        <w:t>”</w:t>
      </w:r>
      <w:r w:rsidRPr="007D3BD8">
        <w:rPr>
          <w:rFonts w:eastAsia="MS Mincho" w:hint="eastAsia"/>
          <w:lang w:val="en-US" w:eastAsia="ja-JP"/>
        </w:rPr>
        <w:t xml:space="preserve"> per slot</w:t>
      </w:r>
    </w:p>
    <w:p w14:paraId="7D7DF193" w14:textId="77777777" w:rsidR="007D3BD8" w:rsidRPr="007D3BD8" w:rsidRDefault="007D3BD8" w:rsidP="007D3BD8">
      <w:pPr>
        <w:numPr>
          <w:ilvl w:val="0"/>
          <w:numId w:val="29"/>
        </w:numPr>
        <w:overflowPunct/>
        <w:autoSpaceDE/>
        <w:autoSpaceDN/>
        <w:adjustRightInd/>
        <w:spacing w:after="0"/>
        <w:ind w:left="100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Data channel (PDSCH, PUSCH) duration and starting position</w:t>
      </w:r>
    </w:p>
    <w:p w14:paraId="63A9A1CA" w14:textId="77777777" w:rsidR="007D3BD8" w:rsidRPr="007D3BD8" w:rsidRDefault="007D3BD8" w:rsidP="007D3BD8">
      <w:pPr>
        <w:numPr>
          <w:ilvl w:val="1"/>
          <w:numId w:val="29"/>
        </w:numPr>
        <w:overflowPunct/>
        <w:autoSpaceDE/>
        <w:autoSpaceDN/>
        <w:adjustRightInd/>
        <w:spacing w:after="0"/>
        <w:ind w:left="172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Specification supports data channel having minimum duration of 1 OFDM symbol of the data and starting at any OFDM symbol to below-6GHz, in addition to above-6GHz</w:t>
      </w:r>
    </w:p>
    <w:p w14:paraId="7DB0B94A" w14:textId="77777777" w:rsidR="007D3BD8" w:rsidRPr="007D3BD8" w:rsidRDefault="007D3BD8" w:rsidP="007D3BD8">
      <w:pPr>
        <w:numPr>
          <w:ilvl w:val="2"/>
          <w:numId w:val="29"/>
        </w:numPr>
        <w:overflowPunct/>
        <w:autoSpaceDE/>
        <w:autoSpaceDN/>
        <w:adjustRightInd/>
        <w:spacing w:after="0"/>
        <w:ind w:left="244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Note: This may not be applied to all type of UEs and/or use-cases</w:t>
      </w:r>
    </w:p>
    <w:p w14:paraId="7FC15632" w14:textId="77777777" w:rsidR="007D3BD8" w:rsidRPr="007D3BD8" w:rsidRDefault="007D3BD8" w:rsidP="007D3BD8">
      <w:pPr>
        <w:numPr>
          <w:ilvl w:val="2"/>
          <w:numId w:val="29"/>
        </w:numPr>
        <w:overflowPunct/>
        <w:autoSpaceDE/>
        <w:autoSpaceDN/>
        <w:adjustRightInd/>
        <w:spacing w:after="0"/>
        <w:ind w:left="244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UE is not expected to blindly detect the presence of DMRS or PT-RS</w:t>
      </w:r>
    </w:p>
    <w:p w14:paraId="3714C85B" w14:textId="77777777" w:rsidR="007D3BD8" w:rsidRPr="007D3BD8" w:rsidRDefault="007D3BD8" w:rsidP="007D3BD8">
      <w:pPr>
        <w:numPr>
          <w:ilvl w:val="2"/>
          <w:numId w:val="29"/>
        </w:numPr>
        <w:overflowPunct/>
        <w:autoSpaceDE/>
        <w:autoSpaceDN/>
        <w:adjustRightInd/>
        <w:spacing w:after="0"/>
        <w:ind w:left="244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FFS: Whether a 1 symbol data puncturing can be indicated by preemption indication</w:t>
      </w:r>
    </w:p>
    <w:p w14:paraId="33571F34" w14:textId="77777777" w:rsidR="007D3BD8" w:rsidRPr="007D3BD8" w:rsidRDefault="007D3BD8" w:rsidP="007D3BD8">
      <w:pPr>
        <w:numPr>
          <w:ilvl w:val="1"/>
          <w:numId w:val="29"/>
        </w:numPr>
        <w:overflowPunct/>
        <w:autoSpaceDE/>
        <w:autoSpaceDN/>
        <w:adjustRightInd/>
        <w:spacing w:after="0"/>
        <w:ind w:left="172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FFS: combinations of data duration and granularities of data position</w:t>
      </w:r>
    </w:p>
    <w:p w14:paraId="3054E70E" w14:textId="77777777" w:rsidR="007D3BD8" w:rsidRPr="007D3BD8" w:rsidRDefault="007D3BD8" w:rsidP="007D3BD8">
      <w:pPr>
        <w:numPr>
          <w:ilvl w:val="1"/>
          <w:numId w:val="29"/>
        </w:numPr>
        <w:overflowPunct/>
        <w:autoSpaceDE/>
        <w:autoSpaceDN/>
        <w:adjustRightInd/>
        <w:spacing w:after="0"/>
        <w:ind w:left="172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Specification supports data having frequency-selective assignment with any data duration</w:t>
      </w:r>
    </w:p>
    <w:p w14:paraId="4430E3C5" w14:textId="77777777" w:rsidR="007D3BD8" w:rsidRPr="007D3BD8" w:rsidRDefault="007D3BD8" w:rsidP="007D3BD8">
      <w:pPr>
        <w:numPr>
          <w:ilvl w:val="0"/>
          <w:numId w:val="29"/>
        </w:numPr>
        <w:overflowPunct/>
        <w:autoSpaceDE/>
        <w:autoSpaceDN/>
        <w:adjustRightInd/>
        <w:spacing w:after="0"/>
        <w:ind w:left="100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 xml:space="preserve">FFS: relations between </w:t>
      </w:r>
      <w:r w:rsidRPr="007D3BD8">
        <w:rPr>
          <w:rFonts w:eastAsia="MS Mincho" w:hint="eastAsia"/>
          <w:lang w:val="en-US" w:eastAsia="ja-JP"/>
        </w:rPr>
        <w:t>“</w:t>
      </w:r>
      <w:r w:rsidRPr="007D3BD8">
        <w:rPr>
          <w:rFonts w:eastAsia="MS Mincho" w:hint="eastAsia"/>
          <w:lang w:val="en-US" w:eastAsia="ja-JP"/>
        </w:rPr>
        <w:t>DL control channel monitoring</w:t>
      </w:r>
      <w:r w:rsidRPr="007D3BD8">
        <w:rPr>
          <w:rFonts w:eastAsia="MS Mincho" w:hint="eastAsia"/>
          <w:lang w:val="en-US" w:eastAsia="ja-JP"/>
        </w:rPr>
        <w:t>”</w:t>
      </w:r>
      <w:r w:rsidRPr="007D3BD8">
        <w:rPr>
          <w:rFonts w:eastAsia="MS Mincho" w:hint="eastAsia"/>
          <w:lang w:val="en-US" w:eastAsia="ja-JP"/>
        </w:rPr>
        <w:t xml:space="preserve"> occasions and data channel durations</w:t>
      </w:r>
    </w:p>
    <w:p w14:paraId="229ED4AF" w14:textId="77777777" w:rsidR="007D3BD8" w:rsidRPr="007D3BD8" w:rsidRDefault="007D3BD8" w:rsidP="007D3BD8">
      <w:pPr>
        <w:numPr>
          <w:ilvl w:val="0"/>
          <w:numId w:val="29"/>
        </w:numPr>
        <w:overflowPunct/>
        <w:autoSpaceDE/>
        <w:autoSpaceDN/>
        <w:adjustRightInd/>
        <w:spacing w:after="0"/>
        <w:ind w:left="100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Note: this is addition to the agreements at RAN1#86.</w:t>
      </w:r>
    </w:p>
    <w:p w14:paraId="4252086E" w14:textId="77777777" w:rsidR="007D3BD8" w:rsidRPr="007D3BD8" w:rsidRDefault="007D3BD8" w:rsidP="007D3BD8">
      <w:pPr>
        <w:numPr>
          <w:ilvl w:val="0"/>
          <w:numId w:val="29"/>
        </w:numPr>
        <w:overflowPunct/>
        <w:autoSpaceDE/>
        <w:autoSpaceDN/>
        <w:adjustRightInd/>
        <w:spacing w:after="0"/>
        <w:ind w:left="1004"/>
        <w:contextualSpacing/>
        <w:textAlignment w:val="auto"/>
        <w:rPr>
          <w:rFonts w:eastAsia="MS Mincho"/>
          <w:lang w:val="en-US" w:eastAsia="ja-JP"/>
        </w:rPr>
      </w:pPr>
      <w:r w:rsidRPr="007D3BD8">
        <w:rPr>
          <w:rFonts w:eastAsia="MS Mincho" w:hint="eastAsia"/>
          <w:lang w:val="en-US" w:eastAsia="ja-JP"/>
        </w:rPr>
        <w:t>Note : 1-symbol case may be restricted depending on the BW.</w:t>
      </w:r>
    </w:p>
    <w:p w14:paraId="6D5712F4" w14:textId="669C136B" w:rsidR="007D3BD8" w:rsidRDefault="007D3BD8" w:rsidP="009335D6">
      <w:pPr>
        <w:spacing w:after="120"/>
        <w:jc w:val="both"/>
        <w:rPr>
          <w:rFonts w:eastAsia="MS Mincho"/>
          <w:lang w:val="en-US" w:eastAsia="ja-JP"/>
        </w:rPr>
      </w:pPr>
    </w:p>
    <w:p w14:paraId="3AF9E0C8" w14:textId="77777777" w:rsidR="00C72BFC" w:rsidRPr="00B17F99" w:rsidRDefault="00C72BFC" w:rsidP="00C72BFC">
      <w:pPr>
        <w:ind w:left="284"/>
        <w:rPr>
          <w:rFonts w:eastAsia="MS Mincho"/>
          <w:b/>
          <w:iCs/>
          <w:u w:val="single"/>
          <w:lang w:val="en-US" w:eastAsia="ja-JP"/>
        </w:rPr>
      </w:pPr>
      <w:r w:rsidRPr="00DF722D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</w:t>
      </w:r>
      <w:r w:rsidRPr="00DF722D">
        <w:rPr>
          <w:rFonts w:eastAsia="MS Mincho"/>
          <w:b/>
          <w:iCs/>
          <w:highlight w:val="green"/>
          <w:u w:val="single"/>
          <w:lang w:val="en-US" w:eastAsia="ja-JP"/>
        </w:rPr>
        <w:t>:</w:t>
      </w:r>
    </w:p>
    <w:p w14:paraId="1F31380B" w14:textId="77777777" w:rsidR="00C72BFC" w:rsidRPr="00B17F99" w:rsidRDefault="00C72BFC" w:rsidP="00C72BFC">
      <w:pPr>
        <w:numPr>
          <w:ilvl w:val="0"/>
          <w:numId w:val="31"/>
        </w:numPr>
        <w:tabs>
          <w:tab w:val="clear" w:pos="720"/>
          <w:tab w:val="num" w:pos="1004"/>
        </w:tabs>
        <w:overflowPunct/>
        <w:autoSpaceDE/>
        <w:autoSpaceDN/>
        <w:adjustRightInd/>
        <w:spacing w:after="0"/>
        <w:ind w:left="1004"/>
        <w:textAlignment w:val="auto"/>
        <w:rPr>
          <w:rFonts w:eastAsia="MS Mincho"/>
          <w:iCs/>
          <w:lang w:val="en-US" w:eastAsia="ja-JP"/>
        </w:rPr>
      </w:pPr>
      <w:r w:rsidRPr="00B17F99">
        <w:rPr>
          <w:rFonts w:eastAsia="MS Mincho" w:hint="eastAsia"/>
          <w:iCs/>
          <w:lang w:val="en-US" w:eastAsia="ja-JP"/>
        </w:rPr>
        <w:t xml:space="preserve">The duration of </w:t>
      </w:r>
      <w:r w:rsidRPr="00B17F99">
        <w:rPr>
          <w:rFonts w:eastAsia="MS Mincho"/>
          <w:iCs/>
          <w:lang w:val="en-US" w:eastAsia="ja-JP"/>
        </w:rPr>
        <w:t xml:space="preserve">a </w:t>
      </w:r>
      <w:r w:rsidRPr="00B17F99">
        <w:rPr>
          <w:rFonts w:eastAsia="MS Mincho" w:hint="eastAsia"/>
          <w:iCs/>
          <w:lang w:val="en-US" w:eastAsia="ja-JP"/>
        </w:rPr>
        <w:t xml:space="preserve">data transmission </w:t>
      </w:r>
      <w:r w:rsidRPr="00B17F99">
        <w:rPr>
          <w:rFonts w:eastAsia="MS Mincho"/>
          <w:iCs/>
          <w:lang w:val="en-US" w:eastAsia="ja-JP"/>
        </w:rPr>
        <w:t xml:space="preserve">in a data channel </w:t>
      </w:r>
      <w:r w:rsidRPr="00B17F99">
        <w:rPr>
          <w:rFonts w:eastAsia="MS Mincho" w:hint="eastAsia"/>
          <w:iCs/>
          <w:lang w:val="en-US" w:eastAsia="ja-JP"/>
        </w:rPr>
        <w:t xml:space="preserve">can be </w:t>
      </w:r>
      <w:r w:rsidRPr="00B17F99">
        <w:rPr>
          <w:rFonts w:eastAsia="MS Mincho"/>
          <w:iCs/>
          <w:lang w:val="en-US" w:eastAsia="ja-JP"/>
        </w:rPr>
        <w:t xml:space="preserve">semi-statically configured and/or </w:t>
      </w:r>
      <w:r w:rsidRPr="00B17F99">
        <w:rPr>
          <w:rFonts w:eastAsia="MS Mincho" w:hint="eastAsia"/>
          <w:iCs/>
          <w:lang w:val="en-US" w:eastAsia="ja-JP"/>
        </w:rPr>
        <w:t>dynamically indicated in the PDCCH scheduling the data transmission</w:t>
      </w:r>
    </w:p>
    <w:p w14:paraId="3E3FBA3D" w14:textId="77777777" w:rsidR="00C72BFC" w:rsidRPr="00B17F99" w:rsidRDefault="00C72BFC" w:rsidP="00C72BFC">
      <w:pPr>
        <w:numPr>
          <w:ilvl w:val="1"/>
          <w:numId w:val="31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iCs/>
          <w:lang w:val="en-US" w:eastAsia="ja-JP"/>
        </w:rPr>
      </w:pPr>
      <w:r w:rsidRPr="00B17F99">
        <w:rPr>
          <w:rFonts w:eastAsia="MS Mincho" w:hint="eastAsia"/>
          <w:iCs/>
          <w:lang w:val="en-US" w:eastAsia="ja-JP"/>
        </w:rPr>
        <w:t xml:space="preserve">FFS: the </w:t>
      </w:r>
      <w:r w:rsidRPr="00B17F99">
        <w:rPr>
          <w:rFonts w:eastAsia="MS Mincho"/>
          <w:iCs/>
          <w:lang w:val="en-US" w:eastAsia="ja-JP"/>
        </w:rPr>
        <w:t>starting/</w:t>
      </w:r>
      <w:r w:rsidRPr="00B17F99">
        <w:rPr>
          <w:rFonts w:eastAsia="MS Mincho" w:hint="eastAsia"/>
          <w:iCs/>
          <w:lang w:val="en-US" w:eastAsia="ja-JP"/>
        </w:rPr>
        <w:t>ending position of the data transmission</w:t>
      </w:r>
    </w:p>
    <w:p w14:paraId="2DD89180" w14:textId="77777777" w:rsidR="00C72BFC" w:rsidRPr="00B17F99" w:rsidRDefault="00C72BFC" w:rsidP="00C72BFC">
      <w:pPr>
        <w:numPr>
          <w:ilvl w:val="1"/>
          <w:numId w:val="31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iCs/>
          <w:lang w:val="en-US" w:eastAsia="ja-JP"/>
        </w:rPr>
      </w:pPr>
      <w:r w:rsidRPr="00B17F99">
        <w:rPr>
          <w:rFonts w:eastAsia="MS Mincho"/>
          <w:iCs/>
          <w:lang w:val="en-US" w:eastAsia="ja-JP"/>
        </w:rPr>
        <w:t>FFS: the indicated duration is the number of symbols</w:t>
      </w:r>
    </w:p>
    <w:p w14:paraId="68529F15" w14:textId="77777777" w:rsidR="00C72BFC" w:rsidRPr="00B17F99" w:rsidRDefault="00C72BFC" w:rsidP="00C72BFC">
      <w:pPr>
        <w:numPr>
          <w:ilvl w:val="1"/>
          <w:numId w:val="31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iCs/>
          <w:lang w:val="en-US" w:eastAsia="ja-JP"/>
        </w:rPr>
      </w:pPr>
      <w:r w:rsidRPr="00B17F99">
        <w:rPr>
          <w:rFonts w:eastAsia="MS Mincho"/>
          <w:iCs/>
          <w:lang w:val="en-US" w:eastAsia="ja-JP"/>
        </w:rPr>
        <w:t>FFS: the indicated duration is the number of slots</w:t>
      </w:r>
    </w:p>
    <w:p w14:paraId="44ADE2B0" w14:textId="77777777" w:rsidR="00C72BFC" w:rsidRPr="00B17F99" w:rsidRDefault="00C72BFC" w:rsidP="00C72BFC">
      <w:pPr>
        <w:numPr>
          <w:ilvl w:val="1"/>
          <w:numId w:val="31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iCs/>
          <w:lang w:val="en-US" w:eastAsia="ja-JP"/>
        </w:rPr>
      </w:pPr>
      <w:r w:rsidRPr="00B17F99">
        <w:rPr>
          <w:rFonts w:eastAsia="MS Mincho"/>
          <w:iCs/>
          <w:lang w:val="en-US" w:eastAsia="ja-JP"/>
        </w:rPr>
        <w:t>FFS: the indicated duration is the numbers of symbols + slots</w:t>
      </w:r>
    </w:p>
    <w:p w14:paraId="5DDE4FA7" w14:textId="77777777" w:rsidR="00C72BFC" w:rsidRPr="00B17F99" w:rsidRDefault="00C72BFC" w:rsidP="00C72BFC">
      <w:pPr>
        <w:numPr>
          <w:ilvl w:val="1"/>
          <w:numId w:val="31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iCs/>
          <w:lang w:val="en-US" w:eastAsia="ja-JP"/>
        </w:rPr>
      </w:pPr>
      <w:r w:rsidRPr="00B17F99">
        <w:rPr>
          <w:rFonts w:eastAsia="MS Mincho" w:hint="eastAsia"/>
          <w:iCs/>
          <w:lang w:val="en-US" w:eastAsia="ja-JP"/>
        </w:rPr>
        <w:t>FFS: in case cross-slot scheduling is used</w:t>
      </w:r>
    </w:p>
    <w:p w14:paraId="34A2B214" w14:textId="77777777" w:rsidR="00C72BFC" w:rsidRDefault="00C72BFC" w:rsidP="00C72BFC">
      <w:pPr>
        <w:numPr>
          <w:ilvl w:val="1"/>
          <w:numId w:val="31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iCs/>
          <w:lang w:val="en-US" w:eastAsia="ja-JP"/>
        </w:rPr>
      </w:pPr>
      <w:r w:rsidRPr="00B17F99">
        <w:rPr>
          <w:rFonts w:eastAsia="MS Mincho"/>
          <w:iCs/>
          <w:lang w:val="en-US" w:eastAsia="ja-JP"/>
        </w:rPr>
        <w:t>FFS: in case slot aggregation is used</w:t>
      </w:r>
    </w:p>
    <w:p w14:paraId="60967F22" w14:textId="77777777" w:rsidR="00C72BFC" w:rsidRDefault="00C72BFC" w:rsidP="00C72BFC">
      <w:pPr>
        <w:numPr>
          <w:ilvl w:val="1"/>
          <w:numId w:val="31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rate-matching details</w:t>
      </w:r>
    </w:p>
    <w:p w14:paraId="08981B57" w14:textId="77777777" w:rsidR="00C72BFC" w:rsidRPr="00B17F99" w:rsidRDefault="00C72BFC" w:rsidP="00C72BFC">
      <w:pPr>
        <w:numPr>
          <w:ilvl w:val="1"/>
          <w:numId w:val="31"/>
        </w:numPr>
        <w:tabs>
          <w:tab w:val="clear" w:pos="1440"/>
          <w:tab w:val="num" w:pos="1724"/>
        </w:tabs>
        <w:overflowPunct/>
        <w:autoSpaceDE/>
        <w:autoSpaceDN/>
        <w:adjustRightInd/>
        <w:spacing w:after="0"/>
        <w:ind w:left="1724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whether/how to specify UE behavior when the duration of a data transmission in a data channel for the UE is unknown</w:t>
      </w:r>
    </w:p>
    <w:p w14:paraId="0CA1EC7B" w14:textId="77777777" w:rsidR="00C72BFC" w:rsidRDefault="00C72BFC" w:rsidP="009335D6">
      <w:pPr>
        <w:spacing w:after="120"/>
        <w:jc w:val="both"/>
        <w:rPr>
          <w:rFonts w:eastAsia="MS Mincho"/>
          <w:lang w:val="en-US" w:eastAsia="ja-JP"/>
        </w:rPr>
      </w:pPr>
    </w:p>
    <w:p w14:paraId="0B8224B2" w14:textId="77777777" w:rsidR="00C72BFC" w:rsidRPr="00A80845" w:rsidRDefault="00C72BFC" w:rsidP="00C72BFC">
      <w:pPr>
        <w:ind w:left="284"/>
        <w:rPr>
          <w:rFonts w:eastAsia="MS Mincho"/>
          <w:b/>
          <w:iCs/>
          <w:u w:val="single"/>
          <w:lang w:val="en-US" w:eastAsia="ja-JP"/>
        </w:rPr>
      </w:pPr>
      <w:r w:rsidRPr="00DF0B58">
        <w:rPr>
          <w:rFonts w:eastAsia="MS Mincho" w:hint="eastAsia"/>
          <w:b/>
          <w:iCs/>
          <w:highlight w:val="darkYellow"/>
          <w:u w:val="single"/>
          <w:lang w:val="en-US" w:eastAsia="ja-JP"/>
        </w:rPr>
        <w:t>Working assumption</w:t>
      </w:r>
      <w:r w:rsidRPr="00DF0B58">
        <w:rPr>
          <w:rFonts w:eastAsia="MS Mincho"/>
          <w:b/>
          <w:iCs/>
          <w:highlight w:val="darkYellow"/>
          <w:u w:val="single"/>
          <w:lang w:val="en-US" w:eastAsia="ja-JP"/>
        </w:rPr>
        <w:t>:</w:t>
      </w:r>
    </w:p>
    <w:p w14:paraId="1AC67544" w14:textId="77777777" w:rsidR="00C72BFC" w:rsidRPr="00A80845" w:rsidRDefault="00C72BFC" w:rsidP="00C72BFC">
      <w:pPr>
        <w:numPr>
          <w:ilvl w:val="0"/>
          <w:numId w:val="30"/>
        </w:numPr>
        <w:overflowPunct/>
        <w:autoSpaceDE/>
        <w:autoSpaceDN/>
        <w:adjustRightInd/>
        <w:spacing w:after="0"/>
        <w:ind w:left="704"/>
        <w:textAlignment w:val="auto"/>
        <w:rPr>
          <w:rFonts w:eastAsia="MS Mincho"/>
          <w:iCs/>
          <w:lang w:val="en-US" w:eastAsia="ja-JP"/>
        </w:rPr>
      </w:pPr>
      <w:r w:rsidRPr="00A80845">
        <w:rPr>
          <w:rFonts w:eastAsia="MS Mincho"/>
          <w:iCs/>
          <w:lang w:val="en-US" w:eastAsia="ja-JP"/>
        </w:rPr>
        <w:t>The structure of a data channel (PDSCH</w:t>
      </w:r>
      <w:r>
        <w:rPr>
          <w:rFonts w:eastAsia="MS Mincho"/>
          <w:iCs/>
          <w:lang w:val="en-US" w:eastAsia="ja-JP"/>
        </w:rPr>
        <w:t xml:space="preserve"> and PUSCH (if applicable)</w:t>
      </w:r>
      <w:r w:rsidRPr="00A80845">
        <w:rPr>
          <w:rFonts w:eastAsia="MS Mincho"/>
          <w:iCs/>
          <w:lang w:val="en-US" w:eastAsia="ja-JP"/>
        </w:rPr>
        <w:t>) including DMRS is independent from whether it is scheduled on resources that are preempting or not preempting another users data transmission.</w:t>
      </w:r>
    </w:p>
    <w:p w14:paraId="61C98863" w14:textId="77777777" w:rsidR="00C72BFC" w:rsidRDefault="00C72BFC" w:rsidP="009335D6">
      <w:pPr>
        <w:spacing w:after="120"/>
        <w:jc w:val="both"/>
        <w:rPr>
          <w:rFonts w:eastAsia="MS Mincho"/>
          <w:lang w:val="en-US" w:eastAsia="ja-JP"/>
        </w:rPr>
      </w:pPr>
    </w:p>
    <w:p w14:paraId="29DBD5EC" w14:textId="032C0720" w:rsidR="00C01DD5" w:rsidRDefault="00AA68D6" w:rsidP="00C01DD5">
      <w:pPr>
        <w:pStyle w:val="Heading1"/>
      </w:pPr>
      <w:r>
        <w:rPr>
          <w:color w:val="000000"/>
        </w:rPr>
        <w:lastRenderedPageBreak/>
        <w:t>2</w:t>
      </w:r>
      <w:r w:rsidR="00C01DD5" w:rsidRPr="00A51522">
        <w:rPr>
          <w:color w:val="000000"/>
        </w:rPr>
        <w:tab/>
      </w:r>
      <w:r w:rsidR="00D34E99">
        <w:t>Discussion</w:t>
      </w:r>
    </w:p>
    <w:p w14:paraId="71AA84B7" w14:textId="07151AC6" w:rsidR="00667E03" w:rsidRPr="00CE42C8" w:rsidRDefault="009335D6" w:rsidP="00667E03">
      <w:pPr>
        <w:pStyle w:val="Heading2"/>
        <w:rPr>
          <w:sz w:val="24"/>
          <w:lang w:val="en-US" w:eastAsia="ja-JP"/>
        </w:rPr>
      </w:pPr>
      <w:r>
        <w:rPr>
          <w:sz w:val="24"/>
          <w:lang w:val="en-US" w:eastAsia="ja-JP"/>
        </w:rPr>
        <w:t>2</w:t>
      </w:r>
      <w:r w:rsidR="00667E03" w:rsidRPr="00CE42C8">
        <w:rPr>
          <w:sz w:val="24"/>
          <w:lang w:val="en-US" w:eastAsia="ja-JP"/>
        </w:rPr>
        <w:t>.1</w:t>
      </w:r>
      <w:r w:rsidR="00667E03" w:rsidRPr="00CE42C8">
        <w:rPr>
          <w:sz w:val="24"/>
          <w:lang w:val="en-US" w:eastAsia="ja-JP"/>
        </w:rPr>
        <w:tab/>
        <w:t>Generic principle</w:t>
      </w:r>
      <w:r w:rsidR="0072799E" w:rsidRPr="00CE42C8">
        <w:rPr>
          <w:sz w:val="24"/>
          <w:lang w:val="en-US" w:eastAsia="ja-JP"/>
        </w:rPr>
        <w:t>s</w:t>
      </w:r>
      <w:r w:rsidR="00277D3F">
        <w:rPr>
          <w:sz w:val="24"/>
          <w:lang w:val="en-US" w:eastAsia="ja-JP"/>
        </w:rPr>
        <w:t xml:space="preserve"> of scheduling slots and mini-slots</w:t>
      </w:r>
    </w:p>
    <w:p w14:paraId="4AB9F4B9" w14:textId="1F84B254" w:rsidR="00702416" w:rsidRPr="007B5915" w:rsidRDefault="00702416" w:rsidP="00AC7316">
      <w:pPr>
        <w:spacing w:after="120"/>
        <w:rPr>
          <w:rFonts w:eastAsia="MS Mincho"/>
          <w:lang w:val="en-US" w:eastAsia="ja-JP"/>
        </w:rPr>
      </w:pPr>
      <w:r w:rsidRPr="007B5915">
        <w:rPr>
          <w:rFonts w:eastAsia="MS Mincho"/>
          <w:lang w:val="en-US" w:eastAsia="ja-JP"/>
        </w:rPr>
        <w:t xml:space="preserve">During the SI phase, there were some discussions on how the mini-slot should align to slot-based transmissions and whether the mini-slot may cross slot boundaries. </w:t>
      </w:r>
      <w:r w:rsidR="00AC7316" w:rsidRPr="007B5915">
        <w:rPr>
          <w:rFonts w:eastAsia="MS Mincho"/>
          <w:lang w:val="en-US" w:eastAsia="ja-JP"/>
        </w:rPr>
        <w:t>Considering</w:t>
      </w:r>
      <w:r w:rsidRPr="007B5915">
        <w:rPr>
          <w:rFonts w:eastAsia="MS Mincho"/>
          <w:lang w:val="en-US" w:eastAsia="ja-JP"/>
        </w:rPr>
        <w:t xml:space="preserve"> the SI agreements related to subframes, slots and</w:t>
      </w:r>
      <w:r w:rsidR="00AC7316" w:rsidRPr="007B5915">
        <w:rPr>
          <w:rFonts w:eastAsia="MS Mincho"/>
          <w:lang w:val="en-US" w:eastAsia="ja-JP"/>
        </w:rPr>
        <w:t xml:space="preserve"> mini-slots, this discussion may not be relevant to the mini-slot design</w:t>
      </w:r>
      <w:r w:rsidR="007F7AD2">
        <w:rPr>
          <w:rFonts w:eastAsia="MS Mincho"/>
          <w:lang w:val="en-US" w:eastAsia="ja-JP"/>
        </w:rPr>
        <w:t xml:space="preserve"> any longer</w:t>
      </w:r>
      <w:r w:rsidR="00AC7316" w:rsidRPr="007B5915">
        <w:rPr>
          <w:rFonts w:eastAsia="MS Mincho"/>
          <w:lang w:val="en-US" w:eastAsia="ja-JP"/>
        </w:rPr>
        <w:t>.</w:t>
      </w:r>
    </w:p>
    <w:p w14:paraId="46378139" w14:textId="5A3579DF" w:rsidR="00AC7316" w:rsidRPr="007B5915" w:rsidRDefault="00AC7316" w:rsidP="00AC7316">
      <w:pPr>
        <w:pStyle w:val="ListParagraph"/>
        <w:numPr>
          <w:ilvl w:val="0"/>
          <w:numId w:val="27"/>
        </w:numPr>
        <w:rPr>
          <w:rFonts w:eastAsia="MS Mincho"/>
          <w:sz w:val="20"/>
          <w:szCs w:val="20"/>
          <w:lang w:val="en-US" w:eastAsia="ja-JP"/>
        </w:rPr>
      </w:pPr>
      <w:r w:rsidRPr="007B5915">
        <w:rPr>
          <w:rFonts w:eastAsia="MS Mincho"/>
          <w:sz w:val="20"/>
          <w:szCs w:val="20"/>
          <w:lang w:val="en-US" w:eastAsia="ja-JP"/>
        </w:rPr>
        <w:t>The mini-slot transmissions exist independent of the slot transmissions, and should not be linked to imaginary slot transmissions of possibly different UEs</w:t>
      </w:r>
    </w:p>
    <w:p w14:paraId="50913D12" w14:textId="2C60CF54" w:rsidR="00AC7316" w:rsidRPr="007B5915" w:rsidRDefault="00AC7316" w:rsidP="00AC7316">
      <w:pPr>
        <w:pStyle w:val="ListParagraph"/>
        <w:numPr>
          <w:ilvl w:val="0"/>
          <w:numId w:val="27"/>
        </w:numPr>
        <w:rPr>
          <w:rFonts w:eastAsia="MS Mincho"/>
          <w:sz w:val="20"/>
          <w:szCs w:val="20"/>
          <w:lang w:val="en-US" w:eastAsia="ja-JP"/>
        </w:rPr>
      </w:pPr>
      <w:r w:rsidRPr="007B5915">
        <w:rPr>
          <w:rFonts w:eastAsia="MS Mincho"/>
          <w:sz w:val="20"/>
          <w:szCs w:val="20"/>
          <w:lang w:val="en-US" w:eastAsia="ja-JP"/>
        </w:rPr>
        <w:t>The scheduling intervals for different UEs may differ due to potentially different slot lengths, and slot aggregation</w:t>
      </w:r>
    </w:p>
    <w:p w14:paraId="08E99C5D" w14:textId="1686F529" w:rsidR="00AC7316" w:rsidRPr="007B5915" w:rsidRDefault="00AC7316" w:rsidP="00AC7316">
      <w:pPr>
        <w:pStyle w:val="ListParagraph"/>
        <w:numPr>
          <w:ilvl w:val="0"/>
          <w:numId w:val="27"/>
        </w:numPr>
        <w:rPr>
          <w:rFonts w:eastAsia="MS Mincho"/>
          <w:sz w:val="20"/>
          <w:szCs w:val="20"/>
          <w:lang w:val="en-US" w:eastAsia="ja-JP"/>
        </w:rPr>
      </w:pPr>
      <w:r w:rsidRPr="007B5915">
        <w:rPr>
          <w:rFonts w:eastAsia="MS Mincho"/>
          <w:sz w:val="20"/>
          <w:szCs w:val="20"/>
          <w:lang w:val="en-US" w:eastAsia="ja-JP"/>
        </w:rPr>
        <w:t>The common ‘tick’ for all UEs in a given cell is the subframe</w:t>
      </w:r>
    </w:p>
    <w:p w14:paraId="5277F219" w14:textId="77777777" w:rsidR="00AC7316" w:rsidRPr="007B5915" w:rsidRDefault="00AC7316" w:rsidP="00AC7316">
      <w:pPr>
        <w:pStyle w:val="ListParagraph"/>
        <w:rPr>
          <w:rFonts w:eastAsia="MS Mincho"/>
          <w:sz w:val="20"/>
          <w:szCs w:val="20"/>
          <w:lang w:val="en-US" w:eastAsia="ja-JP"/>
        </w:rPr>
      </w:pPr>
    </w:p>
    <w:p w14:paraId="36DF8FE2" w14:textId="2413A1F9" w:rsidR="001B3A8C" w:rsidRDefault="00277D3F" w:rsidP="00980A5A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K</w:t>
      </w:r>
      <w:r w:rsidR="001B3A8C">
        <w:rPr>
          <w:rFonts w:eastAsia="MS Mincho"/>
          <w:lang w:val="en-US" w:eastAsia="ja-JP"/>
        </w:rPr>
        <w:t xml:space="preserve">eeping in mind the agreements of </w:t>
      </w:r>
      <w:r w:rsidR="009F72FF">
        <w:rPr>
          <w:rFonts w:eastAsia="MS Mincho"/>
          <w:lang w:val="en-US" w:eastAsia="ja-JP"/>
        </w:rPr>
        <w:t>RAN1#</w:t>
      </w:r>
      <w:r w:rsidR="001B3A8C">
        <w:rPr>
          <w:rFonts w:eastAsia="MS Mincho"/>
          <w:lang w:val="en-US" w:eastAsia="ja-JP"/>
        </w:rPr>
        <w:t>88bis,</w:t>
      </w:r>
    </w:p>
    <w:p w14:paraId="299D1C19" w14:textId="7C9DEAA5" w:rsidR="001B3A8C" w:rsidRPr="001B3A8C" w:rsidRDefault="001B3A8C" w:rsidP="00C20C51">
      <w:pPr>
        <w:pStyle w:val="ListParagraph"/>
        <w:numPr>
          <w:ilvl w:val="0"/>
          <w:numId w:val="29"/>
        </w:numPr>
        <w:rPr>
          <w:rFonts w:eastAsia="MS Mincho"/>
          <w:i/>
          <w:lang w:val="en-US" w:eastAsia="ja-JP"/>
        </w:rPr>
      </w:pPr>
      <w:r w:rsidRPr="00C20C51">
        <w:rPr>
          <w:rFonts w:eastAsia="MS Mincho"/>
          <w:i/>
          <w:sz w:val="20"/>
          <w:szCs w:val="20"/>
          <w:lang w:val="en-US" w:eastAsia="ja-JP"/>
        </w:rPr>
        <w:t>UE can be configured to “monitor DL control channel” in terms of slot or OFDM symbol with respect to the numerology of the DL control channel</w:t>
      </w:r>
    </w:p>
    <w:p w14:paraId="4A11685F" w14:textId="4D03D7E5" w:rsidR="001B3A8C" w:rsidRPr="00C20C51" w:rsidRDefault="001B3A8C" w:rsidP="00C20C51">
      <w:pPr>
        <w:pStyle w:val="ListParagraph"/>
        <w:numPr>
          <w:ilvl w:val="0"/>
          <w:numId w:val="29"/>
        </w:numPr>
        <w:rPr>
          <w:rFonts w:eastAsia="MS Mincho"/>
          <w:lang w:val="en-US" w:eastAsia="ja-JP"/>
        </w:rPr>
      </w:pPr>
      <w:r>
        <w:rPr>
          <w:rFonts w:eastAsia="MS Mincho"/>
          <w:i/>
          <w:sz w:val="20"/>
          <w:szCs w:val="20"/>
          <w:lang w:val="en-US" w:eastAsia="ja-JP"/>
        </w:rPr>
        <w:t xml:space="preserve">Specification </w:t>
      </w:r>
      <w:r w:rsidR="00C72BFC" w:rsidRPr="00C20C51">
        <w:rPr>
          <w:rFonts w:eastAsia="MS Mincho"/>
          <w:i/>
          <w:sz w:val="20"/>
          <w:szCs w:val="20"/>
          <w:lang w:val="en-US" w:eastAsia="ja-JP"/>
        </w:rPr>
        <w:t>supports</w:t>
      </w:r>
      <w:r w:rsidR="00C72BFC" w:rsidRPr="00C20C51">
        <w:rPr>
          <w:rFonts w:eastAsia="MS Mincho"/>
          <w:sz w:val="20"/>
          <w:szCs w:val="20"/>
          <w:lang w:val="en-US" w:eastAsia="ja-JP"/>
        </w:rPr>
        <w:t xml:space="preserve"> </w:t>
      </w:r>
      <w:r w:rsidR="00C72BFC" w:rsidRPr="00C20C51">
        <w:rPr>
          <w:rFonts w:eastAsia="MS Mincho"/>
          <w:i/>
          <w:sz w:val="20"/>
          <w:szCs w:val="20"/>
          <w:lang w:val="en-US" w:eastAsia="ja-JP"/>
        </w:rPr>
        <w:t xml:space="preserve">occasion of </w:t>
      </w:r>
      <w:r w:rsidR="00C72BFC" w:rsidRPr="00C20C51">
        <w:rPr>
          <w:rFonts w:eastAsia="MS Mincho" w:hint="eastAsia"/>
          <w:i/>
          <w:sz w:val="20"/>
          <w:szCs w:val="20"/>
          <w:lang w:val="en-US" w:eastAsia="ja-JP"/>
        </w:rPr>
        <w:t>“</w:t>
      </w:r>
      <w:r w:rsidR="00C72BFC" w:rsidRPr="00C20C51">
        <w:rPr>
          <w:rFonts w:eastAsia="MS Mincho"/>
          <w:i/>
          <w:sz w:val="20"/>
          <w:szCs w:val="20"/>
          <w:lang w:val="en-US" w:eastAsia="ja-JP"/>
        </w:rPr>
        <w:t>DL control channel monitoring</w:t>
      </w:r>
      <w:r w:rsidR="00C72BFC" w:rsidRPr="00C20C51">
        <w:rPr>
          <w:rFonts w:eastAsia="MS Mincho" w:hint="eastAsia"/>
          <w:i/>
          <w:sz w:val="20"/>
          <w:szCs w:val="20"/>
          <w:lang w:val="en-US" w:eastAsia="ja-JP"/>
        </w:rPr>
        <w:t>”</w:t>
      </w:r>
      <w:r w:rsidR="00C72BFC" w:rsidRPr="00C20C51">
        <w:rPr>
          <w:rFonts w:eastAsia="MS Mincho"/>
          <w:i/>
          <w:sz w:val="20"/>
          <w:szCs w:val="20"/>
          <w:lang w:val="en-US" w:eastAsia="ja-JP"/>
        </w:rPr>
        <w:t xml:space="preserve"> per 1 symbol with respect to the numerology of the DL control channel</w:t>
      </w:r>
      <w:r w:rsidR="00C72BFC" w:rsidRPr="00C20C51">
        <w:rPr>
          <w:rFonts w:eastAsia="MS Mincho"/>
          <w:sz w:val="20"/>
          <w:szCs w:val="20"/>
          <w:lang w:val="en-US" w:eastAsia="ja-JP"/>
        </w:rPr>
        <w:t xml:space="preserve">. </w:t>
      </w:r>
    </w:p>
    <w:p w14:paraId="1FA56D2D" w14:textId="2AB56CB4" w:rsidR="00980A5A" w:rsidRPr="007B5915" w:rsidRDefault="00C20C51" w:rsidP="00C20C51">
      <w:pPr>
        <w:spacing w:before="24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980A5A" w:rsidRPr="007B5915">
        <w:rPr>
          <w:rFonts w:eastAsia="MS Mincho"/>
          <w:lang w:val="en-US" w:eastAsia="ja-JP"/>
        </w:rPr>
        <w:t xml:space="preserve">he following </w:t>
      </w:r>
      <w:r w:rsidR="001B3A8C">
        <w:rPr>
          <w:rFonts w:eastAsia="MS Mincho"/>
          <w:lang w:val="en-US" w:eastAsia="ja-JP"/>
        </w:rPr>
        <w:t xml:space="preserve">observations and </w:t>
      </w:r>
      <w:r w:rsidR="00980A5A" w:rsidRPr="007B5915">
        <w:rPr>
          <w:rFonts w:eastAsia="MS Mincho"/>
          <w:lang w:val="en-US" w:eastAsia="ja-JP"/>
        </w:rPr>
        <w:t>proposal are made:</w:t>
      </w:r>
    </w:p>
    <w:p w14:paraId="1E46B03D" w14:textId="28E7CBB0" w:rsidR="00440FBC" w:rsidRPr="007B5915" w:rsidRDefault="00440FBC" w:rsidP="00440FBC">
      <w:pPr>
        <w:spacing w:after="120"/>
        <w:jc w:val="both"/>
        <w:rPr>
          <w:i/>
        </w:rPr>
      </w:pPr>
      <w:r w:rsidRPr="007B5915">
        <w:rPr>
          <w:b/>
        </w:rPr>
        <w:t xml:space="preserve">Proposal #1: </w:t>
      </w:r>
      <w:r w:rsidR="006000A1">
        <w:rPr>
          <w:i/>
        </w:rPr>
        <w:t xml:space="preserve">Confirm the RAN1#88bis working assumption: </w:t>
      </w:r>
      <w:r w:rsidR="006000A1" w:rsidRPr="00C20C51">
        <w:rPr>
          <w:rFonts w:eastAsia="MS Mincho"/>
          <w:i/>
          <w:iCs/>
          <w:lang w:val="en-US" w:eastAsia="ja-JP"/>
        </w:rPr>
        <w:t>The structure of a data channel (PDSCH and PUSCH (if applicable)) including DMRS is independent from whether it is scheduled on resources that are preempting or not preempting another user’s data transmission</w:t>
      </w:r>
    </w:p>
    <w:p w14:paraId="14DE9511" w14:textId="38EDA107" w:rsidR="00980A5A" w:rsidRDefault="00980A5A" w:rsidP="00980A5A">
      <w:pPr>
        <w:spacing w:after="120"/>
        <w:jc w:val="both"/>
        <w:rPr>
          <w:i/>
        </w:rPr>
      </w:pPr>
      <w:r w:rsidRPr="007B5915">
        <w:rPr>
          <w:b/>
        </w:rPr>
        <w:t>Proposal #</w:t>
      </w:r>
      <w:r w:rsidR="006000A1">
        <w:rPr>
          <w:b/>
        </w:rPr>
        <w:t>2</w:t>
      </w:r>
      <w:r w:rsidRPr="007B5915">
        <w:rPr>
          <w:b/>
        </w:rPr>
        <w:t xml:space="preserve">: </w:t>
      </w:r>
      <w:r w:rsidR="009F72FF">
        <w:rPr>
          <w:i/>
        </w:rPr>
        <w:t xml:space="preserve">The </w:t>
      </w:r>
      <w:r w:rsidRPr="007B5915">
        <w:rPr>
          <w:i/>
        </w:rPr>
        <w:t>P</w:t>
      </w:r>
      <w:r w:rsidR="009F72FF">
        <w:rPr>
          <w:i/>
        </w:rPr>
        <w:t>D</w:t>
      </w:r>
      <w:r w:rsidRPr="007B5915">
        <w:rPr>
          <w:i/>
        </w:rPr>
        <w:t>CCH monitoring occasions</w:t>
      </w:r>
      <w:r w:rsidR="00277D3F">
        <w:rPr>
          <w:i/>
        </w:rPr>
        <w:t>, both in terms of slots and in terms of OFDM symbols,</w:t>
      </w:r>
      <w:r w:rsidRPr="007B5915">
        <w:rPr>
          <w:i/>
        </w:rPr>
        <w:t xml:space="preserve"> are defined relative to the </w:t>
      </w:r>
      <w:r w:rsidRPr="007B5915">
        <w:rPr>
          <w:i/>
          <w:u w:val="single"/>
        </w:rPr>
        <w:t>subframe</w:t>
      </w:r>
      <w:r w:rsidRPr="007B5915">
        <w:rPr>
          <w:i/>
        </w:rPr>
        <w:t xml:space="preserve"> boundary</w:t>
      </w:r>
    </w:p>
    <w:p w14:paraId="2425868B" w14:textId="79237372" w:rsidR="00277D3F" w:rsidRPr="0066782F" w:rsidRDefault="00277D3F" w:rsidP="00277D3F">
      <w:pPr>
        <w:spacing w:after="120"/>
        <w:jc w:val="both"/>
        <w:rPr>
          <w:i/>
        </w:rPr>
      </w:pPr>
      <w:r>
        <w:rPr>
          <w:b/>
        </w:rPr>
        <w:t xml:space="preserve">Observation: </w:t>
      </w:r>
      <w:r>
        <w:rPr>
          <w:i/>
        </w:rPr>
        <w:t>The PDCCH monitoring occasions in terms of slot can be seen to refer to slot-based scheduling, and the PDCCH monitoring occasions in terms of OFDM symbols can be seen to refer to mini-slot based scheduling</w:t>
      </w:r>
    </w:p>
    <w:p w14:paraId="562A93F3" w14:textId="77777777" w:rsidR="001B3A8C" w:rsidRPr="007B5915" w:rsidRDefault="001B3A8C" w:rsidP="00980A5A">
      <w:pPr>
        <w:spacing w:after="120"/>
        <w:jc w:val="both"/>
        <w:rPr>
          <w:i/>
        </w:rPr>
      </w:pPr>
    </w:p>
    <w:p w14:paraId="42050152" w14:textId="2FA51814" w:rsidR="00980A5A" w:rsidRPr="007B5915" w:rsidRDefault="00C20C51" w:rsidP="00980A5A">
      <w:p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In addition, we target</w:t>
      </w:r>
      <w:r>
        <w:rPr>
          <w:rFonts w:eastAsia="MS Mincho"/>
          <w:lang w:val="en-US" w:eastAsia="ja-JP"/>
        </w:rPr>
        <w:t xml:space="preserve"> an</w:t>
      </w:r>
      <w:r w:rsidR="00980A5A" w:rsidRPr="007B5915">
        <w:rPr>
          <w:rFonts w:eastAsia="MS Mincho"/>
          <w:lang w:val="en-US" w:eastAsia="ja-JP"/>
        </w:rPr>
        <w:t xml:space="preserve"> L1 design </w:t>
      </w:r>
      <w:r>
        <w:rPr>
          <w:rFonts w:eastAsia="MS Mincho"/>
          <w:lang w:val="en-US" w:eastAsia="ja-JP"/>
        </w:rPr>
        <w:t>that is</w:t>
      </w:r>
      <w:r w:rsidR="00980A5A" w:rsidRPr="007B5915">
        <w:rPr>
          <w:rFonts w:eastAsia="MS Mincho"/>
          <w:lang w:val="en-US" w:eastAsia="ja-JP"/>
        </w:rPr>
        <w:t xml:space="preserve"> agnostic to the used sub-carrier spacing, </w:t>
      </w:r>
      <w:r>
        <w:rPr>
          <w:rFonts w:eastAsia="MS Mincho"/>
          <w:lang w:val="en-US" w:eastAsia="ja-JP"/>
        </w:rPr>
        <w:t xml:space="preserve">and specifically strive for </w:t>
      </w:r>
      <w:r w:rsidR="00980A5A" w:rsidRPr="007B5915">
        <w:rPr>
          <w:rFonts w:eastAsia="MS Mincho"/>
          <w:lang w:val="en-US" w:eastAsia="ja-JP"/>
        </w:rPr>
        <w:t xml:space="preserve">the </w:t>
      </w:r>
      <w:r w:rsidR="00277D3F">
        <w:rPr>
          <w:rFonts w:eastAsia="MS Mincho"/>
          <w:lang w:val="en-US" w:eastAsia="ja-JP"/>
        </w:rPr>
        <w:t xml:space="preserve">slot and </w:t>
      </w:r>
      <w:r w:rsidR="00980A5A" w:rsidRPr="007B5915">
        <w:rPr>
          <w:rFonts w:eastAsia="MS Mincho"/>
          <w:lang w:val="en-US" w:eastAsia="ja-JP"/>
        </w:rPr>
        <w:t xml:space="preserve">mini-slot </w:t>
      </w:r>
      <w:r>
        <w:rPr>
          <w:rFonts w:eastAsia="MS Mincho"/>
          <w:lang w:val="en-US" w:eastAsia="ja-JP"/>
        </w:rPr>
        <w:t xml:space="preserve">being flavours of the </w:t>
      </w:r>
      <w:r w:rsidR="00277D3F">
        <w:rPr>
          <w:rFonts w:eastAsia="MS Mincho"/>
          <w:lang w:val="en-US" w:eastAsia="ja-JP"/>
        </w:rPr>
        <w:t xml:space="preserve">same </w:t>
      </w:r>
      <w:r w:rsidR="00FE6B7D">
        <w:rPr>
          <w:rFonts w:eastAsia="MS Mincho"/>
          <w:lang w:val="en-US" w:eastAsia="ja-JP"/>
        </w:rPr>
        <w:t xml:space="preserve">base </w:t>
      </w:r>
      <w:r>
        <w:rPr>
          <w:rFonts w:eastAsia="MS Mincho"/>
          <w:lang w:val="en-US" w:eastAsia="ja-JP"/>
        </w:rPr>
        <w:t>design as much as possible</w:t>
      </w:r>
      <w:r w:rsidR="00980A5A" w:rsidRPr="007B5915">
        <w:rPr>
          <w:rFonts w:eastAsia="MS Mincho"/>
          <w:lang w:val="en-US" w:eastAsia="ja-JP"/>
        </w:rPr>
        <w:t>.</w:t>
      </w:r>
      <w:r w:rsidR="007B5915" w:rsidRPr="007B5915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In order</w:t>
      </w:r>
      <w:r w:rsidR="007B5915" w:rsidRPr="007B5915">
        <w:rPr>
          <w:rFonts w:eastAsia="MS Mincho"/>
          <w:lang w:val="en-US" w:eastAsia="ja-JP"/>
        </w:rPr>
        <w:t xml:space="preserve"> to maintain generic </w:t>
      </w:r>
      <w:r>
        <w:rPr>
          <w:rFonts w:eastAsia="MS Mincho"/>
          <w:lang w:val="en-US" w:eastAsia="ja-JP"/>
        </w:rPr>
        <w:t>slot/</w:t>
      </w:r>
      <w:r w:rsidR="007B5915" w:rsidRPr="007B5915">
        <w:rPr>
          <w:rFonts w:eastAsia="MS Mincho"/>
          <w:lang w:val="en-US" w:eastAsia="ja-JP"/>
        </w:rPr>
        <w:t xml:space="preserve">mini-slot design, </w:t>
      </w:r>
      <w:r>
        <w:rPr>
          <w:rFonts w:eastAsia="MS Mincho"/>
          <w:lang w:val="en-US" w:eastAsia="ja-JP"/>
        </w:rPr>
        <w:t xml:space="preserve">also </w:t>
      </w:r>
      <w:r w:rsidR="007B5915" w:rsidRPr="007B5915">
        <w:rPr>
          <w:rFonts w:eastAsia="MS Mincho"/>
          <w:lang w:val="en-US" w:eastAsia="ja-JP"/>
        </w:rPr>
        <w:t>the mini-slot structure and duration should be agnostic to the starting position. Additional conditions, e.g. that a mini-slot cannot be scheduled to cross a sub-frame boundaries can be further considered, but this would be a scheduling restriction rather than mini-slot design-impacting one.</w:t>
      </w:r>
    </w:p>
    <w:p w14:paraId="204479CA" w14:textId="0F476D20" w:rsidR="00980A5A" w:rsidRPr="007B5915" w:rsidRDefault="00980A5A" w:rsidP="007B5915">
      <w:pPr>
        <w:jc w:val="both"/>
        <w:rPr>
          <w:rFonts w:eastAsia="MS Mincho"/>
          <w:lang w:val="en-US" w:eastAsia="ja-JP"/>
        </w:rPr>
      </w:pPr>
      <w:r w:rsidRPr="007B5915">
        <w:rPr>
          <w:b/>
        </w:rPr>
        <w:t>Proposal #</w:t>
      </w:r>
      <w:r w:rsidR="00277D3F">
        <w:rPr>
          <w:b/>
        </w:rPr>
        <w:t>3</w:t>
      </w:r>
      <w:r w:rsidRPr="007B5915">
        <w:t xml:space="preserve">: </w:t>
      </w:r>
      <w:r w:rsidRPr="007B5915">
        <w:rPr>
          <w:i/>
        </w:rPr>
        <w:t xml:space="preserve">The basic </w:t>
      </w:r>
      <w:r w:rsidR="00277D3F">
        <w:rPr>
          <w:i/>
        </w:rPr>
        <w:t xml:space="preserve">slot and </w:t>
      </w:r>
      <w:r w:rsidRPr="007B5915">
        <w:rPr>
          <w:i/>
        </w:rPr>
        <w:t>mini-slot design, such as length location of control and length (in terms of symbols) is agnostic to sub-carrier spacing</w:t>
      </w:r>
    </w:p>
    <w:p w14:paraId="719117E9" w14:textId="42322776" w:rsidR="007B5915" w:rsidRPr="007B5915" w:rsidRDefault="007B5915" w:rsidP="007B5915">
      <w:pPr>
        <w:jc w:val="both"/>
        <w:rPr>
          <w:i/>
        </w:rPr>
      </w:pPr>
      <w:r w:rsidRPr="007B5915">
        <w:rPr>
          <w:b/>
        </w:rPr>
        <w:t>Proposal #</w:t>
      </w:r>
      <w:r w:rsidR="00277D3F">
        <w:rPr>
          <w:b/>
        </w:rPr>
        <w:t>4</w:t>
      </w:r>
      <w:r w:rsidRPr="007B5915">
        <w:t xml:space="preserve">: </w:t>
      </w:r>
      <w:r w:rsidRPr="007B5915">
        <w:rPr>
          <w:i/>
        </w:rPr>
        <w:t xml:space="preserve">The designed mini-slot structure and possible lengths are the same regardless of the starting symbol of the mini-slot. </w:t>
      </w:r>
    </w:p>
    <w:p w14:paraId="4FAEEA79" w14:textId="6BF34A25" w:rsidR="007B5915" w:rsidRPr="007B5915" w:rsidRDefault="005901A5" w:rsidP="007B5915">
      <w:pPr>
        <w:jc w:val="both"/>
        <w:rPr>
          <w:i/>
        </w:rPr>
      </w:pPr>
      <w:r>
        <w:rPr>
          <w:b/>
        </w:rPr>
        <w:t>Observation</w:t>
      </w:r>
      <w:r w:rsidR="007B5915" w:rsidRPr="007B5915">
        <w:t xml:space="preserve">: </w:t>
      </w:r>
      <w:r>
        <w:rPr>
          <w:i/>
        </w:rPr>
        <w:t>The design principles above make it possible for the gNB scheduler to avoid mini-slot crossing the subframe boundaries, or slot boundaries of other UEs’ slot-based transmissions.</w:t>
      </w:r>
    </w:p>
    <w:p w14:paraId="2B64250D" w14:textId="77777777" w:rsidR="00980A5A" w:rsidRPr="00980A5A" w:rsidRDefault="00980A5A" w:rsidP="00B571E1">
      <w:pPr>
        <w:spacing w:after="0"/>
        <w:jc w:val="both"/>
        <w:rPr>
          <w:rFonts w:eastAsia="MS Mincho"/>
          <w:sz w:val="22"/>
          <w:szCs w:val="22"/>
          <w:lang w:val="en-US" w:eastAsia="ja-JP"/>
        </w:rPr>
      </w:pPr>
    </w:p>
    <w:p w14:paraId="07864202" w14:textId="172B5E56" w:rsidR="007B5915" w:rsidRDefault="007B5915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br w:type="page"/>
      </w:r>
    </w:p>
    <w:p w14:paraId="75CED73D" w14:textId="77777777" w:rsidR="00980A5A" w:rsidRDefault="00980A5A" w:rsidP="00B571E1">
      <w:pPr>
        <w:spacing w:after="0"/>
        <w:jc w:val="both"/>
        <w:rPr>
          <w:b/>
        </w:rPr>
      </w:pPr>
    </w:p>
    <w:p w14:paraId="0B52AF43" w14:textId="072E52CE" w:rsidR="00440FBC" w:rsidRPr="00CE42C8" w:rsidRDefault="009335D6" w:rsidP="00440FBC">
      <w:pPr>
        <w:pStyle w:val="Heading2"/>
        <w:rPr>
          <w:sz w:val="24"/>
          <w:lang w:val="en-US" w:eastAsia="ja-JP"/>
        </w:rPr>
      </w:pPr>
      <w:r>
        <w:rPr>
          <w:sz w:val="24"/>
          <w:lang w:val="en-US" w:eastAsia="ja-JP"/>
        </w:rPr>
        <w:t>2</w:t>
      </w:r>
      <w:r w:rsidR="00D20AD3" w:rsidRPr="00CE42C8">
        <w:rPr>
          <w:sz w:val="24"/>
          <w:lang w:val="en-US" w:eastAsia="ja-JP"/>
        </w:rPr>
        <w:t>.</w:t>
      </w:r>
      <w:r w:rsidR="007B5915">
        <w:rPr>
          <w:sz w:val="24"/>
          <w:lang w:val="en-US" w:eastAsia="ja-JP"/>
        </w:rPr>
        <w:t>2</w:t>
      </w:r>
      <w:r w:rsidR="00D20AD3" w:rsidRPr="00CE42C8">
        <w:rPr>
          <w:sz w:val="24"/>
          <w:lang w:val="en-US" w:eastAsia="ja-JP"/>
        </w:rPr>
        <w:tab/>
      </w:r>
      <w:r w:rsidR="00440FBC" w:rsidRPr="00CE42C8">
        <w:rPr>
          <w:sz w:val="24"/>
          <w:lang w:val="en-US" w:eastAsia="ja-JP"/>
        </w:rPr>
        <w:t>Mini-slot support in TDD</w:t>
      </w:r>
    </w:p>
    <w:p w14:paraId="7E1A6232" w14:textId="5920FEA3" w:rsidR="00A15C9C" w:rsidRPr="007B5915" w:rsidRDefault="00DC4ACD" w:rsidP="00DC4ACD">
      <w:pPr>
        <w:spacing w:after="120"/>
        <w:jc w:val="both"/>
        <w:rPr>
          <w:rFonts w:eastAsia="MS Mincho"/>
          <w:lang w:val="en-US" w:eastAsia="ja-JP"/>
        </w:rPr>
      </w:pPr>
      <w:r w:rsidRPr="007B5915">
        <w:rPr>
          <w:rFonts w:eastAsia="MS Mincho"/>
          <w:lang w:val="en-US" w:eastAsia="ja-JP"/>
        </w:rPr>
        <w:t>Link direction switching</w:t>
      </w:r>
      <w:r w:rsidR="009C3C7F" w:rsidRPr="007B5915">
        <w:rPr>
          <w:rFonts w:eastAsia="MS Mincho"/>
          <w:lang w:val="en-US" w:eastAsia="ja-JP"/>
        </w:rPr>
        <w:t xml:space="preserve"> in TDD mode </w:t>
      </w:r>
      <w:r w:rsidR="000E02B7" w:rsidRPr="007B5915">
        <w:rPr>
          <w:rFonts w:eastAsia="MS Mincho"/>
          <w:lang w:val="en-US" w:eastAsia="ja-JP"/>
        </w:rPr>
        <w:t>can be</w:t>
      </w:r>
      <w:r w:rsidRPr="007B5915">
        <w:rPr>
          <w:rFonts w:eastAsia="MS Mincho"/>
          <w:lang w:val="en-US" w:eastAsia="ja-JP"/>
        </w:rPr>
        <w:t xml:space="preserve"> </w:t>
      </w:r>
      <w:r w:rsidR="009C3C7F" w:rsidRPr="007B5915">
        <w:rPr>
          <w:rFonts w:eastAsia="MS Mincho"/>
          <w:lang w:val="en-US" w:eastAsia="ja-JP"/>
        </w:rPr>
        <w:t xml:space="preserve">facilitated </w:t>
      </w:r>
      <w:r w:rsidRPr="007B5915">
        <w:rPr>
          <w:rFonts w:eastAsia="MS Mincho"/>
          <w:lang w:val="en-US" w:eastAsia="ja-JP"/>
        </w:rPr>
        <w:t xml:space="preserve">by means </w:t>
      </w:r>
      <w:r w:rsidR="009C3C7F" w:rsidRPr="007B5915">
        <w:rPr>
          <w:rFonts w:eastAsia="MS Mincho"/>
          <w:lang w:val="en-US" w:eastAsia="ja-JP"/>
        </w:rPr>
        <w:t>of</w:t>
      </w:r>
      <w:r w:rsidRPr="007B5915">
        <w:rPr>
          <w:rFonts w:eastAsia="MS Mincho"/>
          <w:lang w:val="en-US" w:eastAsia="ja-JP"/>
        </w:rPr>
        <w:t xml:space="preserve"> bi-directional </w:t>
      </w:r>
      <w:r w:rsidR="00A15C9C" w:rsidRPr="007B5915">
        <w:rPr>
          <w:rFonts w:eastAsia="MS Mincho"/>
          <w:lang w:val="en-US" w:eastAsia="ja-JP"/>
        </w:rPr>
        <w:t>slots. Half-duplex constraint w</w:t>
      </w:r>
      <w:r w:rsidR="0064465A" w:rsidRPr="007B5915">
        <w:rPr>
          <w:rFonts w:eastAsia="MS Mincho"/>
          <w:lang w:val="en-US" w:eastAsia="ja-JP"/>
        </w:rPr>
        <w:t xml:space="preserve">ill set boundary conditions for </w:t>
      </w:r>
      <w:r w:rsidR="00A15C9C" w:rsidRPr="007B5915">
        <w:rPr>
          <w:rFonts w:eastAsia="MS Mincho"/>
          <w:lang w:val="en-US" w:eastAsia="ja-JP"/>
        </w:rPr>
        <w:t>mini-slot allocation</w:t>
      </w:r>
      <w:r w:rsidR="0064465A" w:rsidRPr="007B5915">
        <w:rPr>
          <w:rFonts w:eastAsia="MS Mincho"/>
          <w:lang w:val="en-US" w:eastAsia="ja-JP"/>
        </w:rPr>
        <w:t>s</w:t>
      </w:r>
      <w:r w:rsidR="00A15C9C" w:rsidRPr="007B5915">
        <w:rPr>
          <w:rFonts w:eastAsia="MS Mincho"/>
          <w:lang w:val="en-US" w:eastAsia="ja-JP"/>
        </w:rPr>
        <w:t xml:space="preserve"> in TDD. </w:t>
      </w:r>
      <w:r w:rsidR="005A0865" w:rsidRPr="007B5915">
        <w:rPr>
          <w:rFonts w:eastAsia="MS Mincho"/>
          <w:lang w:val="en-US" w:eastAsia="ja-JP"/>
        </w:rPr>
        <w:t xml:space="preserve">This means that when a regular slot is in DL phase, also mini-slot needs be in the DL phase, and when regular slot is in UL phase, mini-slot needs to be in UL phase, respectively. </w:t>
      </w:r>
      <w:r w:rsidR="00642619" w:rsidRPr="007B5915">
        <w:rPr>
          <w:rFonts w:eastAsia="MS Mincho"/>
          <w:lang w:val="en-US" w:eastAsia="ja-JP"/>
        </w:rPr>
        <w:t xml:space="preserve">This principle is shown in Figure </w:t>
      </w:r>
      <w:r w:rsidR="007B5915">
        <w:rPr>
          <w:rFonts w:eastAsia="MS Mincho"/>
          <w:lang w:val="en-US" w:eastAsia="ja-JP"/>
        </w:rPr>
        <w:t>1</w:t>
      </w:r>
      <w:r w:rsidR="00642619" w:rsidRPr="007B5915">
        <w:rPr>
          <w:rFonts w:eastAsia="MS Mincho"/>
          <w:lang w:val="en-US" w:eastAsia="ja-JP"/>
        </w:rPr>
        <w:t xml:space="preserve">. Based on that, there </w:t>
      </w:r>
      <w:r w:rsidR="005A0865" w:rsidRPr="007B5915">
        <w:rPr>
          <w:rFonts w:eastAsia="MS Mincho"/>
          <w:lang w:val="en-US" w:eastAsia="ja-JP"/>
        </w:rPr>
        <w:t>seems</w:t>
      </w:r>
      <w:r w:rsidR="00642619" w:rsidRPr="007B5915">
        <w:rPr>
          <w:rFonts w:eastAsia="MS Mincho"/>
          <w:lang w:val="en-US" w:eastAsia="ja-JP"/>
        </w:rPr>
        <w:t xml:space="preserve"> to be no need for bi-directional mini-slot containing both DL and UL. This approach will also maximize the commonalities for mini-slot design between TDD and FDD. </w:t>
      </w:r>
    </w:p>
    <w:p w14:paraId="55361598" w14:textId="04ADCBD7" w:rsidR="00752002" w:rsidRPr="007B5915" w:rsidRDefault="00752002" w:rsidP="00DC4ACD">
      <w:pPr>
        <w:spacing w:after="120"/>
        <w:jc w:val="both"/>
        <w:rPr>
          <w:rFonts w:eastAsia="MS Mincho"/>
          <w:lang w:val="en-US" w:eastAsia="ja-JP"/>
        </w:rPr>
      </w:pPr>
      <w:r w:rsidRPr="007B5915">
        <w:rPr>
          <w:rFonts w:eastAsia="MS Mincho"/>
          <w:lang w:val="en-US" w:eastAsia="ja-JP"/>
        </w:rPr>
        <w:t xml:space="preserve">In addition, the duration of mini-slots would be fairly short. Supporting DL-UL switching </w:t>
      </w:r>
      <w:r w:rsidR="00BE7288" w:rsidRPr="007B5915">
        <w:rPr>
          <w:rFonts w:eastAsia="MS Mincho"/>
          <w:lang w:val="en-US" w:eastAsia="ja-JP"/>
        </w:rPr>
        <w:t xml:space="preserve">within a </w:t>
      </w:r>
      <w:r w:rsidR="00860732" w:rsidRPr="007B5915">
        <w:rPr>
          <w:rFonts w:eastAsia="MS Mincho"/>
          <w:lang w:val="en-US" w:eastAsia="ja-JP"/>
        </w:rPr>
        <w:t>mini</w:t>
      </w:r>
      <w:r w:rsidR="00BE7288" w:rsidRPr="007B5915">
        <w:rPr>
          <w:rFonts w:eastAsia="MS Mincho"/>
          <w:lang w:val="en-US" w:eastAsia="ja-JP"/>
        </w:rPr>
        <w:t xml:space="preserve">-slot </w:t>
      </w:r>
      <w:r w:rsidRPr="007B5915">
        <w:rPr>
          <w:rFonts w:eastAsia="MS Mincho"/>
          <w:lang w:val="en-US" w:eastAsia="ja-JP"/>
        </w:rPr>
        <w:t>would result in additional non-negligible overhead</w:t>
      </w:r>
      <w:r w:rsidR="007B5915">
        <w:rPr>
          <w:rFonts w:eastAsia="MS Mincho"/>
          <w:lang w:val="en-US" w:eastAsia="ja-JP"/>
        </w:rPr>
        <w:t xml:space="preserve"> and could lead to unreasonable DL-UL switching rate requirements for the UE</w:t>
      </w:r>
      <w:r w:rsidRPr="007B5915">
        <w:rPr>
          <w:rFonts w:eastAsia="MS Mincho"/>
          <w:lang w:val="en-US" w:eastAsia="ja-JP"/>
        </w:rPr>
        <w:t>.</w:t>
      </w:r>
    </w:p>
    <w:p w14:paraId="40B70576" w14:textId="77777777" w:rsidR="006E31A7" w:rsidRPr="007B5915" w:rsidRDefault="006E31A7" w:rsidP="00DC4ACD">
      <w:pPr>
        <w:spacing w:after="120"/>
        <w:jc w:val="both"/>
        <w:rPr>
          <w:rFonts w:eastAsia="MS Mincho"/>
          <w:lang w:eastAsia="ja-JP"/>
        </w:rPr>
      </w:pPr>
    </w:p>
    <w:p w14:paraId="16E744C2" w14:textId="1920B49C" w:rsidR="00C957F4" w:rsidRPr="007B5915" w:rsidRDefault="00C957F4" w:rsidP="00C957F4">
      <w:pPr>
        <w:spacing w:after="120"/>
        <w:jc w:val="both"/>
        <w:rPr>
          <w:i/>
        </w:rPr>
      </w:pPr>
      <w:r w:rsidRPr="007B5915">
        <w:rPr>
          <w:b/>
        </w:rPr>
        <w:t>Proposal #</w:t>
      </w:r>
      <w:r w:rsidR="00277D3F">
        <w:rPr>
          <w:b/>
        </w:rPr>
        <w:t>5</w:t>
      </w:r>
      <w:r w:rsidRPr="007B5915">
        <w:t xml:space="preserve">: </w:t>
      </w:r>
      <w:r w:rsidRPr="007B5915">
        <w:rPr>
          <w:i/>
        </w:rPr>
        <w:t>Mini-slot supports only one link direction</w:t>
      </w:r>
      <w:r w:rsidR="001413DC" w:rsidRPr="007B5915">
        <w:rPr>
          <w:i/>
        </w:rPr>
        <w:t>.</w:t>
      </w:r>
      <w:r w:rsidRPr="007B5915">
        <w:rPr>
          <w:i/>
        </w:rPr>
        <w:t xml:space="preserve">  </w:t>
      </w:r>
    </w:p>
    <w:p w14:paraId="41458677" w14:textId="77777777" w:rsidR="005A0865" w:rsidRDefault="005A0865" w:rsidP="00C957F4">
      <w:pPr>
        <w:spacing w:after="120"/>
        <w:jc w:val="both"/>
        <w:rPr>
          <w:i/>
        </w:rPr>
      </w:pPr>
    </w:p>
    <w:p w14:paraId="234461B8" w14:textId="77777777" w:rsidR="001B5AB7" w:rsidRDefault="001B5AB7" w:rsidP="00836FE9">
      <w:pPr>
        <w:spacing w:after="120"/>
        <w:jc w:val="center"/>
        <w:rPr>
          <w:bCs/>
        </w:rPr>
      </w:pPr>
      <w:r>
        <w:rPr>
          <w:noProof/>
          <w:lang w:val="en-US"/>
        </w:rPr>
        <w:drawing>
          <wp:inline distT="0" distB="0" distL="0" distR="0" wp14:anchorId="1BAC8D74" wp14:editId="45BB4ACC">
            <wp:extent cx="3574304" cy="1369397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635" cy="1373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58532" w14:textId="5974398A" w:rsidR="005A0865" w:rsidRPr="00334CDE" w:rsidRDefault="005A0865" w:rsidP="008D02BC">
      <w:pPr>
        <w:pStyle w:val="Caption"/>
        <w:jc w:val="center"/>
        <w:rPr>
          <w:rFonts w:eastAsia="MS Mincho"/>
          <w:lang w:val="en-US" w:eastAsia="ja-JP"/>
        </w:rPr>
      </w:pPr>
      <w:r>
        <w:t xml:space="preserve">Figure </w:t>
      </w:r>
      <w:r w:rsidR="007B5915">
        <w:t>1</w:t>
      </w:r>
      <w:r w:rsidRPr="00334CDE">
        <w:rPr>
          <w:lang w:val="en-US"/>
        </w:rPr>
        <w:t xml:space="preserve">. </w:t>
      </w:r>
      <w:r w:rsidR="00642619">
        <w:rPr>
          <w:lang w:val="en-US"/>
        </w:rPr>
        <w:t>Mini-slot operation following half-duplex constraint.</w:t>
      </w:r>
    </w:p>
    <w:p w14:paraId="4A06725C" w14:textId="1CBA733D" w:rsidR="0034111C" w:rsidRPr="00A51522" w:rsidRDefault="009335D6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45E10EE" w14:textId="6776FAE5" w:rsidR="00B07E52" w:rsidRDefault="003D3FBA" w:rsidP="00496E75">
      <w:pPr>
        <w:jc w:val="both"/>
      </w:pPr>
      <w:r w:rsidRPr="00A51522">
        <w:t xml:space="preserve">In this contribution we have discussed </w:t>
      </w:r>
      <w:r w:rsidR="00C01DD5">
        <w:rPr>
          <w:bCs/>
        </w:rPr>
        <w:t>the</w:t>
      </w:r>
      <w:r w:rsidR="00277D3F">
        <w:rPr>
          <w:bCs/>
        </w:rPr>
        <w:t xml:space="preserve"> slot and</w:t>
      </w:r>
      <w:r w:rsidR="00C01DD5">
        <w:rPr>
          <w:bCs/>
        </w:rPr>
        <w:t xml:space="preserve"> mini-slot design </w:t>
      </w:r>
      <w:r w:rsidR="009335D6">
        <w:rPr>
          <w:bCs/>
        </w:rPr>
        <w:t>aspects in the new radio</w:t>
      </w:r>
      <w:r w:rsidR="00B07E52" w:rsidRPr="00B07E52">
        <w:t>.</w:t>
      </w:r>
      <w:r w:rsidR="00B07E52">
        <w:t xml:space="preserve"> Based on the discussion, we make the following proposals</w:t>
      </w:r>
      <w:r w:rsidR="00277D3F">
        <w:t xml:space="preserve"> and observations</w:t>
      </w:r>
      <w:r w:rsidR="00B07E52">
        <w:t>:</w:t>
      </w:r>
    </w:p>
    <w:p w14:paraId="0DB4062F" w14:textId="77777777" w:rsidR="00277D3F" w:rsidRPr="007B5915" w:rsidRDefault="00277D3F" w:rsidP="00277D3F">
      <w:pPr>
        <w:spacing w:after="120"/>
        <w:jc w:val="both"/>
        <w:rPr>
          <w:i/>
        </w:rPr>
      </w:pPr>
      <w:r w:rsidRPr="007B5915">
        <w:rPr>
          <w:b/>
        </w:rPr>
        <w:t xml:space="preserve">Proposal #1: </w:t>
      </w:r>
      <w:r>
        <w:rPr>
          <w:i/>
        </w:rPr>
        <w:t xml:space="preserve">Confirm the RAN1#88bis working assumption: </w:t>
      </w:r>
      <w:r w:rsidRPr="0066782F">
        <w:rPr>
          <w:rFonts w:eastAsia="MS Mincho"/>
          <w:i/>
          <w:iCs/>
          <w:lang w:val="en-US" w:eastAsia="ja-JP"/>
        </w:rPr>
        <w:t>The structure of a data channel (PDSCH and PUSCH (if applicable)) including DMRS is independent from whether it is scheduled on resources that are preempting or not preempting another user’s data transmission</w:t>
      </w:r>
    </w:p>
    <w:p w14:paraId="4E5DFC22" w14:textId="77777777" w:rsidR="00277D3F" w:rsidRDefault="00277D3F" w:rsidP="00277D3F">
      <w:pPr>
        <w:spacing w:after="120"/>
        <w:jc w:val="both"/>
        <w:rPr>
          <w:i/>
        </w:rPr>
      </w:pPr>
      <w:r w:rsidRPr="007B5915">
        <w:rPr>
          <w:b/>
        </w:rPr>
        <w:t>Proposal #</w:t>
      </w:r>
      <w:r>
        <w:rPr>
          <w:b/>
        </w:rPr>
        <w:t>2</w:t>
      </w:r>
      <w:r w:rsidRPr="007B5915">
        <w:rPr>
          <w:b/>
        </w:rPr>
        <w:t xml:space="preserve">: </w:t>
      </w:r>
      <w:r>
        <w:rPr>
          <w:i/>
        </w:rPr>
        <w:t xml:space="preserve">The </w:t>
      </w:r>
      <w:r w:rsidRPr="007B5915">
        <w:rPr>
          <w:i/>
        </w:rPr>
        <w:t>P</w:t>
      </w:r>
      <w:r>
        <w:rPr>
          <w:i/>
        </w:rPr>
        <w:t>D</w:t>
      </w:r>
      <w:r w:rsidRPr="007B5915">
        <w:rPr>
          <w:i/>
        </w:rPr>
        <w:t>CCH monitoring occasions</w:t>
      </w:r>
      <w:r>
        <w:rPr>
          <w:i/>
        </w:rPr>
        <w:t>, both in terms of slots and in terms of OFDM symbols,</w:t>
      </w:r>
      <w:r w:rsidRPr="007B5915">
        <w:rPr>
          <w:i/>
        </w:rPr>
        <w:t xml:space="preserve"> are defined relative to the </w:t>
      </w:r>
      <w:r w:rsidRPr="007B5915">
        <w:rPr>
          <w:i/>
          <w:u w:val="single"/>
        </w:rPr>
        <w:t>subframe</w:t>
      </w:r>
      <w:r w:rsidRPr="007B5915">
        <w:rPr>
          <w:i/>
        </w:rPr>
        <w:t xml:space="preserve"> boundary</w:t>
      </w:r>
    </w:p>
    <w:p w14:paraId="069E9400" w14:textId="77777777" w:rsidR="00277D3F" w:rsidRPr="0066782F" w:rsidRDefault="00277D3F" w:rsidP="00277D3F">
      <w:pPr>
        <w:spacing w:after="120"/>
        <w:jc w:val="both"/>
        <w:rPr>
          <w:i/>
        </w:rPr>
      </w:pPr>
      <w:r>
        <w:rPr>
          <w:b/>
        </w:rPr>
        <w:t xml:space="preserve">Observation: </w:t>
      </w:r>
      <w:r>
        <w:rPr>
          <w:i/>
        </w:rPr>
        <w:t>The PDCCH monitoring occasions in terms of slot can be seen to refer to slot-based scheduling, and the PDCCH monitoring occasions in terms of OFDM symbols can be seen to refer to mini-slot based scheduling</w:t>
      </w:r>
    </w:p>
    <w:p w14:paraId="1D986431" w14:textId="77777777" w:rsidR="00277D3F" w:rsidRPr="007B5915" w:rsidRDefault="00277D3F" w:rsidP="00277D3F">
      <w:pPr>
        <w:jc w:val="both"/>
        <w:rPr>
          <w:rFonts w:eastAsia="MS Mincho"/>
          <w:lang w:val="en-US" w:eastAsia="ja-JP"/>
        </w:rPr>
      </w:pPr>
      <w:r w:rsidRPr="007B5915">
        <w:rPr>
          <w:b/>
        </w:rPr>
        <w:t>Proposal #</w:t>
      </w:r>
      <w:r>
        <w:rPr>
          <w:b/>
        </w:rPr>
        <w:t>3</w:t>
      </w:r>
      <w:r w:rsidRPr="007B5915">
        <w:t xml:space="preserve">: </w:t>
      </w:r>
      <w:r w:rsidRPr="007B5915">
        <w:rPr>
          <w:i/>
        </w:rPr>
        <w:t xml:space="preserve">The basic </w:t>
      </w:r>
      <w:r>
        <w:rPr>
          <w:i/>
        </w:rPr>
        <w:t xml:space="preserve">slot and </w:t>
      </w:r>
      <w:r w:rsidRPr="007B5915">
        <w:rPr>
          <w:i/>
        </w:rPr>
        <w:t>mini-slot design, such as length location of control and length (in terms of symbols) is agnostic to sub-carrier spacing</w:t>
      </w:r>
    </w:p>
    <w:p w14:paraId="7A488051" w14:textId="77777777" w:rsidR="00277D3F" w:rsidRPr="007B5915" w:rsidRDefault="00277D3F" w:rsidP="00277D3F">
      <w:pPr>
        <w:jc w:val="both"/>
        <w:rPr>
          <w:i/>
        </w:rPr>
      </w:pPr>
      <w:r w:rsidRPr="007B5915">
        <w:rPr>
          <w:b/>
        </w:rPr>
        <w:t>Proposal #</w:t>
      </w:r>
      <w:r>
        <w:rPr>
          <w:b/>
        </w:rPr>
        <w:t>4</w:t>
      </w:r>
      <w:r w:rsidRPr="007B5915">
        <w:t xml:space="preserve">: </w:t>
      </w:r>
      <w:r w:rsidRPr="007B5915">
        <w:rPr>
          <w:i/>
        </w:rPr>
        <w:t xml:space="preserve">The designed mini-slot structure and possible lengths are the same regardless of the starting symbol of the mini-slot. </w:t>
      </w:r>
    </w:p>
    <w:p w14:paraId="4A6F9F6F" w14:textId="77777777" w:rsidR="00277D3F" w:rsidRPr="007B5915" w:rsidRDefault="00277D3F" w:rsidP="00277D3F">
      <w:pPr>
        <w:jc w:val="both"/>
        <w:rPr>
          <w:i/>
        </w:rPr>
      </w:pPr>
      <w:r>
        <w:rPr>
          <w:b/>
        </w:rPr>
        <w:t>Observation</w:t>
      </w:r>
      <w:r w:rsidRPr="007B5915">
        <w:t xml:space="preserve">: </w:t>
      </w:r>
      <w:r>
        <w:rPr>
          <w:i/>
        </w:rPr>
        <w:t>The design principles above make it possible for the gNB scheduler to avoid mini-slot crossing the subframe boundaries, or slot boundaries of other UEs’ slot-based transmissions.</w:t>
      </w:r>
    </w:p>
    <w:p w14:paraId="44537795" w14:textId="607F14D6" w:rsidR="005901A5" w:rsidRPr="005901A5" w:rsidRDefault="00277D3F" w:rsidP="005901A5">
      <w:pPr>
        <w:spacing w:after="120"/>
        <w:jc w:val="both"/>
        <w:rPr>
          <w:i/>
        </w:rPr>
      </w:pPr>
      <w:r w:rsidRPr="007B5915">
        <w:rPr>
          <w:b/>
        </w:rPr>
        <w:t>Proposal #</w:t>
      </w:r>
      <w:r>
        <w:rPr>
          <w:b/>
        </w:rPr>
        <w:t>5</w:t>
      </w:r>
      <w:r w:rsidRPr="007B5915">
        <w:t xml:space="preserve">: </w:t>
      </w:r>
      <w:r w:rsidRPr="007B5915">
        <w:rPr>
          <w:i/>
        </w:rPr>
        <w:t xml:space="preserve">Mini-slot supports only one link direction.  </w:t>
      </w:r>
    </w:p>
    <w:p w14:paraId="068CBB2A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5FF4FBD2" w14:textId="108335F5" w:rsidR="00055676" w:rsidRPr="00013455" w:rsidRDefault="00055676" w:rsidP="00612825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612825">
        <w:rPr>
          <w:sz w:val="18"/>
          <w:lang w:eastAsia="zh-CN"/>
        </w:rPr>
        <w:t>70855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612825" w:rsidRPr="00612825">
        <w:rPr>
          <w:i/>
          <w:sz w:val="18"/>
          <w:lang w:eastAsia="zh-CN"/>
        </w:rPr>
        <w:t>New WID</w:t>
      </w:r>
      <w:r w:rsidR="00612825">
        <w:rPr>
          <w:i/>
          <w:sz w:val="18"/>
          <w:lang w:eastAsia="zh-CN"/>
        </w:rPr>
        <w:t xml:space="preserve"> on New Radio Access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7165820C" w14:textId="2507BB07" w:rsidR="009335D6" w:rsidRDefault="00F12EB4" w:rsidP="007B5915">
      <w:pPr>
        <w:numPr>
          <w:ilvl w:val="0"/>
          <w:numId w:val="1"/>
        </w:numPr>
        <w:rPr>
          <w:sz w:val="18"/>
        </w:rPr>
      </w:pPr>
      <w:r>
        <w:rPr>
          <w:sz w:val="18"/>
        </w:rPr>
        <w:t>3GPP TR38.912</w:t>
      </w:r>
      <w:r w:rsidR="00612825">
        <w:rPr>
          <w:sz w:val="18"/>
        </w:rPr>
        <w:t>,</w:t>
      </w:r>
      <w:r w:rsidR="00612825" w:rsidRPr="00612825">
        <w:rPr>
          <w:sz w:val="18"/>
        </w:rPr>
        <w:t xml:space="preserve"> </w:t>
      </w:r>
      <w:r w:rsidR="00612825">
        <w:rPr>
          <w:sz w:val="18"/>
        </w:rPr>
        <w:t>“</w:t>
      </w:r>
      <w:r w:rsidR="00612825" w:rsidRPr="00612825">
        <w:rPr>
          <w:i/>
          <w:sz w:val="18"/>
        </w:rPr>
        <w:t>Study on New Radio (NR) Access Tec</w:t>
      </w:r>
      <w:r>
        <w:rPr>
          <w:i/>
          <w:sz w:val="18"/>
        </w:rPr>
        <w:t>hnology</w:t>
      </w:r>
      <w:r w:rsidR="00612825">
        <w:rPr>
          <w:sz w:val="18"/>
        </w:rPr>
        <w:t>”</w:t>
      </w:r>
      <w:r>
        <w:rPr>
          <w:sz w:val="18"/>
        </w:rPr>
        <w:t xml:space="preserve"> V1</w:t>
      </w:r>
      <w:r w:rsidR="00612825" w:rsidRPr="00612825">
        <w:rPr>
          <w:sz w:val="18"/>
        </w:rPr>
        <w:t>.0.0</w:t>
      </w:r>
    </w:p>
    <w:p w14:paraId="349EB098" w14:textId="1D525CCA" w:rsidR="00242EC5" w:rsidRPr="007B5915" w:rsidRDefault="00242EC5" w:rsidP="00242EC5">
      <w:pPr>
        <w:numPr>
          <w:ilvl w:val="0"/>
          <w:numId w:val="1"/>
        </w:numPr>
        <w:rPr>
          <w:sz w:val="18"/>
        </w:rPr>
      </w:pPr>
      <w:r w:rsidRPr="00242EC5">
        <w:rPr>
          <w:sz w:val="18"/>
        </w:rPr>
        <w:t>R1-1705465</w:t>
      </w:r>
      <w:r>
        <w:rPr>
          <w:sz w:val="18"/>
        </w:rPr>
        <w:t>, “</w:t>
      </w:r>
      <w:r w:rsidRPr="00242EC5">
        <w:rPr>
          <w:i/>
          <w:sz w:val="18"/>
        </w:rPr>
        <w:t>Mini-slot design considerations</w:t>
      </w:r>
      <w:r>
        <w:rPr>
          <w:sz w:val="18"/>
        </w:rPr>
        <w:t xml:space="preserve">”, </w:t>
      </w:r>
      <w:r w:rsidRPr="00242EC5">
        <w:rPr>
          <w:sz w:val="18"/>
        </w:rPr>
        <w:t>ZTE, ZTE Microelectronics, Ericsson, Nokia, Qualcomm</w:t>
      </w:r>
    </w:p>
    <w:p w14:paraId="5E3AFAB9" w14:textId="77777777" w:rsidR="009335D6" w:rsidRDefault="009335D6" w:rsidP="009335D6">
      <w:pPr>
        <w:pStyle w:val="ListParagraph"/>
        <w:ind w:left="357"/>
        <w:rPr>
          <w:sz w:val="18"/>
          <w:szCs w:val="20"/>
          <w:lang w:val="en-US" w:eastAsia="en-US"/>
        </w:rPr>
      </w:pPr>
    </w:p>
    <w:p w14:paraId="24191B2C" w14:textId="77777777" w:rsidR="00440FBC" w:rsidRPr="00565D8C" w:rsidRDefault="00440FBC" w:rsidP="00565D8C">
      <w:pPr>
        <w:rPr>
          <w:sz w:val="18"/>
          <w:lang w:val="en-US"/>
        </w:rPr>
      </w:pPr>
    </w:p>
    <w:sectPr w:rsidR="00440FBC" w:rsidRPr="00565D8C" w:rsidSect="00F12EB4">
      <w:footnotePr>
        <w:numRestart w:val="eachSect"/>
      </w:footnotePr>
      <w:pgSz w:w="11907" w:h="16840" w:code="9"/>
      <w:pgMar w:top="1134" w:right="1134" w:bottom="993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A6B18" w14:textId="77777777" w:rsidR="00C36109" w:rsidRDefault="00C36109">
      <w:r>
        <w:separator/>
      </w:r>
    </w:p>
  </w:endnote>
  <w:endnote w:type="continuationSeparator" w:id="0">
    <w:p w14:paraId="62BB5491" w14:textId="77777777" w:rsidR="00C36109" w:rsidRDefault="00C36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24BAA" w14:textId="77777777" w:rsidR="00C36109" w:rsidRDefault="00C36109">
      <w:r>
        <w:separator/>
      </w:r>
    </w:p>
  </w:footnote>
  <w:footnote w:type="continuationSeparator" w:id="0">
    <w:p w14:paraId="590D16F6" w14:textId="77777777" w:rsidR="00C36109" w:rsidRDefault="00C36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8C0C8A"/>
    <w:multiLevelType w:val="hybridMultilevel"/>
    <w:tmpl w:val="8820A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D36EE"/>
    <w:multiLevelType w:val="hybridMultilevel"/>
    <w:tmpl w:val="46BC0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3C5213"/>
    <w:multiLevelType w:val="multilevel"/>
    <w:tmpl w:val="B442D9B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5" w15:restartNumberingAfterBreak="0">
    <w:nsid w:val="132B0465"/>
    <w:multiLevelType w:val="multilevel"/>
    <w:tmpl w:val="66A8B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C34F1A"/>
    <w:multiLevelType w:val="hybridMultilevel"/>
    <w:tmpl w:val="B7EEA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027C6"/>
    <w:multiLevelType w:val="hybridMultilevel"/>
    <w:tmpl w:val="400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7361D"/>
    <w:multiLevelType w:val="hybridMultilevel"/>
    <w:tmpl w:val="6BF89AD4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8790A"/>
    <w:multiLevelType w:val="hybridMultilevel"/>
    <w:tmpl w:val="A372FC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8C4CA6"/>
    <w:multiLevelType w:val="hybridMultilevel"/>
    <w:tmpl w:val="236A0E68"/>
    <w:lvl w:ilvl="0" w:tplc="1DB2A7F4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F06A9B3C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01F80496">
      <w:start w:val="3"/>
      <w:numFmt w:val="bullet"/>
      <w:lvlText w:val="-"/>
      <w:lvlJc w:val="left"/>
      <w:pPr>
        <w:ind w:left="4528" w:hanging="360"/>
      </w:pPr>
      <w:rPr>
        <w:rFonts w:ascii="Times New Roman" w:eastAsia="SimSun" w:hAnsi="Times New Roman" w:cs="Times New Roman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E3A9E"/>
    <w:multiLevelType w:val="hybridMultilevel"/>
    <w:tmpl w:val="F5A458D6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202EAC"/>
    <w:multiLevelType w:val="multilevel"/>
    <w:tmpl w:val="97064C8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20" w15:restartNumberingAfterBreak="0">
    <w:nsid w:val="471F36B1"/>
    <w:multiLevelType w:val="hybridMultilevel"/>
    <w:tmpl w:val="BF2A397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E57F3"/>
    <w:multiLevelType w:val="hybridMultilevel"/>
    <w:tmpl w:val="9120D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31CE7"/>
    <w:multiLevelType w:val="hybridMultilevel"/>
    <w:tmpl w:val="FBC66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6E6951"/>
    <w:multiLevelType w:val="hybridMultilevel"/>
    <w:tmpl w:val="26AE609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E07049"/>
    <w:multiLevelType w:val="hybridMultilevel"/>
    <w:tmpl w:val="F6AA7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C52F0"/>
    <w:multiLevelType w:val="hybridMultilevel"/>
    <w:tmpl w:val="FED00170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7" w15:restartNumberingAfterBreak="0">
    <w:nsid w:val="76712E8F"/>
    <w:multiLevelType w:val="hybridMultilevel"/>
    <w:tmpl w:val="70AAB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9B67F73"/>
    <w:multiLevelType w:val="hybridMultilevel"/>
    <w:tmpl w:val="2C1EE2D0"/>
    <w:lvl w:ilvl="0" w:tplc="71D6B13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26"/>
  </w:num>
  <w:num w:numId="5">
    <w:abstractNumId w:val="1"/>
  </w:num>
  <w:num w:numId="6">
    <w:abstractNumId w:val="25"/>
  </w:num>
  <w:num w:numId="7">
    <w:abstractNumId w:val="22"/>
  </w:num>
  <w:num w:numId="8">
    <w:abstractNumId w:val="20"/>
  </w:num>
  <w:num w:numId="9">
    <w:abstractNumId w:val="27"/>
  </w:num>
  <w:num w:numId="10">
    <w:abstractNumId w:val="9"/>
  </w:num>
  <w:num w:numId="11">
    <w:abstractNumId w:val="24"/>
  </w:num>
  <w:num w:numId="12">
    <w:abstractNumId w:val="21"/>
  </w:num>
  <w:num w:numId="13">
    <w:abstractNumId w:val="18"/>
  </w:num>
  <w:num w:numId="14">
    <w:abstractNumId w:val="3"/>
  </w:num>
  <w:num w:numId="15">
    <w:abstractNumId w:val="14"/>
  </w:num>
  <w:num w:numId="16">
    <w:abstractNumId w:val="29"/>
  </w:num>
  <w:num w:numId="17">
    <w:abstractNumId w:val="28"/>
  </w:num>
  <w:num w:numId="18">
    <w:abstractNumId w:val="11"/>
  </w:num>
  <w:num w:numId="19">
    <w:abstractNumId w:val="4"/>
  </w:num>
  <w:num w:numId="20">
    <w:abstractNumId w:val="19"/>
  </w:num>
  <w:num w:numId="21">
    <w:abstractNumId w:val="0"/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2"/>
  </w:num>
  <w:num w:numId="25">
    <w:abstractNumId w:val="30"/>
  </w:num>
  <w:num w:numId="26">
    <w:abstractNumId w:val="23"/>
  </w:num>
  <w:num w:numId="27">
    <w:abstractNumId w:val="2"/>
  </w:num>
  <w:num w:numId="28">
    <w:abstractNumId w:val="10"/>
  </w:num>
  <w:num w:numId="29">
    <w:abstractNumId w:val="6"/>
  </w:num>
  <w:num w:numId="30">
    <w:abstractNumId w:val="13"/>
  </w:num>
  <w:num w:numId="3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4B64"/>
    <w:rsid w:val="00006055"/>
    <w:rsid w:val="00006AD4"/>
    <w:rsid w:val="00006BF3"/>
    <w:rsid w:val="000074C4"/>
    <w:rsid w:val="000079A6"/>
    <w:rsid w:val="00010C14"/>
    <w:rsid w:val="00012057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6C5"/>
    <w:rsid w:val="00024AEF"/>
    <w:rsid w:val="00026C65"/>
    <w:rsid w:val="00027755"/>
    <w:rsid w:val="00030048"/>
    <w:rsid w:val="0003072D"/>
    <w:rsid w:val="00030FA0"/>
    <w:rsid w:val="000314CD"/>
    <w:rsid w:val="00033544"/>
    <w:rsid w:val="0003479E"/>
    <w:rsid w:val="000348E9"/>
    <w:rsid w:val="00035691"/>
    <w:rsid w:val="00041038"/>
    <w:rsid w:val="0004132D"/>
    <w:rsid w:val="00044CFA"/>
    <w:rsid w:val="000459C7"/>
    <w:rsid w:val="00046630"/>
    <w:rsid w:val="00046C80"/>
    <w:rsid w:val="00050112"/>
    <w:rsid w:val="00050518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37E7"/>
    <w:rsid w:val="00063D9E"/>
    <w:rsid w:val="00064AD3"/>
    <w:rsid w:val="00065088"/>
    <w:rsid w:val="000652D3"/>
    <w:rsid w:val="000654A0"/>
    <w:rsid w:val="000707CA"/>
    <w:rsid w:val="00072BBA"/>
    <w:rsid w:val="00075FDA"/>
    <w:rsid w:val="00076386"/>
    <w:rsid w:val="00076D82"/>
    <w:rsid w:val="00081EC2"/>
    <w:rsid w:val="00083800"/>
    <w:rsid w:val="00084A65"/>
    <w:rsid w:val="00084A82"/>
    <w:rsid w:val="00090987"/>
    <w:rsid w:val="00091A92"/>
    <w:rsid w:val="00091B71"/>
    <w:rsid w:val="00093C49"/>
    <w:rsid w:val="00095A37"/>
    <w:rsid w:val="00095A80"/>
    <w:rsid w:val="000973E1"/>
    <w:rsid w:val="000A1402"/>
    <w:rsid w:val="000A20BA"/>
    <w:rsid w:val="000A262C"/>
    <w:rsid w:val="000A3C8D"/>
    <w:rsid w:val="000A40EC"/>
    <w:rsid w:val="000A4EDF"/>
    <w:rsid w:val="000A54EE"/>
    <w:rsid w:val="000A6A23"/>
    <w:rsid w:val="000A7BC5"/>
    <w:rsid w:val="000B044A"/>
    <w:rsid w:val="000B04F3"/>
    <w:rsid w:val="000B16DB"/>
    <w:rsid w:val="000B1C5E"/>
    <w:rsid w:val="000B2282"/>
    <w:rsid w:val="000B2A11"/>
    <w:rsid w:val="000B2A5B"/>
    <w:rsid w:val="000B3B91"/>
    <w:rsid w:val="000B5F0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5DD5"/>
    <w:rsid w:val="000E02B7"/>
    <w:rsid w:val="000E071E"/>
    <w:rsid w:val="000E27AA"/>
    <w:rsid w:val="000E337A"/>
    <w:rsid w:val="000E4350"/>
    <w:rsid w:val="000E4408"/>
    <w:rsid w:val="000E5716"/>
    <w:rsid w:val="000E6650"/>
    <w:rsid w:val="000E7A79"/>
    <w:rsid w:val="000F15B2"/>
    <w:rsid w:val="000F19DE"/>
    <w:rsid w:val="000F24EC"/>
    <w:rsid w:val="000F2E1F"/>
    <w:rsid w:val="000F37B0"/>
    <w:rsid w:val="000F4595"/>
    <w:rsid w:val="000F4CB2"/>
    <w:rsid w:val="000F568D"/>
    <w:rsid w:val="00101C4F"/>
    <w:rsid w:val="00102C9F"/>
    <w:rsid w:val="001053E1"/>
    <w:rsid w:val="00105ED8"/>
    <w:rsid w:val="001068D2"/>
    <w:rsid w:val="001103BD"/>
    <w:rsid w:val="00111208"/>
    <w:rsid w:val="00111808"/>
    <w:rsid w:val="0011339F"/>
    <w:rsid w:val="001142F7"/>
    <w:rsid w:val="00114E96"/>
    <w:rsid w:val="001204DD"/>
    <w:rsid w:val="00122839"/>
    <w:rsid w:val="001237AC"/>
    <w:rsid w:val="00124E12"/>
    <w:rsid w:val="00124E16"/>
    <w:rsid w:val="0012512A"/>
    <w:rsid w:val="0012673D"/>
    <w:rsid w:val="001269B8"/>
    <w:rsid w:val="00127099"/>
    <w:rsid w:val="001305A3"/>
    <w:rsid w:val="00132B71"/>
    <w:rsid w:val="0013427A"/>
    <w:rsid w:val="001362C2"/>
    <w:rsid w:val="00136955"/>
    <w:rsid w:val="001371B2"/>
    <w:rsid w:val="00137D78"/>
    <w:rsid w:val="001409A0"/>
    <w:rsid w:val="001413DC"/>
    <w:rsid w:val="00141F08"/>
    <w:rsid w:val="00141FF2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6FD"/>
    <w:rsid w:val="00164E58"/>
    <w:rsid w:val="00165033"/>
    <w:rsid w:val="001670EA"/>
    <w:rsid w:val="001674A0"/>
    <w:rsid w:val="00170A50"/>
    <w:rsid w:val="00174FFD"/>
    <w:rsid w:val="001759CA"/>
    <w:rsid w:val="0017726A"/>
    <w:rsid w:val="001778DA"/>
    <w:rsid w:val="00180278"/>
    <w:rsid w:val="001818A7"/>
    <w:rsid w:val="00182725"/>
    <w:rsid w:val="001829C8"/>
    <w:rsid w:val="00186904"/>
    <w:rsid w:val="00186B0A"/>
    <w:rsid w:val="00186EEF"/>
    <w:rsid w:val="001905BD"/>
    <w:rsid w:val="00192FE6"/>
    <w:rsid w:val="00193986"/>
    <w:rsid w:val="00193B08"/>
    <w:rsid w:val="00194570"/>
    <w:rsid w:val="00196BF4"/>
    <w:rsid w:val="001972DA"/>
    <w:rsid w:val="001976AA"/>
    <w:rsid w:val="001A10E5"/>
    <w:rsid w:val="001A15C6"/>
    <w:rsid w:val="001A5E19"/>
    <w:rsid w:val="001B01FA"/>
    <w:rsid w:val="001B0832"/>
    <w:rsid w:val="001B18A7"/>
    <w:rsid w:val="001B36FC"/>
    <w:rsid w:val="001B3A8C"/>
    <w:rsid w:val="001B41ED"/>
    <w:rsid w:val="001B4607"/>
    <w:rsid w:val="001B518E"/>
    <w:rsid w:val="001B5AB7"/>
    <w:rsid w:val="001B7402"/>
    <w:rsid w:val="001B7E0C"/>
    <w:rsid w:val="001C0674"/>
    <w:rsid w:val="001C1129"/>
    <w:rsid w:val="001C226F"/>
    <w:rsid w:val="001C66AC"/>
    <w:rsid w:val="001C6754"/>
    <w:rsid w:val="001C77F0"/>
    <w:rsid w:val="001D46A0"/>
    <w:rsid w:val="001D7CA4"/>
    <w:rsid w:val="001D7E58"/>
    <w:rsid w:val="001E4D4F"/>
    <w:rsid w:val="001E524C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082"/>
    <w:rsid w:val="00204B3A"/>
    <w:rsid w:val="0020535A"/>
    <w:rsid w:val="00206630"/>
    <w:rsid w:val="00206955"/>
    <w:rsid w:val="00207BAA"/>
    <w:rsid w:val="00210309"/>
    <w:rsid w:val="00212FB8"/>
    <w:rsid w:val="00213709"/>
    <w:rsid w:val="002149AF"/>
    <w:rsid w:val="00214A86"/>
    <w:rsid w:val="00215AAA"/>
    <w:rsid w:val="00221985"/>
    <w:rsid w:val="00221EC5"/>
    <w:rsid w:val="00222A7A"/>
    <w:rsid w:val="00224536"/>
    <w:rsid w:val="00224A2C"/>
    <w:rsid w:val="002256D9"/>
    <w:rsid w:val="0022687C"/>
    <w:rsid w:val="002306F8"/>
    <w:rsid w:val="00230D6F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2EC5"/>
    <w:rsid w:val="00243338"/>
    <w:rsid w:val="0024336B"/>
    <w:rsid w:val="0024424F"/>
    <w:rsid w:val="00244D28"/>
    <w:rsid w:val="00245720"/>
    <w:rsid w:val="00245FD5"/>
    <w:rsid w:val="002477DF"/>
    <w:rsid w:val="00250315"/>
    <w:rsid w:val="00251AD6"/>
    <w:rsid w:val="00252C17"/>
    <w:rsid w:val="0025307F"/>
    <w:rsid w:val="002551BD"/>
    <w:rsid w:val="002568D0"/>
    <w:rsid w:val="00256C08"/>
    <w:rsid w:val="00261581"/>
    <w:rsid w:val="00261582"/>
    <w:rsid w:val="00262661"/>
    <w:rsid w:val="002632DF"/>
    <w:rsid w:val="002640BA"/>
    <w:rsid w:val="00264CF2"/>
    <w:rsid w:val="00267587"/>
    <w:rsid w:val="00271589"/>
    <w:rsid w:val="00273177"/>
    <w:rsid w:val="00275074"/>
    <w:rsid w:val="0027633F"/>
    <w:rsid w:val="002763E9"/>
    <w:rsid w:val="00276736"/>
    <w:rsid w:val="00277CCB"/>
    <w:rsid w:val="00277D3F"/>
    <w:rsid w:val="00284E32"/>
    <w:rsid w:val="002851EB"/>
    <w:rsid w:val="00285510"/>
    <w:rsid w:val="00285AE6"/>
    <w:rsid w:val="00285DE2"/>
    <w:rsid w:val="0028616D"/>
    <w:rsid w:val="00286965"/>
    <w:rsid w:val="0029136E"/>
    <w:rsid w:val="00291DBA"/>
    <w:rsid w:val="00292399"/>
    <w:rsid w:val="002930C3"/>
    <w:rsid w:val="00294445"/>
    <w:rsid w:val="00294B4D"/>
    <w:rsid w:val="002960D5"/>
    <w:rsid w:val="002A1062"/>
    <w:rsid w:val="002A2413"/>
    <w:rsid w:val="002A2F5E"/>
    <w:rsid w:val="002A352A"/>
    <w:rsid w:val="002A40F9"/>
    <w:rsid w:val="002A53DC"/>
    <w:rsid w:val="002A607D"/>
    <w:rsid w:val="002B132E"/>
    <w:rsid w:val="002B2813"/>
    <w:rsid w:val="002B2D29"/>
    <w:rsid w:val="002B2D5B"/>
    <w:rsid w:val="002B2DFA"/>
    <w:rsid w:val="002C1EEA"/>
    <w:rsid w:val="002C306D"/>
    <w:rsid w:val="002C3EAA"/>
    <w:rsid w:val="002C6034"/>
    <w:rsid w:val="002C635B"/>
    <w:rsid w:val="002C7CFF"/>
    <w:rsid w:val="002D0BC6"/>
    <w:rsid w:val="002D17C5"/>
    <w:rsid w:val="002D365F"/>
    <w:rsid w:val="002D7B2E"/>
    <w:rsid w:val="002D7C86"/>
    <w:rsid w:val="002E0692"/>
    <w:rsid w:val="002E0B77"/>
    <w:rsid w:val="002E1D74"/>
    <w:rsid w:val="002E2943"/>
    <w:rsid w:val="002E2CF1"/>
    <w:rsid w:val="002E34AF"/>
    <w:rsid w:val="002E4AAC"/>
    <w:rsid w:val="002E53DE"/>
    <w:rsid w:val="002E563B"/>
    <w:rsid w:val="002E62D2"/>
    <w:rsid w:val="002E6B21"/>
    <w:rsid w:val="002E74AF"/>
    <w:rsid w:val="002E7581"/>
    <w:rsid w:val="002F1038"/>
    <w:rsid w:val="002F1D32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2"/>
    <w:rsid w:val="00304C3E"/>
    <w:rsid w:val="003062E6"/>
    <w:rsid w:val="00306794"/>
    <w:rsid w:val="003068B6"/>
    <w:rsid w:val="003071F6"/>
    <w:rsid w:val="00311C08"/>
    <w:rsid w:val="00312D50"/>
    <w:rsid w:val="00312ECE"/>
    <w:rsid w:val="0031393C"/>
    <w:rsid w:val="00313CB0"/>
    <w:rsid w:val="00313F96"/>
    <w:rsid w:val="00314FE9"/>
    <w:rsid w:val="003150CE"/>
    <w:rsid w:val="00315AAB"/>
    <w:rsid w:val="00316A97"/>
    <w:rsid w:val="003175E1"/>
    <w:rsid w:val="00320299"/>
    <w:rsid w:val="00321154"/>
    <w:rsid w:val="003211B0"/>
    <w:rsid w:val="00321EDA"/>
    <w:rsid w:val="003224E7"/>
    <w:rsid w:val="00324516"/>
    <w:rsid w:val="00325C54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4CDE"/>
    <w:rsid w:val="00335EA8"/>
    <w:rsid w:val="003363DD"/>
    <w:rsid w:val="00340361"/>
    <w:rsid w:val="00340795"/>
    <w:rsid w:val="003407A1"/>
    <w:rsid w:val="00340F80"/>
    <w:rsid w:val="0034111C"/>
    <w:rsid w:val="00341E60"/>
    <w:rsid w:val="0034217F"/>
    <w:rsid w:val="00343954"/>
    <w:rsid w:val="00343EC6"/>
    <w:rsid w:val="00345405"/>
    <w:rsid w:val="00345DDD"/>
    <w:rsid w:val="00346FED"/>
    <w:rsid w:val="003473AD"/>
    <w:rsid w:val="00350508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FD8"/>
    <w:rsid w:val="0037085C"/>
    <w:rsid w:val="00370B63"/>
    <w:rsid w:val="00370FCC"/>
    <w:rsid w:val="003711AF"/>
    <w:rsid w:val="00373478"/>
    <w:rsid w:val="00374848"/>
    <w:rsid w:val="00375420"/>
    <w:rsid w:val="00375D09"/>
    <w:rsid w:val="003765E7"/>
    <w:rsid w:val="0037739D"/>
    <w:rsid w:val="0037751C"/>
    <w:rsid w:val="00380F3F"/>
    <w:rsid w:val="00382232"/>
    <w:rsid w:val="00382F1A"/>
    <w:rsid w:val="003831F2"/>
    <w:rsid w:val="00383282"/>
    <w:rsid w:val="00383658"/>
    <w:rsid w:val="00383B56"/>
    <w:rsid w:val="0038412E"/>
    <w:rsid w:val="00386053"/>
    <w:rsid w:val="0038771D"/>
    <w:rsid w:val="003910F4"/>
    <w:rsid w:val="003933EE"/>
    <w:rsid w:val="00393E44"/>
    <w:rsid w:val="00396DFB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ABE"/>
    <w:rsid w:val="003B2E9B"/>
    <w:rsid w:val="003B2F8D"/>
    <w:rsid w:val="003B37BD"/>
    <w:rsid w:val="003B4FAA"/>
    <w:rsid w:val="003B547A"/>
    <w:rsid w:val="003B5F1C"/>
    <w:rsid w:val="003B75B9"/>
    <w:rsid w:val="003C1A18"/>
    <w:rsid w:val="003C25AD"/>
    <w:rsid w:val="003C5C41"/>
    <w:rsid w:val="003C7461"/>
    <w:rsid w:val="003D0788"/>
    <w:rsid w:val="003D0B90"/>
    <w:rsid w:val="003D132A"/>
    <w:rsid w:val="003D1517"/>
    <w:rsid w:val="003D2938"/>
    <w:rsid w:val="003D3FBA"/>
    <w:rsid w:val="003D402B"/>
    <w:rsid w:val="003D565B"/>
    <w:rsid w:val="003D764F"/>
    <w:rsid w:val="003E0667"/>
    <w:rsid w:val="003E0AD8"/>
    <w:rsid w:val="003E0BCE"/>
    <w:rsid w:val="003E13E0"/>
    <w:rsid w:val="003E1660"/>
    <w:rsid w:val="003E1CAC"/>
    <w:rsid w:val="003E1CD1"/>
    <w:rsid w:val="003E2A2D"/>
    <w:rsid w:val="003E64A9"/>
    <w:rsid w:val="003E7905"/>
    <w:rsid w:val="003F0336"/>
    <w:rsid w:val="003F5547"/>
    <w:rsid w:val="003F5C40"/>
    <w:rsid w:val="003F6E12"/>
    <w:rsid w:val="003F714E"/>
    <w:rsid w:val="003F75ED"/>
    <w:rsid w:val="003F7904"/>
    <w:rsid w:val="004002B7"/>
    <w:rsid w:val="00400F31"/>
    <w:rsid w:val="00406B4D"/>
    <w:rsid w:val="00411649"/>
    <w:rsid w:val="0041443C"/>
    <w:rsid w:val="004154F7"/>
    <w:rsid w:val="004176FF"/>
    <w:rsid w:val="004240D2"/>
    <w:rsid w:val="004241C5"/>
    <w:rsid w:val="00424DAF"/>
    <w:rsid w:val="00424FA7"/>
    <w:rsid w:val="004258C8"/>
    <w:rsid w:val="00426A87"/>
    <w:rsid w:val="004309D8"/>
    <w:rsid w:val="004313D1"/>
    <w:rsid w:val="00432110"/>
    <w:rsid w:val="00433EBE"/>
    <w:rsid w:val="00434406"/>
    <w:rsid w:val="00436C8E"/>
    <w:rsid w:val="0044045D"/>
    <w:rsid w:val="00440FBC"/>
    <w:rsid w:val="00441B92"/>
    <w:rsid w:val="0044474B"/>
    <w:rsid w:val="00445FF7"/>
    <w:rsid w:val="00450010"/>
    <w:rsid w:val="00453341"/>
    <w:rsid w:val="004545C6"/>
    <w:rsid w:val="00454DCA"/>
    <w:rsid w:val="00456544"/>
    <w:rsid w:val="00456649"/>
    <w:rsid w:val="004567B7"/>
    <w:rsid w:val="00456856"/>
    <w:rsid w:val="00461210"/>
    <w:rsid w:val="004613B9"/>
    <w:rsid w:val="00462490"/>
    <w:rsid w:val="00463F33"/>
    <w:rsid w:val="00465299"/>
    <w:rsid w:val="00466498"/>
    <w:rsid w:val="00466A0F"/>
    <w:rsid w:val="0046795B"/>
    <w:rsid w:val="00471863"/>
    <w:rsid w:val="00473A14"/>
    <w:rsid w:val="00474CA8"/>
    <w:rsid w:val="00474E43"/>
    <w:rsid w:val="00475229"/>
    <w:rsid w:val="00481D90"/>
    <w:rsid w:val="00482CD4"/>
    <w:rsid w:val="00483261"/>
    <w:rsid w:val="00485B23"/>
    <w:rsid w:val="004871AE"/>
    <w:rsid w:val="004874E4"/>
    <w:rsid w:val="0049070D"/>
    <w:rsid w:val="00491468"/>
    <w:rsid w:val="00491DB2"/>
    <w:rsid w:val="00492877"/>
    <w:rsid w:val="00492B96"/>
    <w:rsid w:val="00493B3D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8C1"/>
    <w:rsid w:val="004C0D9C"/>
    <w:rsid w:val="004C183D"/>
    <w:rsid w:val="004C3EEE"/>
    <w:rsid w:val="004C483D"/>
    <w:rsid w:val="004C5CE9"/>
    <w:rsid w:val="004C795A"/>
    <w:rsid w:val="004C7F93"/>
    <w:rsid w:val="004D26B8"/>
    <w:rsid w:val="004D38C2"/>
    <w:rsid w:val="004D471A"/>
    <w:rsid w:val="004D4C81"/>
    <w:rsid w:val="004D4FBD"/>
    <w:rsid w:val="004D4FC0"/>
    <w:rsid w:val="004D7DA8"/>
    <w:rsid w:val="004E2892"/>
    <w:rsid w:val="004E362B"/>
    <w:rsid w:val="004E3681"/>
    <w:rsid w:val="004E39CF"/>
    <w:rsid w:val="004E3D74"/>
    <w:rsid w:val="004E4131"/>
    <w:rsid w:val="004E4650"/>
    <w:rsid w:val="004E784B"/>
    <w:rsid w:val="004F0224"/>
    <w:rsid w:val="004F0DB4"/>
    <w:rsid w:val="004F0E04"/>
    <w:rsid w:val="004F1EBC"/>
    <w:rsid w:val="004F3B71"/>
    <w:rsid w:val="004F438E"/>
    <w:rsid w:val="004F5154"/>
    <w:rsid w:val="004F5835"/>
    <w:rsid w:val="004F661C"/>
    <w:rsid w:val="004F6D99"/>
    <w:rsid w:val="004F718B"/>
    <w:rsid w:val="00500572"/>
    <w:rsid w:val="00501304"/>
    <w:rsid w:val="00501425"/>
    <w:rsid w:val="00502544"/>
    <w:rsid w:val="00502A90"/>
    <w:rsid w:val="00504311"/>
    <w:rsid w:val="0050485C"/>
    <w:rsid w:val="00504AC6"/>
    <w:rsid w:val="00511079"/>
    <w:rsid w:val="00512829"/>
    <w:rsid w:val="0051423C"/>
    <w:rsid w:val="00514C91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009D"/>
    <w:rsid w:val="005302C1"/>
    <w:rsid w:val="0053162F"/>
    <w:rsid w:val="00531777"/>
    <w:rsid w:val="00531DD3"/>
    <w:rsid w:val="0053281C"/>
    <w:rsid w:val="00533544"/>
    <w:rsid w:val="00533AAC"/>
    <w:rsid w:val="005340C9"/>
    <w:rsid w:val="0053529E"/>
    <w:rsid w:val="005375FE"/>
    <w:rsid w:val="00540AA4"/>
    <w:rsid w:val="005420DE"/>
    <w:rsid w:val="0054268D"/>
    <w:rsid w:val="00543707"/>
    <w:rsid w:val="00543EBB"/>
    <w:rsid w:val="00544213"/>
    <w:rsid w:val="005453F3"/>
    <w:rsid w:val="00545549"/>
    <w:rsid w:val="005469F5"/>
    <w:rsid w:val="00550211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3F67"/>
    <w:rsid w:val="005649BF"/>
    <w:rsid w:val="005650ED"/>
    <w:rsid w:val="00565869"/>
    <w:rsid w:val="0056599B"/>
    <w:rsid w:val="00565D8C"/>
    <w:rsid w:val="005670C6"/>
    <w:rsid w:val="00567415"/>
    <w:rsid w:val="00567610"/>
    <w:rsid w:val="00570D9F"/>
    <w:rsid w:val="00571CA8"/>
    <w:rsid w:val="00572849"/>
    <w:rsid w:val="00575738"/>
    <w:rsid w:val="00580793"/>
    <w:rsid w:val="00580BFD"/>
    <w:rsid w:val="00581470"/>
    <w:rsid w:val="00582087"/>
    <w:rsid w:val="005831DD"/>
    <w:rsid w:val="00583F7F"/>
    <w:rsid w:val="00584320"/>
    <w:rsid w:val="00587229"/>
    <w:rsid w:val="00587503"/>
    <w:rsid w:val="005901A5"/>
    <w:rsid w:val="005902EB"/>
    <w:rsid w:val="00590E8D"/>
    <w:rsid w:val="00591511"/>
    <w:rsid w:val="0059331A"/>
    <w:rsid w:val="0059693F"/>
    <w:rsid w:val="00596BBA"/>
    <w:rsid w:val="005975C4"/>
    <w:rsid w:val="00597ED8"/>
    <w:rsid w:val="005A0865"/>
    <w:rsid w:val="005A34D5"/>
    <w:rsid w:val="005A4904"/>
    <w:rsid w:val="005A515A"/>
    <w:rsid w:val="005A5CBB"/>
    <w:rsid w:val="005A704D"/>
    <w:rsid w:val="005B3C6D"/>
    <w:rsid w:val="005B609E"/>
    <w:rsid w:val="005B6DF6"/>
    <w:rsid w:val="005B7B7D"/>
    <w:rsid w:val="005C119B"/>
    <w:rsid w:val="005C1948"/>
    <w:rsid w:val="005C263C"/>
    <w:rsid w:val="005C2679"/>
    <w:rsid w:val="005D07C5"/>
    <w:rsid w:val="005D2CE7"/>
    <w:rsid w:val="005D4302"/>
    <w:rsid w:val="005D5A20"/>
    <w:rsid w:val="005D786C"/>
    <w:rsid w:val="005E049F"/>
    <w:rsid w:val="005E3073"/>
    <w:rsid w:val="005E316A"/>
    <w:rsid w:val="005E53BD"/>
    <w:rsid w:val="005F0108"/>
    <w:rsid w:val="005F0ECC"/>
    <w:rsid w:val="005F0F8E"/>
    <w:rsid w:val="005F1CF0"/>
    <w:rsid w:val="005F21A5"/>
    <w:rsid w:val="005F2470"/>
    <w:rsid w:val="005F28C6"/>
    <w:rsid w:val="005F3F16"/>
    <w:rsid w:val="005F52CC"/>
    <w:rsid w:val="005F6BD4"/>
    <w:rsid w:val="005F7484"/>
    <w:rsid w:val="005F7985"/>
    <w:rsid w:val="006000A1"/>
    <w:rsid w:val="00600CEB"/>
    <w:rsid w:val="0060124B"/>
    <w:rsid w:val="006014CC"/>
    <w:rsid w:val="00602AA1"/>
    <w:rsid w:val="00603A54"/>
    <w:rsid w:val="00604367"/>
    <w:rsid w:val="006044BE"/>
    <w:rsid w:val="0060475F"/>
    <w:rsid w:val="00604B31"/>
    <w:rsid w:val="00605359"/>
    <w:rsid w:val="00605A5F"/>
    <w:rsid w:val="00606A26"/>
    <w:rsid w:val="00607D81"/>
    <w:rsid w:val="00610747"/>
    <w:rsid w:val="0061176E"/>
    <w:rsid w:val="00612825"/>
    <w:rsid w:val="00614651"/>
    <w:rsid w:val="00614CD1"/>
    <w:rsid w:val="0061567B"/>
    <w:rsid w:val="00616C15"/>
    <w:rsid w:val="00620781"/>
    <w:rsid w:val="0062152A"/>
    <w:rsid w:val="00623583"/>
    <w:rsid w:val="0062462F"/>
    <w:rsid w:val="00624BA1"/>
    <w:rsid w:val="0062661B"/>
    <w:rsid w:val="00630118"/>
    <w:rsid w:val="006310AE"/>
    <w:rsid w:val="00632196"/>
    <w:rsid w:val="006329ED"/>
    <w:rsid w:val="00633BF2"/>
    <w:rsid w:val="00633F67"/>
    <w:rsid w:val="006345C3"/>
    <w:rsid w:val="006362F9"/>
    <w:rsid w:val="006373CD"/>
    <w:rsid w:val="0064165D"/>
    <w:rsid w:val="00642619"/>
    <w:rsid w:val="006427E0"/>
    <w:rsid w:val="006433BD"/>
    <w:rsid w:val="00643784"/>
    <w:rsid w:val="0064465A"/>
    <w:rsid w:val="00644A21"/>
    <w:rsid w:val="00645C9F"/>
    <w:rsid w:val="00646A6C"/>
    <w:rsid w:val="006508B9"/>
    <w:rsid w:val="00650CA1"/>
    <w:rsid w:val="00651854"/>
    <w:rsid w:val="00651C32"/>
    <w:rsid w:val="00654FE2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67E03"/>
    <w:rsid w:val="0067269D"/>
    <w:rsid w:val="00672988"/>
    <w:rsid w:val="00672FCB"/>
    <w:rsid w:val="00674E6A"/>
    <w:rsid w:val="006763BE"/>
    <w:rsid w:val="00676809"/>
    <w:rsid w:val="00676A64"/>
    <w:rsid w:val="00677925"/>
    <w:rsid w:val="00680699"/>
    <w:rsid w:val="00680F46"/>
    <w:rsid w:val="00682B53"/>
    <w:rsid w:val="00682F27"/>
    <w:rsid w:val="00690238"/>
    <w:rsid w:val="00690E2E"/>
    <w:rsid w:val="006932E7"/>
    <w:rsid w:val="00693347"/>
    <w:rsid w:val="0069334C"/>
    <w:rsid w:val="00696D63"/>
    <w:rsid w:val="006A032F"/>
    <w:rsid w:val="006A41AE"/>
    <w:rsid w:val="006A4856"/>
    <w:rsid w:val="006A4FF7"/>
    <w:rsid w:val="006A564B"/>
    <w:rsid w:val="006B1545"/>
    <w:rsid w:val="006B2DA7"/>
    <w:rsid w:val="006B2F4D"/>
    <w:rsid w:val="006B3497"/>
    <w:rsid w:val="006B3682"/>
    <w:rsid w:val="006B48CB"/>
    <w:rsid w:val="006B4DB9"/>
    <w:rsid w:val="006B52BB"/>
    <w:rsid w:val="006C1445"/>
    <w:rsid w:val="006C3F6B"/>
    <w:rsid w:val="006C4FC1"/>
    <w:rsid w:val="006C529D"/>
    <w:rsid w:val="006C6454"/>
    <w:rsid w:val="006C795C"/>
    <w:rsid w:val="006D0E6B"/>
    <w:rsid w:val="006D2146"/>
    <w:rsid w:val="006D3F1C"/>
    <w:rsid w:val="006D4261"/>
    <w:rsid w:val="006E094A"/>
    <w:rsid w:val="006E12B1"/>
    <w:rsid w:val="006E13D1"/>
    <w:rsid w:val="006E169B"/>
    <w:rsid w:val="006E31A7"/>
    <w:rsid w:val="006E4D0C"/>
    <w:rsid w:val="006E5B78"/>
    <w:rsid w:val="006E6BA3"/>
    <w:rsid w:val="006F1116"/>
    <w:rsid w:val="006F3196"/>
    <w:rsid w:val="006F3C54"/>
    <w:rsid w:val="006F5050"/>
    <w:rsid w:val="006F512A"/>
    <w:rsid w:val="006F5E64"/>
    <w:rsid w:val="006F60DE"/>
    <w:rsid w:val="006F7914"/>
    <w:rsid w:val="006F7E46"/>
    <w:rsid w:val="00700AB4"/>
    <w:rsid w:val="00700FCA"/>
    <w:rsid w:val="00701645"/>
    <w:rsid w:val="00701DF9"/>
    <w:rsid w:val="00702416"/>
    <w:rsid w:val="00702D5A"/>
    <w:rsid w:val="00702EF7"/>
    <w:rsid w:val="00703989"/>
    <w:rsid w:val="007042E9"/>
    <w:rsid w:val="0071118B"/>
    <w:rsid w:val="00711E13"/>
    <w:rsid w:val="007120BB"/>
    <w:rsid w:val="00712EDA"/>
    <w:rsid w:val="007136D0"/>
    <w:rsid w:val="00714B81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5974"/>
    <w:rsid w:val="00726878"/>
    <w:rsid w:val="0072799E"/>
    <w:rsid w:val="0073124A"/>
    <w:rsid w:val="00733893"/>
    <w:rsid w:val="00734A05"/>
    <w:rsid w:val="00735C6F"/>
    <w:rsid w:val="00736DA4"/>
    <w:rsid w:val="00752002"/>
    <w:rsid w:val="00753BB5"/>
    <w:rsid w:val="00756832"/>
    <w:rsid w:val="007626D0"/>
    <w:rsid w:val="007626FB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33FD"/>
    <w:rsid w:val="007A138F"/>
    <w:rsid w:val="007A1640"/>
    <w:rsid w:val="007A39DF"/>
    <w:rsid w:val="007A43ED"/>
    <w:rsid w:val="007A4BDD"/>
    <w:rsid w:val="007A5DC6"/>
    <w:rsid w:val="007A72EE"/>
    <w:rsid w:val="007B0397"/>
    <w:rsid w:val="007B18D5"/>
    <w:rsid w:val="007B1AFE"/>
    <w:rsid w:val="007B3502"/>
    <w:rsid w:val="007B44ED"/>
    <w:rsid w:val="007B491A"/>
    <w:rsid w:val="007B5370"/>
    <w:rsid w:val="007B5915"/>
    <w:rsid w:val="007B61F5"/>
    <w:rsid w:val="007B63FA"/>
    <w:rsid w:val="007B7496"/>
    <w:rsid w:val="007C0802"/>
    <w:rsid w:val="007C12BE"/>
    <w:rsid w:val="007C2739"/>
    <w:rsid w:val="007C4B0F"/>
    <w:rsid w:val="007C4DAD"/>
    <w:rsid w:val="007C57B0"/>
    <w:rsid w:val="007C5830"/>
    <w:rsid w:val="007C5DB8"/>
    <w:rsid w:val="007C6CA2"/>
    <w:rsid w:val="007D05B2"/>
    <w:rsid w:val="007D0C44"/>
    <w:rsid w:val="007D1972"/>
    <w:rsid w:val="007D1F33"/>
    <w:rsid w:val="007D3307"/>
    <w:rsid w:val="007D3BD8"/>
    <w:rsid w:val="007D5E27"/>
    <w:rsid w:val="007D6F64"/>
    <w:rsid w:val="007E79C5"/>
    <w:rsid w:val="007F28B6"/>
    <w:rsid w:val="007F43BC"/>
    <w:rsid w:val="007F4740"/>
    <w:rsid w:val="007F65E6"/>
    <w:rsid w:val="007F73CC"/>
    <w:rsid w:val="007F7900"/>
    <w:rsid w:val="007F7AD2"/>
    <w:rsid w:val="007F7F0D"/>
    <w:rsid w:val="008006C6"/>
    <w:rsid w:val="0080153E"/>
    <w:rsid w:val="008019F7"/>
    <w:rsid w:val="0080742D"/>
    <w:rsid w:val="00807B47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36FE9"/>
    <w:rsid w:val="00837E13"/>
    <w:rsid w:val="008409AA"/>
    <w:rsid w:val="00840FB8"/>
    <w:rsid w:val="0084383C"/>
    <w:rsid w:val="00843A7A"/>
    <w:rsid w:val="008447F5"/>
    <w:rsid w:val="00846292"/>
    <w:rsid w:val="00847934"/>
    <w:rsid w:val="008506E1"/>
    <w:rsid w:val="008515EE"/>
    <w:rsid w:val="008528D3"/>
    <w:rsid w:val="00854553"/>
    <w:rsid w:val="00855B86"/>
    <w:rsid w:val="00860732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3371"/>
    <w:rsid w:val="008743F3"/>
    <w:rsid w:val="0087444A"/>
    <w:rsid w:val="00875139"/>
    <w:rsid w:val="00875410"/>
    <w:rsid w:val="00877DF8"/>
    <w:rsid w:val="00883D4D"/>
    <w:rsid w:val="008850BA"/>
    <w:rsid w:val="00885876"/>
    <w:rsid w:val="00886185"/>
    <w:rsid w:val="008861D9"/>
    <w:rsid w:val="0088638C"/>
    <w:rsid w:val="008908E5"/>
    <w:rsid w:val="00891216"/>
    <w:rsid w:val="00893E87"/>
    <w:rsid w:val="00894FDC"/>
    <w:rsid w:val="0089628B"/>
    <w:rsid w:val="008A16F9"/>
    <w:rsid w:val="008A1D3E"/>
    <w:rsid w:val="008A4B16"/>
    <w:rsid w:val="008A4D63"/>
    <w:rsid w:val="008A6D62"/>
    <w:rsid w:val="008B3B51"/>
    <w:rsid w:val="008B4057"/>
    <w:rsid w:val="008B4145"/>
    <w:rsid w:val="008B5290"/>
    <w:rsid w:val="008B5AD1"/>
    <w:rsid w:val="008C2CFD"/>
    <w:rsid w:val="008C603A"/>
    <w:rsid w:val="008C71C8"/>
    <w:rsid w:val="008D02BC"/>
    <w:rsid w:val="008D167D"/>
    <w:rsid w:val="008D4B58"/>
    <w:rsid w:val="008D4B8A"/>
    <w:rsid w:val="008D50D3"/>
    <w:rsid w:val="008D7D7B"/>
    <w:rsid w:val="008E0F52"/>
    <w:rsid w:val="008E2316"/>
    <w:rsid w:val="008E34BE"/>
    <w:rsid w:val="008E42F4"/>
    <w:rsid w:val="008E5657"/>
    <w:rsid w:val="008E5E51"/>
    <w:rsid w:val="008F00DB"/>
    <w:rsid w:val="008F0944"/>
    <w:rsid w:val="008F1264"/>
    <w:rsid w:val="008F2531"/>
    <w:rsid w:val="008F47C6"/>
    <w:rsid w:val="008F5207"/>
    <w:rsid w:val="008F73EB"/>
    <w:rsid w:val="009006A2"/>
    <w:rsid w:val="0090102B"/>
    <w:rsid w:val="00901448"/>
    <w:rsid w:val="00905C47"/>
    <w:rsid w:val="00906379"/>
    <w:rsid w:val="009101EA"/>
    <w:rsid w:val="009106FC"/>
    <w:rsid w:val="009118BB"/>
    <w:rsid w:val="009157D1"/>
    <w:rsid w:val="00915B81"/>
    <w:rsid w:val="00915D6B"/>
    <w:rsid w:val="009160DF"/>
    <w:rsid w:val="009162C7"/>
    <w:rsid w:val="00916EC2"/>
    <w:rsid w:val="009213BD"/>
    <w:rsid w:val="009221F5"/>
    <w:rsid w:val="00924627"/>
    <w:rsid w:val="009250A8"/>
    <w:rsid w:val="00925BE6"/>
    <w:rsid w:val="0092612E"/>
    <w:rsid w:val="00926F61"/>
    <w:rsid w:val="0093123D"/>
    <w:rsid w:val="00933040"/>
    <w:rsid w:val="009330E9"/>
    <w:rsid w:val="009335D6"/>
    <w:rsid w:val="00935D15"/>
    <w:rsid w:val="009411FB"/>
    <w:rsid w:val="009414A9"/>
    <w:rsid w:val="00941B71"/>
    <w:rsid w:val="009421AD"/>
    <w:rsid w:val="0094221C"/>
    <w:rsid w:val="0094409C"/>
    <w:rsid w:val="00944103"/>
    <w:rsid w:val="00944159"/>
    <w:rsid w:val="009449B2"/>
    <w:rsid w:val="00944A82"/>
    <w:rsid w:val="00946C4D"/>
    <w:rsid w:val="0095285B"/>
    <w:rsid w:val="00953011"/>
    <w:rsid w:val="00953085"/>
    <w:rsid w:val="00953495"/>
    <w:rsid w:val="009538FA"/>
    <w:rsid w:val="00953F35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3D3"/>
    <w:rsid w:val="0096485F"/>
    <w:rsid w:val="00965710"/>
    <w:rsid w:val="00967354"/>
    <w:rsid w:val="009676A1"/>
    <w:rsid w:val="00971592"/>
    <w:rsid w:val="00971DDF"/>
    <w:rsid w:val="009731D6"/>
    <w:rsid w:val="00974746"/>
    <w:rsid w:val="00975119"/>
    <w:rsid w:val="0097587B"/>
    <w:rsid w:val="00976F04"/>
    <w:rsid w:val="009777F4"/>
    <w:rsid w:val="00977AD8"/>
    <w:rsid w:val="00980A10"/>
    <w:rsid w:val="00980A5A"/>
    <w:rsid w:val="00981130"/>
    <w:rsid w:val="0098140E"/>
    <w:rsid w:val="009818A7"/>
    <w:rsid w:val="00982A6E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08A5"/>
    <w:rsid w:val="009B1E47"/>
    <w:rsid w:val="009B2CED"/>
    <w:rsid w:val="009B59E5"/>
    <w:rsid w:val="009B7A72"/>
    <w:rsid w:val="009B7BB8"/>
    <w:rsid w:val="009C126A"/>
    <w:rsid w:val="009C1D4C"/>
    <w:rsid w:val="009C2DD2"/>
    <w:rsid w:val="009C3BBF"/>
    <w:rsid w:val="009C3C7F"/>
    <w:rsid w:val="009C441F"/>
    <w:rsid w:val="009C4A07"/>
    <w:rsid w:val="009C4B8E"/>
    <w:rsid w:val="009C51D5"/>
    <w:rsid w:val="009C599A"/>
    <w:rsid w:val="009C5C3B"/>
    <w:rsid w:val="009C650E"/>
    <w:rsid w:val="009C70DB"/>
    <w:rsid w:val="009D0A7F"/>
    <w:rsid w:val="009D19BC"/>
    <w:rsid w:val="009D1FA3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0CF1"/>
    <w:rsid w:val="009F2493"/>
    <w:rsid w:val="009F5B48"/>
    <w:rsid w:val="009F72FF"/>
    <w:rsid w:val="009F7867"/>
    <w:rsid w:val="009F7D66"/>
    <w:rsid w:val="00A00BD2"/>
    <w:rsid w:val="00A00E56"/>
    <w:rsid w:val="00A00F52"/>
    <w:rsid w:val="00A027F3"/>
    <w:rsid w:val="00A03978"/>
    <w:rsid w:val="00A07E08"/>
    <w:rsid w:val="00A12798"/>
    <w:rsid w:val="00A14F13"/>
    <w:rsid w:val="00A153BE"/>
    <w:rsid w:val="00A15C9C"/>
    <w:rsid w:val="00A15DEE"/>
    <w:rsid w:val="00A16163"/>
    <w:rsid w:val="00A167B5"/>
    <w:rsid w:val="00A16DBE"/>
    <w:rsid w:val="00A17C4F"/>
    <w:rsid w:val="00A20A39"/>
    <w:rsid w:val="00A238BD"/>
    <w:rsid w:val="00A2459D"/>
    <w:rsid w:val="00A24E23"/>
    <w:rsid w:val="00A24EFB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37D95"/>
    <w:rsid w:val="00A42D07"/>
    <w:rsid w:val="00A450C0"/>
    <w:rsid w:val="00A4510F"/>
    <w:rsid w:val="00A45468"/>
    <w:rsid w:val="00A4791B"/>
    <w:rsid w:val="00A50A48"/>
    <w:rsid w:val="00A51522"/>
    <w:rsid w:val="00A51573"/>
    <w:rsid w:val="00A51A5E"/>
    <w:rsid w:val="00A51A87"/>
    <w:rsid w:val="00A52895"/>
    <w:rsid w:val="00A53DA0"/>
    <w:rsid w:val="00A54155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3537"/>
    <w:rsid w:val="00A74692"/>
    <w:rsid w:val="00A7618B"/>
    <w:rsid w:val="00A7640B"/>
    <w:rsid w:val="00A7778B"/>
    <w:rsid w:val="00A803BC"/>
    <w:rsid w:val="00A80969"/>
    <w:rsid w:val="00A867AE"/>
    <w:rsid w:val="00A86EA7"/>
    <w:rsid w:val="00A92776"/>
    <w:rsid w:val="00A93161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A68D6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357D"/>
    <w:rsid w:val="00AC429F"/>
    <w:rsid w:val="00AC43FB"/>
    <w:rsid w:val="00AC51CB"/>
    <w:rsid w:val="00AC60B4"/>
    <w:rsid w:val="00AC7316"/>
    <w:rsid w:val="00AD00C5"/>
    <w:rsid w:val="00AD0492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BC6"/>
    <w:rsid w:val="00AE3DE1"/>
    <w:rsid w:val="00AF2D54"/>
    <w:rsid w:val="00AF3458"/>
    <w:rsid w:val="00AF3F7B"/>
    <w:rsid w:val="00AF42B4"/>
    <w:rsid w:val="00AF44EC"/>
    <w:rsid w:val="00AF48D5"/>
    <w:rsid w:val="00AF4B8A"/>
    <w:rsid w:val="00AF4F1B"/>
    <w:rsid w:val="00AF5EC6"/>
    <w:rsid w:val="00AF6E8A"/>
    <w:rsid w:val="00AF7213"/>
    <w:rsid w:val="00AF7D92"/>
    <w:rsid w:val="00B005DA"/>
    <w:rsid w:val="00B011CC"/>
    <w:rsid w:val="00B03FFE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68C"/>
    <w:rsid w:val="00B40A96"/>
    <w:rsid w:val="00B40B14"/>
    <w:rsid w:val="00B4147D"/>
    <w:rsid w:val="00B422A7"/>
    <w:rsid w:val="00B42A32"/>
    <w:rsid w:val="00B42FA6"/>
    <w:rsid w:val="00B4399E"/>
    <w:rsid w:val="00B43A16"/>
    <w:rsid w:val="00B45CE1"/>
    <w:rsid w:val="00B46A75"/>
    <w:rsid w:val="00B500CD"/>
    <w:rsid w:val="00B510FE"/>
    <w:rsid w:val="00B5239C"/>
    <w:rsid w:val="00B53893"/>
    <w:rsid w:val="00B548C2"/>
    <w:rsid w:val="00B55118"/>
    <w:rsid w:val="00B55428"/>
    <w:rsid w:val="00B570BF"/>
    <w:rsid w:val="00B571E1"/>
    <w:rsid w:val="00B63337"/>
    <w:rsid w:val="00B6369F"/>
    <w:rsid w:val="00B639D7"/>
    <w:rsid w:val="00B64898"/>
    <w:rsid w:val="00B67074"/>
    <w:rsid w:val="00B6720A"/>
    <w:rsid w:val="00B67805"/>
    <w:rsid w:val="00B71B58"/>
    <w:rsid w:val="00B7267A"/>
    <w:rsid w:val="00B726FF"/>
    <w:rsid w:val="00B72AA4"/>
    <w:rsid w:val="00B752B7"/>
    <w:rsid w:val="00B76BCD"/>
    <w:rsid w:val="00B76EE9"/>
    <w:rsid w:val="00B77880"/>
    <w:rsid w:val="00B80D90"/>
    <w:rsid w:val="00B81054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5247"/>
    <w:rsid w:val="00B96944"/>
    <w:rsid w:val="00B97CA3"/>
    <w:rsid w:val="00BA0E82"/>
    <w:rsid w:val="00BA3C59"/>
    <w:rsid w:val="00BA658E"/>
    <w:rsid w:val="00BA70B6"/>
    <w:rsid w:val="00BA76A9"/>
    <w:rsid w:val="00BA7CC5"/>
    <w:rsid w:val="00BB360C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074"/>
    <w:rsid w:val="00BC58B9"/>
    <w:rsid w:val="00BC5A27"/>
    <w:rsid w:val="00BD08B1"/>
    <w:rsid w:val="00BD1AC1"/>
    <w:rsid w:val="00BD3E68"/>
    <w:rsid w:val="00BD598A"/>
    <w:rsid w:val="00BD695E"/>
    <w:rsid w:val="00BD7217"/>
    <w:rsid w:val="00BD75B4"/>
    <w:rsid w:val="00BD7D14"/>
    <w:rsid w:val="00BE02B4"/>
    <w:rsid w:val="00BE631E"/>
    <w:rsid w:val="00BE7288"/>
    <w:rsid w:val="00BF0CCF"/>
    <w:rsid w:val="00BF0FC5"/>
    <w:rsid w:val="00BF10BC"/>
    <w:rsid w:val="00BF21AC"/>
    <w:rsid w:val="00BF2E53"/>
    <w:rsid w:val="00BF3669"/>
    <w:rsid w:val="00BF3C0D"/>
    <w:rsid w:val="00BF6AFD"/>
    <w:rsid w:val="00C01DD5"/>
    <w:rsid w:val="00C02628"/>
    <w:rsid w:val="00C02CBD"/>
    <w:rsid w:val="00C03309"/>
    <w:rsid w:val="00C037B1"/>
    <w:rsid w:val="00C0656E"/>
    <w:rsid w:val="00C072FE"/>
    <w:rsid w:val="00C1147E"/>
    <w:rsid w:val="00C12E39"/>
    <w:rsid w:val="00C14164"/>
    <w:rsid w:val="00C15D8E"/>
    <w:rsid w:val="00C17012"/>
    <w:rsid w:val="00C178FB"/>
    <w:rsid w:val="00C20C51"/>
    <w:rsid w:val="00C218C1"/>
    <w:rsid w:val="00C257B7"/>
    <w:rsid w:val="00C272E8"/>
    <w:rsid w:val="00C30695"/>
    <w:rsid w:val="00C31417"/>
    <w:rsid w:val="00C33359"/>
    <w:rsid w:val="00C348D6"/>
    <w:rsid w:val="00C36109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1F1"/>
    <w:rsid w:val="00C46B7E"/>
    <w:rsid w:val="00C50A4E"/>
    <w:rsid w:val="00C51E5F"/>
    <w:rsid w:val="00C520B1"/>
    <w:rsid w:val="00C522D6"/>
    <w:rsid w:val="00C54020"/>
    <w:rsid w:val="00C545C5"/>
    <w:rsid w:val="00C55F85"/>
    <w:rsid w:val="00C571B4"/>
    <w:rsid w:val="00C61D4B"/>
    <w:rsid w:val="00C62B0A"/>
    <w:rsid w:val="00C63F08"/>
    <w:rsid w:val="00C6528C"/>
    <w:rsid w:val="00C661E8"/>
    <w:rsid w:val="00C70084"/>
    <w:rsid w:val="00C7183E"/>
    <w:rsid w:val="00C7235B"/>
    <w:rsid w:val="00C72BFC"/>
    <w:rsid w:val="00C72E18"/>
    <w:rsid w:val="00C7380B"/>
    <w:rsid w:val="00C73872"/>
    <w:rsid w:val="00C74421"/>
    <w:rsid w:val="00C758C6"/>
    <w:rsid w:val="00C75F2F"/>
    <w:rsid w:val="00C75FEE"/>
    <w:rsid w:val="00C76F1D"/>
    <w:rsid w:val="00C77080"/>
    <w:rsid w:val="00C77D26"/>
    <w:rsid w:val="00C84D39"/>
    <w:rsid w:val="00C85277"/>
    <w:rsid w:val="00C856DE"/>
    <w:rsid w:val="00C85D76"/>
    <w:rsid w:val="00C873AC"/>
    <w:rsid w:val="00C92A5D"/>
    <w:rsid w:val="00C93462"/>
    <w:rsid w:val="00C94384"/>
    <w:rsid w:val="00C94545"/>
    <w:rsid w:val="00C94A34"/>
    <w:rsid w:val="00C94C2B"/>
    <w:rsid w:val="00C957F4"/>
    <w:rsid w:val="00C96F79"/>
    <w:rsid w:val="00C97CF9"/>
    <w:rsid w:val="00CA17DD"/>
    <w:rsid w:val="00CA1863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C5921"/>
    <w:rsid w:val="00CD078F"/>
    <w:rsid w:val="00CD121E"/>
    <w:rsid w:val="00CD3ED8"/>
    <w:rsid w:val="00CD74BB"/>
    <w:rsid w:val="00CD761D"/>
    <w:rsid w:val="00CD76B5"/>
    <w:rsid w:val="00CE2346"/>
    <w:rsid w:val="00CE42C8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3D06"/>
    <w:rsid w:val="00D14487"/>
    <w:rsid w:val="00D158F7"/>
    <w:rsid w:val="00D15E7E"/>
    <w:rsid w:val="00D1614D"/>
    <w:rsid w:val="00D20016"/>
    <w:rsid w:val="00D20AD3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3569"/>
    <w:rsid w:val="00D3462C"/>
    <w:rsid w:val="00D34E99"/>
    <w:rsid w:val="00D35198"/>
    <w:rsid w:val="00D3584B"/>
    <w:rsid w:val="00D42240"/>
    <w:rsid w:val="00D427C3"/>
    <w:rsid w:val="00D42EB8"/>
    <w:rsid w:val="00D44932"/>
    <w:rsid w:val="00D46111"/>
    <w:rsid w:val="00D47C16"/>
    <w:rsid w:val="00D50165"/>
    <w:rsid w:val="00D502AF"/>
    <w:rsid w:val="00D50764"/>
    <w:rsid w:val="00D50C12"/>
    <w:rsid w:val="00D510BF"/>
    <w:rsid w:val="00D51A77"/>
    <w:rsid w:val="00D52498"/>
    <w:rsid w:val="00D53830"/>
    <w:rsid w:val="00D55889"/>
    <w:rsid w:val="00D57AF0"/>
    <w:rsid w:val="00D62ECD"/>
    <w:rsid w:val="00D638EC"/>
    <w:rsid w:val="00D64426"/>
    <w:rsid w:val="00D67BC5"/>
    <w:rsid w:val="00D7021B"/>
    <w:rsid w:val="00D70D33"/>
    <w:rsid w:val="00D71ACC"/>
    <w:rsid w:val="00D73077"/>
    <w:rsid w:val="00D73A61"/>
    <w:rsid w:val="00D73C57"/>
    <w:rsid w:val="00D742FF"/>
    <w:rsid w:val="00D758B3"/>
    <w:rsid w:val="00D76ADC"/>
    <w:rsid w:val="00D77413"/>
    <w:rsid w:val="00D8044A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0C66"/>
    <w:rsid w:val="00DA180C"/>
    <w:rsid w:val="00DA2235"/>
    <w:rsid w:val="00DA2DFD"/>
    <w:rsid w:val="00DA2F9E"/>
    <w:rsid w:val="00DA451D"/>
    <w:rsid w:val="00DA56DB"/>
    <w:rsid w:val="00DA6452"/>
    <w:rsid w:val="00DA6FE9"/>
    <w:rsid w:val="00DA7925"/>
    <w:rsid w:val="00DA7E5F"/>
    <w:rsid w:val="00DB02DE"/>
    <w:rsid w:val="00DB0AB8"/>
    <w:rsid w:val="00DB0D2A"/>
    <w:rsid w:val="00DB0F30"/>
    <w:rsid w:val="00DB1DAB"/>
    <w:rsid w:val="00DB228C"/>
    <w:rsid w:val="00DB39D4"/>
    <w:rsid w:val="00DB3A47"/>
    <w:rsid w:val="00DB459D"/>
    <w:rsid w:val="00DB4E06"/>
    <w:rsid w:val="00DB6A80"/>
    <w:rsid w:val="00DB6C06"/>
    <w:rsid w:val="00DB722B"/>
    <w:rsid w:val="00DB7B06"/>
    <w:rsid w:val="00DC3A9D"/>
    <w:rsid w:val="00DC4ACD"/>
    <w:rsid w:val="00DC6C1E"/>
    <w:rsid w:val="00DC7951"/>
    <w:rsid w:val="00DD1C4B"/>
    <w:rsid w:val="00DD1F7B"/>
    <w:rsid w:val="00DD229E"/>
    <w:rsid w:val="00DD48B0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456C"/>
    <w:rsid w:val="00E0576C"/>
    <w:rsid w:val="00E068BC"/>
    <w:rsid w:val="00E073F0"/>
    <w:rsid w:val="00E10761"/>
    <w:rsid w:val="00E11D7A"/>
    <w:rsid w:val="00E11EEB"/>
    <w:rsid w:val="00E128F2"/>
    <w:rsid w:val="00E16463"/>
    <w:rsid w:val="00E24589"/>
    <w:rsid w:val="00E26727"/>
    <w:rsid w:val="00E26970"/>
    <w:rsid w:val="00E27730"/>
    <w:rsid w:val="00E27749"/>
    <w:rsid w:val="00E27791"/>
    <w:rsid w:val="00E319DB"/>
    <w:rsid w:val="00E31AFC"/>
    <w:rsid w:val="00E3409E"/>
    <w:rsid w:val="00E34F76"/>
    <w:rsid w:val="00E37BE5"/>
    <w:rsid w:val="00E41A27"/>
    <w:rsid w:val="00E4208C"/>
    <w:rsid w:val="00E44319"/>
    <w:rsid w:val="00E4608B"/>
    <w:rsid w:val="00E46A91"/>
    <w:rsid w:val="00E501D3"/>
    <w:rsid w:val="00E537BA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2461"/>
    <w:rsid w:val="00E74F5D"/>
    <w:rsid w:val="00E76034"/>
    <w:rsid w:val="00E77060"/>
    <w:rsid w:val="00E7722E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0CC9"/>
    <w:rsid w:val="00E919AC"/>
    <w:rsid w:val="00E91C8D"/>
    <w:rsid w:val="00E946A6"/>
    <w:rsid w:val="00E947E4"/>
    <w:rsid w:val="00E96A29"/>
    <w:rsid w:val="00E96FE6"/>
    <w:rsid w:val="00EA158D"/>
    <w:rsid w:val="00EA1D43"/>
    <w:rsid w:val="00EA2B81"/>
    <w:rsid w:val="00EA4EC9"/>
    <w:rsid w:val="00EA5E0F"/>
    <w:rsid w:val="00EA6FE4"/>
    <w:rsid w:val="00EA7F4C"/>
    <w:rsid w:val="00EB128B"/>
    <w:rsid w:val="00EB1D47"/>
    <w:rsid w:val="00EB2317"/>
    <w:rsid w:val="00EB279B"/>
    <w:rsid w:val="00EB2ABB"/>
    <w:rsid w:val="00EB5D88"/>
    <w:rsid w:val="00EB661B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728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833"/>
    <w:rsid w:val="00EE3FA9"/>
    <w:rsid w:val="00EE41C4"/>
    <w:rsid w:val="00EE76A9"/>
    <w:rsid w:val="00EE799E"/>
    <w:rsid w:val="00EE7CA8"/>
    <w:rsid w:val="00EE7FA7"/>
    <w:rsid w:val="00EF1093"/>
    <w:rsid w:val="00EF1B70"/>
    <w:rsid w:val="00EF1FCB"/>
    <w:rsid w:val="00EF21C3"/>
    <w:rsid w:val="00EF5929"/>
    <w:rsid w:val="00F0030E"/>
    <w:rsid w:val="00F00CD1"/>
    <w:rsid w:val="00F01E6B"/>
    <w:rsid w:val="00F0241C"/>
    <w:rsid w:val="00F025E1"/>
    <w:rsid w:val="00F05759"/>
    <w:rsid w:val="00F10CB9"/>
    <w:rsid w:val="00F110D5"/>
    <w:rsid w:val="00F12351"/>
    <w:rsid w:val="00F12EB4"/>
    <w:rsid w:val="00F16739"/>
    <w:rsid w:val="00F16DE2"/>
    <w:rsid w:val="00F2052B"/>
    <w:rsid w:val="00F2260F"/>
    <w:rsid w:val="00F24132"/>
    <w:rsid w:val="00F242AD"/>
    <w:rsid w:val="00F247F2"/>
    <w:rsid w:val="00F265F7"/>
    <w:rsid w:val="00F277EC"/>
    <w:rsid w:val="00F27FA6"/>
    <w:rsid w:val="00F31429"/>
    <w:rsid w:val="00F32865"/>
    <w:rsid w:val="00F33DC8"/>
    <w:rsid w:val="00F34444"/>
    <w:rsid w:val="00F353D9"/>
    <w:rsid w:val="00F35617"/>
    <w:rsid w:val="00F360CE"/>
    <w:rsid w:val="00F4275C"/>
    <w:rsid w:val="00F432C7"/>
    <w:rsid w:val="00F52339"/>
    <w:rsid w:val="00F5277A"/>
    <w:rsid w:val="00F532E8"/>
    <w:rsid w:val="00F537FF"/>
    <w:rsid w:val="00F560FE"/>
    <w:rsid w:val="00F60C1D"/>
    <w:rsid w:val="00F6111C"/>
    <w:rsid w:val="00F614C0"/>
    <w:rsid w:val="00F61647"/>
    <w:rsid w:val="00F62387"/>
    <w:rsid w:val="00F657CF"/>
    <w:rsid w:val="00F679CF"/>
    <w:rsid w:val="00F70A64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94"/>
    <w:rsid w:val="00F87AB3"/>
    <w:rsid w:val="00F87D1A"/>
    <w:rsid w:val="00F913DC"/>
    <w:rsid w:val="00F91DDA"/>
    <w:rsid w:val="00F9397A"/>
    <w:rsid w:val="00F93A37"/>
    <w:rsid w:val="00F94182"/>
    <w:rsid w:val="00F944D9"/>
    <w:rsid w:val="00F94DB3"/>
    <w:rsid w:val="00F96500"/>
    <w:rsid w:val="00FA181D"/>
    <w:rsid w:val="00FA3D2B"/>
    <w:rsid w:val="00FA413A"/>
    <w:rsid w:val="00FA4144"/>
    <w:rsid w:val="00FA4DDF"/>
    <w:rsid w:val="00FA6E7F"/>
    <w:rsid w:val="00FA7114"/>
    <w:rsid w:val="00FB0218"/>
    <w:rsid w:val="00FB13D1"/>
    <w:rsid w:val="00FB1F5D"/>
    <w:rsid w:val="00FB2379"/>
    <w:rsid w:val="00FB4B8A"/>
    <w:rsid w:val="00FB4F04"/>
    <w:rsid w:val="00FB5152"/>
    <w:rsid w:val="00FB680E"/>
    <w:rsid w:val="00FB7FCA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D721A"/>
    <w:rsid w:val="00FE002E"/>
    <w:rsid w:val="00FE2398"/>
    <w:rsid w:val="00FE515A"/>
    <w:rsid w:val="00FE5624"/>
    <w:rsid w:val="00FE5D2C"/>
    <w:rsid w:val="00FE5FBF"/>
    <w:rsid w:val="00FE6B7D"/>
    <w:rsid w:val="00FE6C25"/>
    <w:rsid w:val="00FF033A"/>
    <w:rsid w:val="00FF0964"/>
    <w:rsid w:val="00FF0D48"/>
    <w:rsid w:val="00FF16F2"/>
    <w:rsid w:val="00FF2B42"/>
    <w:rsid w:val="00FF3B7F"/>
    <w:rsid w:val="00FF484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6E0119"/>
  <w15:docId w15:val="{D32100B9-6534-4746-98AA-C202BB85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link w:val="Header"/>
    <w:rsid w:val="00612825"/>
    <w:rPr>
      <w:rFonts w:ascii="Arial" w:hAnsi="Arial"/>
      <w:b/>
      <w:noProof/>
      <w:sz w:val="18"/>
    </w:rPr>
  </w:style>
  <w:style w:type="character" w:customStyle="1" w:styleId="B2Char">
    <w:name w:val="B2 Char"/>
    <w:link w:val="B2"/>
    <w:rsid w:val="00F12EB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SP-5AIRPNAIUNRU-1830940522-939</_dlc_DocId>
    <_dlc_DocIdUrl xmlns="71c5aaf6-e6ce-465b-b873-5148d2a4c105">
      <Url>https://nokia.sharepoint.com/sites/c5g/5gradio/_layouts/15/DocIdRedir.aspx?ID=SP-5AIRPNAIUNRU-1830940522-939</Url>
      <Description>SP-5AIRPNAIUNRU-1830940522-939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F0657-6B91-44A4-AD6E-627C16133B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C2F4BBE-15F8-4205-A683-EB405A2E790C}"/>
</file>

<file path=customXml/itemProps5.xml><?xml version="1.0" encoding="utf-8"?>
<ds:datastoreItem xmlns:ds="http://schemas.openxmlformats.org/officeDocument/2006/customXml" ds:itemID="{7506B010-5E0A-49A1-BBDE-E0256C63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178</TotalTime>
  <Pages>4</Pages>
  <Words>1700</Words>
  <Characters>9692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11370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Nokia</cp:lastModifiedBy>
  <cp:revision>7</cp:revision>
  <cp:lastPrinted>2016-06-16T05:17:00Z</cp:lastPrinted>
  <dcterms:created xsi:type="dcterms:W3CDTF">2017-04-27T10:40:00Z</dcterms:created>
  <dcterms:modified xsi:type="dcterms:W3CDTF">2017-05-05T18:44:00Z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b7414d13-356a-4211-a8fe-886c1175db38</vt:lpwstr>
  </property>
</Properties>
</file>