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36DB3">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2B1EA4">
        <w:rPr>
          <w:rFonts w:cs="Arial"/>
          <w:bCs/>
          <w:sz w:val="22"/>
        </w:rPr>
        <w:t>07499</w:t>
      </w:r>
    </w:p>
    <w:p w:rsidR="00C11ED7" w:rsidRPr="005D47C0" w:rsidRDefault="00236DB3"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15</w:t>
      </w:r>
      <w:r w:rsidRPr="00236DB3">
        <w:rPr>
          <w:rFonts w:cs="Arial"/>
          <w:bCs/>
          <w:sz w:val="22"/>
          <w:vertAlign w:val="superscript"/>
        </w:rPr>
        <w:t>th</w:t>
      </w:r>
      <w:r>
        <w:rPr>
          <w:rFonts w:cs="Arial"/>
          <w:bCs/>
          <w:sz w:val="22"/>
        </w:rPr>
        <w:t xml:space="preserve"> – 19</w:t>
      </w:r>
      <w:r w:rsidRPr="00236DB3">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397C51" w:rsidRPr="00397C51">
        <w:rPr>
          <w:sz w:val="22"/>
          <w:szCs w:val="22"/>
        </w:rPr>
        <w:t>Discussion on NR DCI formats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36DB3">
        <w:rPr>
          <w:sz w:val="22"/>
          <w:szCs w:val="22"/>
        </w:rPr>
        <w:t>7</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7C51">
        <w:rPr>
          <w:rFonts w:eastAsia="SimSun"/>
          <w:sz w:val="22"/>
          <w:szCs w:val="22"/>
          <w:lang w:eastAsia="zh-CN"/>
        </w:rPr>
        <w:t>1.4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34917" w:rsidRDefault="00B73FC9" w:rsidP="00423654">
      <w:pPr>
        <w:pStyle w:val="BodyText"/>
        <w:rPr>
          <w:rFonts w:eastAsia="SimSun"/>
          <w:lang w:eastAsia="zh-CN"/>
        </w:rPr>
      </w:pPr>
      <w:r>
        <w:rPr>
          <w:rFonts w:eastAsia="SimSun"/>
          <w:lang w:eastAsia="zh-CN"/>
        </w:rPr>
        <w:t xml:space="preserve">NR would support more flexible DL control signaling mechanisms compared to LTE. Such flexibility relaxes </w:t>
      </w:r>
      <w:r w:rsidR="00A2599C">
        <w:rPr>
          <w:rFonts w:eastAsia="SimSun"/>
          <w:lang w:eastAsia="zh-CN"/>
        </w:rPr>
        <w:t xml:space="preserve">the </w:t>
      </w:r>
      <w:r>
        <w:rPr>
          <w:rFonts w:eastAsia="SimSun"/>
          <w:lang w:eastAsia="zh-CN"/>
        </w:rPr>
        <w:t xml:space="preserve">scheduling and timing constraints </w:t>
      </w:r>
      <w:r w:rsidR="00EC7104">
        <w:rPr>
          <w:rFonts w:eastAsia="SimSun"/>
          <w:lang w:eastAsia="zh-CN"/>
        </w:rPr>
        <w:t>present</w:t>
      </w:r>
      <w:r>
        <w:rPr>
          <w:rFonts w:eastAsia="SimSun"/>
          <w:lang w:eastAsia="zh-CN"/>
        </w:rPr>
        <w:t xml:space="preserve"> in LTE</w:t>
      </w:r>
      <w:r w:rsidR="00A2599C">
        <w:rPr>
          <w:rFonts w:eastAsia="SimSun"/>
          <w:lang w:eastAsia="zh-CN"/>
        </w:rPr>
        <w:t>,</w:t>
      </w:r>
      <w:r w:rsidR="00EC7104">
        <w:rPr>
          <w:rFonts w:eastAsia="SimSun"/>
          <w:lang w:eastAsia="zh-CN"/>
        </w:rPr>
        <w:t xml:space="preserve"> </w:t>
      </w:r>
      <w:r w:rsidR="00F8194D">
        <w:rPr>
          <w:rFonts w:eastAsia="SimSun"/>
          <w:lang w:eastAsia="zh-CN"/>
        </w:rPr>
        <w:t xml:space="preserve">thereby providing </w:t>
      </w:r>
      <w:r>
        <w:rPr>
          <w:rFonts w:eastAsia="SimSun"/>
          <w:lang w:eastAsia="zh-CN"/>
        </w:rPr>
        <w:t xml:space="preserve">an easier specification path </w:t>
      </w:r>
      <w:r w:rsidR="00A2599C">
        <w:rPr>
          <w:rFonts w:eastAsia="SimSun"/>
          <w:lang w:eastAsia="zh-CN"/>
        </w:rPr>
        <w:t>for</w:t>
      </w:r>
      <w:r>
        <w:rPr>
          <w:rFonts w:eastAsia="SimSun"/>
          <w:lang w:eastAsia="zh-CN"/>
        </w:rPr>
        <w:t xml:space="preserve"> more advanced features in later NR releases. On the other hand a greater degree of flexibility inevitably results in increased signaling overhead at both physical and higher layers. </w:t>
      </w:r>
      <w:r w:rsidR="00EC7104">
        <w:rPr>
          <w:rFonts w:eastAsia="SimSun"/>
          <w:lang w:eastAsia="zh-CN"/>
        </w:rPr>
        <w:t xml:space="preserve">Furthermore, array architectures and above 6GHz deployments </w:t>
      </w:r>
      <w:r w:rsidR="00A2599C">
        <w:rPr>
          <w:rFonts w:eastAsia="SimSun"/>
          <w:lang w:eastAsia="zh-CN"/>
        </w:rPr>
        <w:t xml:space="preserve">would </w:t>
      </w:r>
      <w:r w:rsidR="00EC7104">
        <w:rPr>
          <w:rFonts w:eastAsia="SimSun"/>
          <w:lang w:eastAsia="zh-CN"/>
        </w:rPr>
        <w:t>require additional signaling for CSI</w:t>
      </w:r>
      <w:r w:rsidR="00A2599C">
        <w:rPr>
          <w:rFonts w:eastAsia="SimSun"/>
          <w:lang w:eastAsia="zh-CN"/>
        </w:rPr>
        <w:t>/interference measurement</w:t>
      </w:r>
      <w:r w:rsidR="00EC7104">
        <w:rPr>
          <w:rFonts w:eastAsia="SimSun"/>
          <w:lang w:eastAsia="zh-CN"/>
        </w:rPr>
        <w:t>, beam management and</w:t>
      </w:r>
      <w:r w:rsidR="00A2599C">
        <w:rPr>
          <w:rFonts w:eastAsia="SimSun"/>
          <w:lang w:eastAsia="zh-CN"/>
        </w:rPr>
        <w:t>, possibly, phase noise compensation</w:t>
      </w:r>
      <w:r w:rsidR="00EC7104">
        <w:rPr>
          <w:rFonts w:eastAsia="SimSun"/>
          <w:lang w:eastAsia="zh-CN"/>
        </w:rPr>
        <w:t xml:space="preserve">. </w:t>
      </w:r>
      <w:r>
        <w:rPr>
          <w:rFonts w:eastAsia="SimSun"/>
          <w:lang w:eastAsia="zh-CN"/>
        </w:rPr>
        <w:t>This contribution</w:t>
      </w:r>
      <w:r w:rsidR="00A2599C">
        <w:rPr>
          <w:rFonts w:eastAsia="SimSun"/>
          <w:lang w:eastAsia="zh-CN"/>
        </w:rPr>
        <w:t xml:space="preserve"> presents some options for constructing DCI formats. </w:t>
      </w:r>
      <w:r w:rsidR="000B6693">
        <w:rPr>
          <w:rFonts w:eastAsia="SimSun"/>
          <w:lang w:eastAsia="zh-CN"/>
        </w:rPr>
        <w:t xml:space="preserve">Furthermore, we </w:t>
      </w:r>
      <w:r w:rsidR="00A2599C">
        <w:rPr>
          <w:rFonts w:eastAsia="SimSun"/>
          <w:lang w:eastAsia="zh-CN"/>
        </w:rPr>
        <w:t>provide a preliminary overview of the DCI fields that would be required in NR</w:t>
      </w:r>
      <w:r>
        <w:rPr>
          <w:rFonts w:eastAsia="SimSun"/>
          <w:lang w:eastAsia="zh-CN"/>
        </w:rPr>
        <w:t>.</w:t>
      </w:r>
    </w:p>
    <w:p w:rsidR="00B73FC9" w:rsidRDefault="00B73FC9" w:rsidP="00423654">
      <w:pPr>
        <w:pStyle w:val="BodyText"/>
        <w:rPr>
          <w:rFonts w:eastAsia="SimSun"/>
          <w:lang w:eastAsia="zh-CN"/>
        </w:rPr>
      </w:pPr>
    </w:p>
    <w:p w:rsidR="009478B6" w:rsidRDefault="001B01D7" w:rsidP="009478B6">
      <w:pPr>
        <w:pStyle w:val="Heading1"/>
      </w:pPr>
      <w:r>
        <w:t>D</w:t>
      </w:r>
      <w:r w:rsidR="002E3626">
        <w:t>CI Structure</w:t>
      </w:r>
    </w:p>
    <w:p w:rsidR="00F8194D" w:rsidRDefault="00F8194D" w:rsidP="00A75366">
      <w:r>
        <w:t xml:space="preserve">LTE DCI formats were defined based on </w:t>
      </w:r>
      <w:r w:rsidR="007C1588">
        <w:t xml:space="preserve">the configured DL </w:t>
      </w:r>
      <w:r>
        <w:t>transmission modes</w:t>
      </w:r>
      <w:r w:rsidR="007C1588">
        <w:t xml:space="preserve">, which led to an </w:t>
      </w:r>
      <w:r>
        <w:t xml:space="preserve">increasing number of DCI formats as new features </w:t>
      </w:r>
      <w:r w:rsidR="007C1588">
        <w:t>were</w:t>
      </w:r>
      <w:r>
        <w:t xml:space="preserve"> added.  </w:t>
      </w:r>
      <w:r w:rsidR="00A95F45">
        <w:fldChar w:fldCharType="begin"/>
      </w:r>
      <w:r>
        <w:instrText xml:space="preserve"> REF _Ref481531547 \h </w:instrText>
      </w:r>
      <w:r w:rsidR="00A95F45">
        <w:fldChar w:fldCharType="separate"/>
      </w:r>
      <w:r>
        <w:t xml:space="preserve">Table </w:t>
      </w:r>
      <w:r>
        <w:rPr>
          <w:noProof/>
        </w:rPr>
        <w:t>1</w:t>
      </w:r>
      <w:r w:rsidR="00A95F45">
        <w:fldChar w:fldCharType="end"/>
      </w:r>
      <w:r>
        <w:t xml:space="preserve"> shows the maximum LTE </w:t>
      </w:r>
      <w:r w:rsidR="0083358C">
        <w:t xml:space="preserve">TDD </w:t>
      </w:r>
      <w:r>
        <w:t>Rel-13 DCI format payload sizes</w:t>
      </w:r>
      <w:r w:rsidR="0083358C">
        <w:t xml:space="preserve"> </w:t>
      </w:r>
      <w:r>
        <w:t>without bit padding</w:t>
      </w:r>
      <w:r w:rsidR="00A2599C">
        <w:t>. Here we have assumed several features (CA, cross-scheduling, A-SRS) are enabled in order to highlight the maximum possible payload sizes</w:t>
      </w:r>
      <w:r>
        <w:t xml:space="preserve"> for typical system bandwidths. </w:t>
      </w:r>
    </w:p>
    <w:p w:rsidR="00F8194D" w:rsidRDefault="00F8194D" w:rsidP="00F8194D">
      <w:pPr>
        <w:pStyle w:val="Caption"/>
        <w:keepNext/>
        <w:jc w:val="center"/>
      </w:pPr>
      <w:bookmarkStart w:id="3" w:name="_Ref481531547"/>
      <w:r>
        <w:t xml:space="preserve">Table </w:t>
      </w:r>
      <w:fldSimple w:instr=" SEQ Table \* ARABIC ">
        <w:r w:rsidR="009144FE">
          <w:rPr>
            <w:noProof/>
          </w:rPr>
          <w:t>1</w:t>
        </w:r>
      </w:fldSimple>
      <w:bookmarkEnd w:id="3"/>
      <w:r>
        <w:t xml:space="preserve"> LTE </w:t>
      </w:r>
      <w:r w:rsidR="0083358C">
        <w:t xml:space="preserve">TDD </w:t>
      </w:r>
      <w:r>
        <w:t>Rel-13 DCI payload sizes</w:t>
      </w:r>
      <w:r>
        <w:rPr>
          <w:noProof/>
        </w:rPr>
        <w:t xml:space="preserve"> </w:t>
      </w:r>
      <w:r w:rsidR="0083358C">
        <w:rPr>
          <w:noProof/>
        </w:rPr>
        <w:t xml:space="preserve">including CRC </w:t>
      </w:r>
      <w:r>
        <w:rPr>
          <w:noProof/>
        </w:rPr>
        <w:t xml:space="preserve">with CA, CIF, A-SRS </w:t>
      </w:r>
      <w:r w:rsidR="0083358C">
        <w:rPr>
          <w:noProof/>
        </w:rPr>
        <w:t>all configured</w:t>
      </w:r>
    </w:p>
    <w:tbl>
      <w:tblPr>
        <w:tblW w:w="8030" w:type="dxa"/>
        <w:jc w:val="center"/>
        <w:tblInd w:w="288" w:type="dxa"/>
        <w:tblLook w:val="04A0"/>
      </w:tblPr>
      <w:tblGrid>
        <w:gridCol w:w="810"/>
        <w:gridCol w:w="620"/>
        <w:gridCol w:w="600"/>
        <w:gridCol w:w="600"/>
        <w:gridCol w:w="600"/>
        <w:gridCol w:w="600"/>
        <w:gridCol w:w="600"/>
        <w:gridCol w:w="600"/>
        <w:gridCol w:w="600"/>
        <w:gridCol w:w="600"/>
        <w:gridCol w:w="600"/>
        <w:gridCol w:w="600"/>
        <w:gridCol w:w="600"/>
      </w:tblGrid>
      <w:tr w:rsidR="00F8194D" w:rsidRPr="00F8194D" w:rsidTr="0083358C">
        <w:trPr>
          <w:trHeight w:val="300"/>
          <w:jc w:val="center"/>
        </w:trPr>
        <w:tc>
          <w:tcPr>
            <w:tcW w:w="810"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BW (RBs)</w:t>
            </w:r>
          </w:p>
        </w:tc>
        <w:tc>
          <w:tcPr>
            <w:tcW w:w="62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0</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1</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1A</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1B</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1C</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1D</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2</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2A</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2B</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2C</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2D</w:t>
            </w:r>
          </w:p>
        </w:tc>
        <w:tc>
          <w:tcPr>
            <w:tcW w:w="600"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F8194D" w:rsidRPr="00F8194D" w:rsidRDefault="00F8194D" w:rsidP="00F8194D">
            <w:pPr>
              <w:jc w:val="center"/>
              <w:rPr>
                <w:color w:val="000000"/>
                <w:lang w:eastAsia="zh-CN"/>
              </w:rPr>
            </w:pPr>
            <w:r w:rsidRPr="00F8194D">
              <w:rPr>
                <w:color w:val="000000"/>
                <w:lang w:eastAsia="zh-CN"/>
              </w:rPr>
              <w:t>4</w:t>
            </w:r>
            <w:r w:rsidR="007C1588" w:rsidRPr="007C1588">
              <w:rPr>
                <w:color w:val="000000"/>
                <w:vertAlign w:val="superscript"/>
                <w:lang w:eastAsia="zh-CN"/>
              </w:rPr>
              <w:t>1</w:t>
            </w:r>
          </w:p>
        </w:tc>
      </w:tr>
      <w:tr w:rsidR="00F8194D" w:rsidRPr="00F8194D" w:rsidTr="0083358C">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25</w:t>
            </w:r>
          </w:p>
        </w:tc>
        <w:tc>
          <w:tcPr>
            <w:tcW w:w="620" w:type="dxa"/>
            <w:tcBorders>
              <w:top w:val="nil"/>
              <w:left w:val="nil"/>
              <w:bottom w:val="single" w:sz="4" w:space="0" w:color="auto"/>
              <w:right w:val="single" w:sz="4" w:space="0" w:color="auto"/>
            </w:tcBorders>
            <w:shd w:val="clear" w:color="auto" w:fill="auto"/>
            <w:noWrap/>
            <w:vAlign w:val="center"/>
            <w:hideMark/>
          </w:tcPr>
          <w:p w:rsidR="00F8194D" w:rsidRPr="00F8194D" w:rsidRDefault="001D0808" w:rsidP="00F8194D">
            <w:pPr>
              <w:jc w:val="center"/>
              <w:rPr>
                <w:color w:val="000000"/>
                <w:lang w:eastAsia="zh-CN"/>
              </w:rPr>
            </w:pPr>
            <w:r>
              <w:rPr>
                <w:color w:val="000000"/>
                <w:lang w:eastAsia="zh-CN"/>
              </w:rPr>
              <w:t>48</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51</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49</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52</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28</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52</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66</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62</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61</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64</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66</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B72AA5" w:rsidP="00F8194D">
            <w:pPr>
              <w:jc w:val="center"/>
              <w:rPr>
                <w:color w:val="000000"/>
                <w:lang w:eastAsia="zh-CN"/>
              </w:rPr>
            </w:pPr>
            <w:r>
              <w:rPr>
                <w:color w:val="000000"/>
                <w:lang w:eastAsia="zh-CN"/>
              </w:rPr>
              <w:t>6</w:t>
            </w:r>
            <w:r w:rsidR="001D0808">
              <w:rPr>
                <w:color w:val="000000"/>
                <w:lang w:eastAsia="zh-CN"/>
              </w:rPr>
              <w:t>0</w:t>
            </w:r>
          </w:p>
        </w:tc>
      </w:tr>
      <w:tr w:rsidR="00F8194D" w:rsidRPr="00F8194D" w:rsidTr="0083358C">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50</w:t>
            </w:r>
          </w:p>
        </w:tc>
        <w:tc>
          <w:tcPr>
            <w:tcW w:w="62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w:t>
            </w:r>
            <w:r w:rsidR="001D0808">
              <w:rPr>
                <w:color w:val="000000"/>
                <w:lang w:eastAsia="zh-CN"/>
              </w:rPr>
              <w:t>0</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55</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51</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54</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29</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54</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70</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66</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65</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68</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70</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B72AA5">
            <w:pPr>
              <w:jc w:val="center"/>
              <w:rPr>
                <w:color w:val="000000"/>
                <w:lang w:eastAsia="zh-CN"/>
              </w:rPr>
            </w:pPr>
            <w:r w:rsidRPr="00F8194D">
              <w:rPr>
                <w:color w:val="000000"/>
                <w:lang w:eastAsia="zh-CN"/>
              </w:rPr>
              <w:t>6</w:t>
            </w:r>
            <w:r w:rsidR="001D0808">
              <w:rPr>
                <w:color w:val="000000"/>
                <w:lang w:eastAsia="zh-CN"/>
              </w:rPr>
              <w:t>2</w:t>
            </w:r>
          </w:p>
        </w:tc>
      </w:tr>
      <w:tr w:rsidR="00F8194D" w:rsidRPr="00F8194D" w:rsidTr="0083358C">
        <w:trPr>
          <w:trHeight w:val="300"/>
          <w:jc w:val="center"/>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100</w:t>
            </w:r>
          </w:p>
        </w:tc>
        <w:tc>
          <w:tcPr>
            <w:tcW w:w="62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w:t>
            </w:r>
            <w:r w:rsidR="001D0808">
              <w:rPr>
                <w:color w:val="000000"/>
                <w:lang w:eastAsia="zh-CN"/>
              </w:rPr>
              <w:t>2</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63</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53</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56</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31</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56</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78</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74</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73</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76</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F8194D">
            <w:pPr>
              <w:jc w:val="center"/>
              <w:rPr>
                <w:color w:val="000000"/>
                <w:lang w:eastAsia="zh-CN"/>
              </w:rPr>
            </w:pPr>
            <w:r w:rsidRPr="00F8194D">
              <w:rPr>
                <w:color w:val="000000"/>
                <w:lang w:eastAsia="zh-CN"/>
              </w:rPr>
              <w:t>78</w:t>
            </w:r>
          </w:p>
        </w:tc>
        <w:tc>
          <w:tcPr>
            <w:tcW w:w="600" w:type="dxa"/>
            <w:tcBorders>
              <w:top w:val="nil"/>
              <w:left w:val="nil"/>
              <w:bottom w:val="single" w:sz="4" w:space="0" w:color="auto"/>
              <w:right w:val="single" w:sz="4" w:space="0" w:color="auto"/>
            </w:tcBorders>
            <w:shd w:val="clear" w:color="auto" w:fill="auto"/>
            <w:noWrap/>
            <w:vAlign w:val="center"/>
            <w:hideMark/>
          </w:tcPr>
          <w:p w:rsidR="00F8194D" w:rsidRPr="00F8194D" w:rsidRDefault="00F8194D" w:rsidP="00B72AA5">
            <w:pPr>
              <w:jc w:val="center"/>
              <w:rPr>
                <w:color w:val="000000"/>
                <w:lang w:eastAsia="zh-CN"/>
              </w:rPr>
            </w:pPr>
            <w:r w:rsidRPr="00F8194D">
              <w:rPr>
                <w:color w:val="000000"/>
                <w:lang w:eastAsia="zh-CN"/>
              </w:rPr>
              <w:t>6</w:t>
            </w:r>
            <w:r w:rsidR="001D0808">
              <w:rPr>
                <w:color w:val="000000"/>
                <w:lang w:eastAsia="zh-CN"/>
              </w:rPr>
              <w:t>4</w:t>
            </w:r>
          </w:p>
        </w:tc>
      </w:tr>
    </w:tbl>
    <w:p w:rsidR="00F8194D" w:rsidRDefault="007C1588" w:rsidP="00A75366">
      <w:r w:rsidRPr="00AE7D3A">
        <w:rPr>
          <w:sz w:val="18"/>
        </w:rPr>
        <w:t>Note 1: DCI Format 4 assumes 4 TX antenna ports at UE</w:t>
      </w:r>
    </w:p>
    <w:p w:rsidR="0083358C" w:rsidRDefault="0083358C" w:rsidP="00A75366"/>
    <w:p w:rsidR="007C1588" w:rsidRDefault="007C1588" w:rsidP="0083358C">
      <w:pPr>
        <w:jc w:val="both"/>
      </w:pPr>
      <w:r>
        <w:t>It can be seen that for DL MIMO</w:t>
      </w:r>
      <w:r w:rsidR="00A2599C">
        <w:t>-specific DCI</w:t>
      </w:r>
      <w:r>
        <w:t xml:space="preserve"> formats 2 through 2D</w:t>
      </w:r>
      <w:r w:rsidR="00A2599C">
        <w:t xml:space="preserve"> the payload sizes only differ by a few bits</w:t>
      </w:r>
      <w:r>
        <w:t xml:space="preserve">. In addition, if asynchronous HARQ </w:t>
      </w:r>
      <w:r w:rsidR="004A7F73">
        <w:t xml:space="preserve">(addition of at least 4 bits for HARQ process number) </w:t>
      </w:r>
      <w:r>
        <w:t xml:space="preserve">were configured for UL MIMO the format 4 payload size would not be significantly different from </w:t>
      </w:r>
      <w:r w:rsidR="006F4B60">
        <w:t>DCI formats 2A and 2B</w:t>
      </w:r>
      <w:r>
        <w:t xml:space="preserve">. </w:t>
      </w:r>
    </w:p>
    <w:p w:rsidR="007C1588" w:rsidRDefault="007C1588" w:rsidP="0083358C">
      <w:pPr>
        <w:jc w:val="both"/>
      </w:pPr>
    </w:p>
    <w:p w:rsidR="0078038F" w:rsidRDefault="0078038F" w:rsidP="0078038F">
      <w:pPr>
        <w:jc w:val="both"/>
      </w:pPr>
      <w:r>
        <w:t xml:space="preserve">One proposal </w:t>
      </w:r>
      <w:r w:rsidR="00215CA0">
        <w:t xml:space="preserve">discussed in </w:t>
      </w:r>
      <w:r w:rsidR="006F4B60">
        <w:t xml:space="preserve">e.g. </w:t>
      </w:r>
      <w:r w:rsidR="00A95F45">
        <w:fldChar w:fldCharType="begin"/>
      </w:r>
      <w:r w:rsidR="00215CA0">
        <w:instrText xml:space="preserve"> REF _Ref481537513 \n \h </w:instrText>
      </w:r>
      <w:r w:rsidR="00A95F45">
        <w:fldChar w:fldCharType="separate"/>
      </w:r>
      <w:r w:rsidR="00215CA0">
        <w:t>[1]</w:t>
      </w:r>
      <w:r w:rsidR="00A95F45">
        <w:fldChar w:fldCharType="end"/>
      </w:r>
      <w:r>
        <w:t xml:space="preserve"> </w:t>
      </w:r>
      <w:r w:rsidR="006F4B60">
        <w:t xml:space="preserve">is </w:t>
      </w:r>
      <w:r>
        <w:t xml:space="preserve">to simplify the DCI structure by defining only a small number of DCI formats. The motivation is that since many LTE DCI formats differ by only a few bits, it is simpler for NR to </w:t>
      </w:r>
      <w:r w:rsidR="000B6693">
        <w:t>support</w:t>
      </w:r>
      <w:r>
        <w:t xml:space="preserve"> a select few reference payload sizes. The DCI format </w:t>
      </w:r>
      <w:r w:rsidR="000B6693">
        <w:t>c</w:t>
      </w:r>
      <w:r>
        <w:t xml:space="preserve">ould contain a header field which defines the information fields contained in the DCI. Taking LTE DCI formats </w:t>
      </w:r>
      <w:r w:rsidR="002E3626">
        <w:t xml:space="preserve">in </w:t>
      </w:r>
      <w:r w:rsidR="00A95F45">
        <w:fldChar w:fldCharType="begin"/>
      </w:r>
      <w:r w:rsidR="002E3626">
        <w:instrText xml:space="preserve"> REF _Ref481531547 \h </w:instrText>
      </w:r>
      <w:r w:rsidR="00A95F45">
        <w:fldChar w:fldCharType="separate"/>
      </w:r>
      <w:r w:rsidR="002E3626">
        <w:t xml:space="preserve">Table </w:t>
      </w:r>
      <w:r w:rsidR="002E3626">
        <w:rPr>
          <w:noProof/>
        </w:rPr>
        <w:t>1</w:t>
      </w:r>
      <w:r w:rsidR="00A95F45">
        <w:fldChar w:fldCharType="end"/>
      </w:r>
      <w:r w:rsidR="002E3626">
        <w:t xml:space="preserve"> </w:t>
      </w:r>
      <w:r>
        <w:t xml:space="preserve">as an example, the implication is that the actual payload size is quantized to fit one of these reference sizes. </w:t>
      </w:r>
    </w:p>
    <w:p w:rsidR="0078038F" w:rsidRDefault="0078038F" w:rsidP="0078038F">
      <w:pPr>
        <w:jc w:val="both"/>
      </w:pPr>
    </w:p>
    <w:p w:rsidR="0078038F" w:rsidRDefault="0078038F" w:rsidP="0078038F">
      <w:pPr>
        <w:jc w:val="both"/>
      </w:pPr>
      <w:r>
        <w:t xml:space="preserve">Whilst this scheme </w:t>
      </w:r>
      <w:r w:rsidR="006F4B60">
        <w:t xml:space="preserve">obviates </w:t>
      </w:r>
      <w:r w:rsidR="002E3626">
        <w:t>the need for padding bits to avoid ambiguity</w:t>
      </w:r>
      <w:r w:rsidR="006F4B60">
        <w:t xml:space="preserve"> at the decoder,</w:t>
      </w:r>
      <w:r w:rsidR="002E3626">
        <w:t xml:space="preserve"> and also re</w:t>
      </w:r>
      <w:r>
        <w:t>duce</w:t>
      </w:r>
      <w:r w:rsidR="006F4B60">
        <w:t>s</w:t>
      </w:r>
      <w:r>
        <w:t xml:space="preserve"> specification </w:t>
      </w:r>
      <w:r w:rsidR="006F4B60">
        <w:t xml:space="preserve">effort, </w:t>
      </w:r>
      <w:r w:rsidR="002E3626">
        <w:t xml:space="preserve">further refinement is required to </w:t>
      </w:r>
      <w:r w:rsidR="006F4B60">
        <w:t xml:space="preserve">actually provide meaningful power savings. In LTE the number of blind decodes </w:t>
      </w:r>
      <w:r>
        <w:t xml:space="preserve">depends on the transmission modes, number of aggregation levels (ALs) and number of search spaces. </w:t>
      </w:r>
      <w:r w:rsidR="006F4B60">
        <w:t xml:space="preserve">An </w:t>
      </w:r>
      <w:r>
        <w:t xml:space="preserve">LTE </w:t>
      </w:r>
      <w:r>
        <w:rPr>
          <w:lang w:eastAsia="ja-JP"/>
        </w:rPr>
        <w:t>UE that is not configured for NB-IoT</w:t>
      </w:r>
      <w:r w:rsidR="006F4B60">
        <w:rPr>
          <w:lang w:eastAsia="ja-JP"/>
        </w:rPr>
        <w:t>,</w:t>
      </w:r>
      <w:r>
        <w:rPr>
          <w:lang w:eastAsia="ja-JP"/>
        </w:rPr>
        <w:t xml:space="preserve"> eMTC</w:t>
      </w:r>
      <w:r w:rsidR="006F4B60">
        <w:rPr>
          <w:lang w:eastAsia="ja-JP"/>
        </w:rPr>
        <w:t xml:space="preserve"> or LAA</w:t>
      </w:r>
      <w:r>
        <w:t xml:space="preserve"> needs to search in the UE-specific search space (UESS) for DCI formats 0/1A and for a DL transmission mode-dependent format such as 1/1B/1D/2/2A/2B/2C/2D. Furthermore, the UE also searches for DCI format 4 if UL MIMO is configured. Since there are 16 control channel candidates in the UESS, the UE performs up to 16 * 3 = 48 blind decodes. Therefore, </w:t>
      </w:r>
      <w:r w:rsidR="002E3626">
        <w:t xml:space="preserve">one way </w:t>
      </w:r>
      <w:r>
        <w:t xml:space="preserve">to reduce the number of BDs </w:t>
      </w:r>
      <w:r w:rsidR="002E3626">
        <w:t>is to define fewer payload sizes in NR</w:t>
      </w:r>
      <w:r>
        <w:t xml:space="preserve">. </w:t>
      </w:r>
      <w:r w:rsidR="002E3626">
        <w:t xml:space="preserve">For instance, </w:t>
      </w:r>
      <w:r w:rsidR="00237F27">
        <w:t xml:space="preserve">a small to moderate </w:t>
      </w:r>
      <w:r>
        <w:t xml:space="preserve">payload size may be </w:t>
      </w:r>
      <w:r w:rsidR="00237F27">
        <w:t xml:space="preserve">introduced which can also be </w:t>
      </w:r>
      <w:r>
        <w:t>used for fallback signaling. A</w:t>
      </w:r>
      <w:r w:rsidR="002E3626">
        <w:t xml:space="preserve"> </w:t>
      </w:r>
      <w:r w:rsidR="00237F27">
        <w:t xml:space="preserve">larger reference </w:t>
      </w:r>
      <w:r>
        <w:t xml:space="preserve">payload size may be defined </w:t>
      </w:r>
      <w:r w:rsidR="002E3626">
        <w:t xml:space="preserve">for scheduling </w:t>
      </w:r>
      <w:r>
        <w:t xml:space="preserve">based on UE-specific </w:t>
      </w:r>
      <w:r w:rsidR="002E3626">
        <w:t xml:space="preserve">RRC </w:t>
      </w:r>
      <w:r>
        <w:t xml:space="preserve">configuration. </w:t>
      </w:r>
    </w:p>
    <w:p w:rsidR="0078038F" w:rsidRDefault="0078038F" w:rsidP="0078038F">
      <w:pPr>
        <w:jc w:val="both"/>
      </w:pPr>
    </w:p>
    <w:p w:rsidR="0078038F" w:rsidRDefault="002E3626" w:rsidP="0078038F">
      <w:pPr>
        <w:jc w:val="both"/>
      </w:pPr>
      <w:r>
        <w:lastRenderedPageBreak/>
        <w:t xml:space="preserve">A possible </w:t>
      </w:r>
      <w:r w:rsidR="004A76A4">
        <w:t xml:space="preserve">concern for </w:t>
      </w:r>
      <w:r w:rsidR="0078038F">
        <w:t xml:space="preserve">this scheme can be observed from </w:t>
      </w:r>
      <w:r w:rsidR="00A95F45">
        <w:fldChar w:fldCharType="begin"/>
      </w:r>
      <w:r w:rsidR="0078038F">
        <w:instrText xml:space="preserve"> REF _Ref481531547 \h </w:instrText>
      </w:r>
      <w:r w:rsidR="00A95F45">
        <w:fldChar w:fldCharType="separate"/>
      </w:r>
      <w:r w:rsidR="0078038F">
        <w:t xml:space="preserve">Table </w:t>
      </w:r>
      <w:r w:rsidR="0078038F">
        <w:rPr>
          <w:noProof/>
        </w:rPr>
        <w:t>1</w:t>
      </w:r>
      <w:r w:rsidR="00A95F45">
        <w:fldChar w:fldCharType="end"/>
      </w:r>
      <w:r w:rsidR="0078038F">
        <w:t>. For example, up to 1</w:t>
      </w:r>
      <w:r w:rsidR="000527E0">
        <w:t>4</w:t>
      </w:r>
      <w:r w:rsidR="0078038F">
        <w:t xml:space="preserve"> padding bits (less for asynchronous UL HARQ) are needed to </w:t>
      </w:r>
      <w:r w:rsidR="006F4B60">
        <w:t xml:space="preserve">size </w:t>
      </w:r>
      <w:r w:rsidR="0078038F">
        <w:t xml:space="preserve">match DCI format 4 to DCI Format 2D. This </w:t>
      </w:r>
      <w:r w:rsidR="000527E0">
        <w:t>should</w:t>
      </w:r>
      <w:r w:rsidR="0078038F">
        <w:t xml:space="preserve"> not affect</w:t>
      </w:r>
      <w:r w:rsidR="000527E0">
        <w:t xml:space="preserve"> control channel</w:t>
      </w:r>
      <w:r w:rsidR="0078038F">
        <w:t xml:space="preserve"> reliability as </w:t>
      </w:r>
      <w:r w:rsidR="006F4B60">
        <w:t xml:space="preserve">a </w:t>
      </w:r>
      <w:r w:rsidR="0078038F">
        <w:t xml:space="preserve">UE </w:t>
      </w:r>
      <w:r w:rsidR="006F4B60">
        <w:t xml:space="preserve">configured in Transmission Mode 10 </w:t>
      </w:r>
      <w:r w:rsidR="0078038F">
        <w:t xml:space="preserve">should </w:t>
      </w:r>
      <w:r w:rsidR="006F4B60">
        <w:t xml:space="preserve">anyway </w:t>
      </w:r>
      <w:r w:rsidR="0078038F">
        <w:t xml:space="preserve">be able to decode the larger payload size. </w:t>
      </w:r>
      <w:r w:rsidR="004A76A4">
        <w:t>Another possible concern could be with regards to NR-PDCCH capacity, if a moderate DCI payload then requires more NR-CCEs because it is quantized to a large reference payload size. This is not expected to have a material impact on capacity</w:t>
      </w:r>
      <w:r w:rsidR="000527E0">
        <w:t>,</w:t>
      </w:r>
      <w:r w:rsidR="004A76A4">
        <w:t xml:space="preserve"> or equivalently </w:t>
      </w:r>
      <w:r>
        <w:t>blocking probability</w:t>
      </w:r>
      <w:r w:rsidR="000527E0">
        <w:t>,</w:t>
      </w:r>
      <w:r>
        <w:t xml:space="preserve"> </w:t>
      </w:r>
      <w:r w:rsidR="004A76A4">
        <w:t>but would need to be evaluated once a more precise estimate of NR DCI sizes is determined</w:t>
      </w:r>
      <w:r>
        <w:t xml:space="preserve">. </w:t>
      </w:r>
    </w:p>
    <w:p w:rsidR="0083358C" w:rsidRDefault="0083358C" w:rsidP="0083358C">
      <w:pPr>
        <w:jc w:val="both"/>
      </w:pPr>
      <w:r>
        <w:t xml:space="preserve"> </w:t>
      </w:r>
    </w:p>
    <w:p w:rsidR="002E3626" w:rsidRPr="00237F27" w:rsidRDefault="009951B4" w:rsidP="002E3626">
      <w:pPr>
        <w:pStyle w:val="ListParagraph"/>
        <w:numPr>
          <w:ilvl w:val="0"/>
          <w:numId w:val="14"/>
        </w:numPr>
        <w:ind w:firstLineChars="0"/>
        <w:rPr>
          <w:rFonts w:ascii="Times New Roman" w:hAnsi="Times New Roman" w:cs="Times New Roman"/>
          <w:b/>
          <w:sz w:val="20"/>
        </w:rPr>
      </w:pPr>
      <w:r>
        <w:rPr>
          <w:rFonts w:ascii="Times New Roman" w:hAnsi="Times New Roman" w:cs="Times New Roman"/>
          <w:b/>
          <w:sz w:val="20"/>
        </w:rPr>
        <w:t xml:space="preserve">Proposal: </w:t>
      </w:r>
      <w:r w:rsidR="002E3626" w:rsidRPr="00237F27">
        <w:rPr>
          <w:rFonts w:ascii="Times New Roman" w:hAnsi="Times New Roman" w:cs="Times New Roman"/>
          <w:b/>
          <w:sz w:val="20"/>
        </w:rPr>
        <w:t xml:space="preserve">Minimize the number of DCI payload sizes in NR. </w:t>
      </w:r>
    </w:p>
    <w:p w:rsidR="0083358C" w:rsidRDefault="002E3626" w:rsidP="009951B4">
      <w:pPr>
        <w:pStyle w:val="ListParagraph"/>
        <w:numPr>
          <w:ilvl w:val="1"/>
          <w:numId w:val="14"/>
        </w:numPr>
        <w:ind w:firstLineChars="0"/>
        <w:rPr>
          <w:rFonts w:ascii="Times New Roman" w:hAnsi="Times New Roman" w:cs="Times New Roman"/>
          <w:b/>
          <w:sz w:val="20"/>
        </w:rPr>
      </w:pPr>
      <w:r w:rsidRPr="00237F27">
        <w:rPr>
          <w:rFonts w:ascii="Times New Roman" w:hAnsi="Times New Roman" w:cs="Times New Roman"/>
          <w:b/>
          <w:sz w:val="20"/>
        </w:rPr>
        <w:t xml:space="preserve">Consider introducing </w:t>
      </w:r>
      <w:r w:rsidR="00237F27" w:rsidRPr="00237F27">
        <w:rPr>
          <w:rFonts w:ascii="Times New Roman" w:hAnsi="Times New Roman" w:cs="Times New Roman"/>
          <w:b/>
          <w:sz w:val="20"/>
        </w:rPr>
        <w:t>at least one moderate and one larger reference payload size to support fallback and UE-specific scheduling respectively.</w:t>
      </w:r>
      <w:r w:rsidRPr="00237F27">
        <w:rPr>
          <w:rFonts w:ascii="Times New Roman" w:hAnsi="Times New Roman" w:cs="Times New Roman"/>
          <w:b/>
          <w:sz w:val="20"/>
        </w:rPr>
        <w:t xml:space="preserve"> </w:t>
      </w:r>
    </w:p>
    <w:p w:rsidR="00237F27" w:rsidRDefault="00237F27" w:rsidP="00237F27">
      <w:pPr>
        <w:rPr>
          <w:b/>
        </w:rPr>
      </w:pPr>
    </w:p>
    <w:p w:rsidR="00237F27" w:rsidRDefault="00237F27" w:rsidP="00237F27"/>
    <w:p w:rsidR="00237F27" w:rsidRDefault="00237F27" w:rsidP="00237F27">
      <w:pPr>
        <w:pStyle w:val="Heading1"/>
      </w:pPr>
      <w:r w:rsidRPr="00237F27">
        <w:t>DCI Contents</w:t>
      </w:r>
    </w:p>
    <w:p w:rsidR="00237F27" w:rsidRDefault="00D236D1" w:rsidP="00237F27">
      <w:r>
        <w:t>In this section we provide a preliminary overview of DCI fields based on existing agreements. Some of these agreements are summarized here in no particular order:</w:t>
      </w:r>
    </w:p>
    <w:p w:rsidR="00D236D1" w:rsidRDefault="00D236D1" w:rsidP="00237F27"/>
    <w:p w:rsidR="00D236D1" w:rsidRDefault="00D236D1" w:rsidP="0058658D">
      <w:pPr>
        <w:pStyle w:val="ListParagraph"/>
        <w:numPr>
          <w:ilvl w:val="0"/>
          <w:numId w:val="22"/>
        </w:numPr>
        <w:ind w:firstLineChars="0"/>
        <w:jc w:val="both"/>
        <w:rPr>
          <w:rFonts w:ascii="Times New Roman" w:eastAsia="MS Mincho" w:hAnsi="Times New Roman" w:cs="Times New Roman"/>
          <w:sz w:val="20"/>
          <w:lang w:eastAsia="ja-JP"/>
        </w:rPr>
      </w:pPr>
      <w:r w:rsidRPr="00D03EA1">
        <w:rPr>
          <w:rFonts w:ascii="Times New Roman" w:eastAsia="MS Mincho" w:hAnsi="Times New Roman" w:cs="Times New Roman"/>
          <w:sz w:val="20"/>
          <w:u w:val="single"/>
          <w:lang w:eastAsia="ja-JP"/>
        </w:rPr>
        <w:t>Scheduling</w:t>
      </w:r>
      <w:r>
        <w:rPr>
          <w:rFonts w:ascii="Times New Roman" w:eastAsia="MS Mincho" w:hAnsi="Times New Roman" w:cs="Times New Roman"/>
          <w:sz w:val="20"/>
          <w:lang w:eastAsia="ja-JP"/>
        </w:rPr>
        <w:t xml:space="preserve">: </w:t>
      </w:r>
      <w:r w:rsidRPr="00D236D1">
        <w:rPr>
          <w:rFonts w:ascii="Times New Roman" w:eastAsia="MS Mincho" w:hAnsi="Times New Roman" w:cs="Times New Roman"/>
          <w:sz w:val="20"/>
          <w:lang w:eastAsia="ja-JP"/>
        </w:rPr>
        <w:t>Timing between DL assignment and corresponding DL data transmission</w:t>
      </w:r>
      <w:r>
        <w:rPr>
          <w:rFonts w:ascii="Times New Roman" w:eastAsia="MS Mincho" w:hAnsi="Times New Roman" w:cs="Times New Roman"/>
          <w:sz w:val="20"/>
          <w:lang w:eastAsia="ja-JP"/>
        </w:rPr>
        <w:t xml:space="preserve">, </w:t>
      </w:r>
      <w:r w:rsidRPr="00D236D1">
        <w:rPr>
          <w:rFonts w:ascii="Times New Roman" w:eastAsia="MS Mincho" w:hAnsi="Times New Roman" w:cs="Times New Roman"/>
          <w:sz w:val="20"/>
          <w:lang w:eastAsia="ja-JP"/>
        </w:rPr>
        <w:t xml:space="preserve"> </w:t>
      </w:r>
      <w:r>
        <w:rPr>
          <w:rFonts w:ascii="Times New Roman" w:eastAsia="MS Mincho" w:hAnsi="Times New Roman" w:cs="Times New Roman"/>
          <w:sz w:val="20"/>
          <w:lang w:eastAsia="ja-JP"/>
        </w:rPr>
        <w:t xml:space="preserve">or </w:t>
      </w:r>
      <w:r w:rsidRPr="00D236D1">
        <w:rPr>
          <w:rFonts w:ascii="Times New Roman" w:eastAsia="MS Mincho" w:hAnsi="Times New Roman" w:cs="Times New Roman"/>
          <w:sz w:val="20"/>
          <w:lang w:eastAsia="ja-JP"/>
        </w:rPr>
        <w:t>between UL assignment and corresponding UL data transmission</w:t>
      </w:r>
      <w:r>
        <w:rPr>
          <w:rFonts w:ascii="Times New Roman" w:eastAsia="MS Mincho" w:hAnsi="Times New Roman" w:cs="Times New Roman"/>
          <w:sz w:val="20"/>
          <w:lang w:eastAsia="ja-JP"/>
        </w:rPr>
        <w:t xml:space="preserve">, or between </w:t>
      </w:r>
      <w:r w:rsidRPr="00D236D1">
        <w:rPr>
          <w:rFonts w:ascii="Times New Roman" w:eastAsia="MS Mincho" w:hAnsi="Times New Roman" w:cs="Times New Roman"/>
          <w:sz w:val="20"/>
          <w:lang w:eastAsia="ja-JP"/>
        </w:rPr>
        <w:t xml:space="preserve"> DL data reception and corresponding acknowledgement is indicated by a field in the DCI from a set of values</w:t>
      </w:r>
      <w:r w:rsidRPr="00D236D1">
        <w:rPr>
          <w:rFonts w:ascii="Times New Roman" w:eastAsia="MS Mincho" w:hAnsi="Times New Roman" w:cs="Times New Roman" w:hint="eastAsia"/>
          <w:sz w:val="20"/>
          <w:szCs w:val="20"/>
          <w:lang w:eastAsia="ja-JP"/>
        </w:rPr>
        <w:t xml:space="preserve"> </w:t>
      </w:r>
      <w:r w:rsidRPr="00D236D1">
        <w:rPr>
          <w:rFonts w:ascii="Times New Roman" w:eastAsia="MS Mincho" w:hAnsi="Times New Roman" w:cs="Times New Roman" w:hint="eastAsia"/>
          <w:sz w:val="20"/>
          <w:lang w:eastAsia="ja-JP"/>
        </w:rPr>
        <w:t>configured by higher layer</w:t>
      </w:r>
      <w:r>
        <w:rPr>
          <w:rFonts w:ascii="Times New Roman" w:eastAsia="MS Mincho" w:hAnsi="Times New Roman" w:cs="Times New Roman"/>
          <w:sz w:val="20"/>
          <w:lang w:eastAsia="ja-JP"/>
        </w:rPr>
        <w:t xml:space="preserve"> signaling</w:t>
      </w:r>
    </w:p>
    <w:p w:rsidR="00B62025" w:rsidRDefault="00B62025" w:rsidP="0058658D">
      <w:pPr>
        <w:pStyle w:val="ListParagraph"/>
        <w:numPr>
          <w:ilvl w:val="0"/>
          <w:numId w:val="22"/>
        </w:numPr>
        <w:ind w:firstLineChars="0"/>
        <w:jc w:val="both"/>
        <w:rPr>
          <w:rFonts w:ascii="Times New Roman" w:eastAsia="MS Mincho" w:hAnsi="Times New Roman" w:cs="Times New Roman"/>
          <w:sz w:val="20"/>
          <w:lang w:eastAsia="ja-JP"/>
        </w:rPr>
      </w:pPr>
      <w:r w:rsidRPr="00D03EA1">
        <w:rPr>
          <w:rFonts w:ascii="Times New Roman" w:eastAsia="MS Mincho" w:hAnsi="Times New Roman" w:cs="Times New Roman"/>
          <w:sz w:val="20"/>
          <w:u w:val="single"/>
          <w:lang w:eastAsia="ja-JP"/>
        </w:rPr>
        <w:t>HARQ</w:t>
      </w:r>
      <w:r>
        <w:rPr>
          <w:rFonts w:ascii="Times New Roman" w:eastAsia="MS Mincho" w:hAnsi="Times New Roman" w:cs="Times New Roman"/>
          <w:sz w:val="20"/>
          <w:lang w:eastAsia="ja-JP"/>
        </w:rPr>
        <w:t>: asynchronous and adaptive HARQ is supported for DL and UL</w:t>
      </w:r>
      <w:r w:rsidR="00FC1596">
        <w:rPr>
          <w:rFonts w:ascii="Times New Roman" w:eastAsia="MS Mincho" w:hAnsi="Times New Roman" w:cs="Times New Roman"/>
          <w:sz w:val="20"/>
          <w:lang w:eastAsia="ja-JP"/>
        </w:rPr>
        <w:t>. CBG-based indication.</w:t>
      </w:r>
    </w:p>
    <w:p w:rsidR="00D236D1" w:rsidRDefault="00D236D1" w:rsidP="0058658D">
      <w:pPr>
        <w:pStyle w:val="ListParagraph"/>
        <w:numPr>
          <w:ilvl w:val="0"/>
          <w:numId w:val="22"/>
        </w:numPr>
        <w:ind w:firstLineChars="0"/>
        <w:jc w:val="both"/>
        <w:rPr>
          <w:rFonts w:ascii="Times New Roman" w:eastAsia="MS Mincho" w:hAnsi="Times New Roman" w:cs="Times New Roman"/>
          <w:sz w:val="20"/>
          <w:lang w:eastAsia="ja-JP"/>
        </w:rPr>
      </w:pPr>
      <w:r w:rsidRPr="00D03EA1">
        <w:rPr>
          <w:rFonts w:ascii="Times New Roman" w:eastAsia="MS Mincho" w:hAnsi="Times New Roman" w:cs="Times New Roman"/>
          <w:sz w:val="20"/>
          <w:u w:val="single"/>
          <w:lang w:eastAsia="ja-JP"/>
        </w:rPr>
        <w:t>PUCCH allocation</w:t>
      </w:r>
      <w:r>
        <w:rPr>
          <w:rFonts w:ascii="Times New Roman" w:eastAsia="MS Mincho" w:hAnsi="Times New Roman" w:cs="Times New Roman"/>
          <w:sz w:val="20"/>
          <w:lang w:eastAsia="ja-JP"/>
        </w:rPr>
        <w:t xml:space="preserve">: </w:t>
      </w:r>
      <w:r w:rsidRPr="00D236D1">
        <w:rPr>
          <w:rFonts w:ascii="Times New Roman" w:eastAsia="MS Mincho" w:hAnsi="Times New Roman" w:cs="Times New Roman"/>
          <w:sz w:val="20"/>
          <w:lang w:eastAsia="ja-JP"/>
        </w:rPr>
        <w:t>A combination of semi-static configuration and (at least for some types of UCI information) dynamic signaling is used to determine the PUCCH resource both for the long and short PUCCH formats. The PUCCH resource includes time, frequency and, when applicable, code domains.</w:t>
      </w:r>
    </w:p>
    <w:p w:rsidR="007D0F01" w:rsidRPr="00A02211" w:rsidRDefault="00D03EA1" w:rsidP="0058658D">
      <w:pPr>
        <w:numPr>
          <w:ilvl w:val="0"/>
          <w:numId w:val="14"/>
        </w:numPr>
        <w:jc w:val="both"/>
        <w:rPr>
          <w:rFonts w:eastAsia="MS Mincho"/>
          <w:lang w:eastAsia="ja-JP"/>
        </w:rPr>
      </w:pPr>
      <w:r w:rsidRPr="00D03EA1">
        <w:rPr>
          <w:rFonts w:eastAsia="MS Mincho"/>
          <w:iCs/>
          <w:u w:val="single"/>
          <w:lang w:eastAsia="ja-JP"/>
        </w:rPr>
        <w:t xml:space="preserve">Data resource </w:t>
      </w:r>
      <w:r w:rsidR="007D0F01" w:rsidRPr="00D03EA1">
        <w:rPr>
          <w:rFonts w:eastAsia="MS Mincho"/>
          <w:iCs/>
          <w:u w:val="single"/>
          <w:lang w:eastAsia="ja-JP"/>
        </w:rPr>
        <w:t>allocation</w:t>
      </w:r>
      <w:r w:rsidR="00BF26C7">
        <w:rPr>
          <w:rFonts w:eastAsia="MS Mincho"/>
          <w:iCs/>
          <w:lang w:eastAsia="ja-JP"/>
        </w:rPr>
        <w:t xml:space="preserve">: </w:t>
      </w:r>
      <w:r>
        <w:rPr>
          <w:rFonts w:eastAsia="MS Mincho"/>
          <w:iCs/>
          <w:lang w:eastAsia="ja-JP"/>
        </w:rPr>
        <w:t xml:space="preserve">resource allocation </w:t>
      </w:r>
      <w:r w:rsidR="007D0F01" w:rsidRPr="00A02211">
        <w:rPr>
          <w:rFonts w:eastAsia="MS Mincho"/>
          <w:iCs/>
          <w:lang w:eastAsia="ja-JP"/>
        </w:rPr>
        <w:t xml:space="preserve">for data transmission for a UE not capable of supporting the carrier bandwidth can be derived based on a two-step frequency-domain assignment process </w:t>
      </w:r>
    </w:p>
    <w:p w:rsidR="007D0F01" w:rsidRDefault="007D0F01" w:rsidP="0058658D">
      <w:pPr>
        <w:numPr>
          <w:ilvl w:val="1"/>
          <w:numId w:val="14"/>
        </w:numPr>
        <w:jc w:val="both"/>
        <w:rPr>
          <w:rFonts w:eastAsia="MS Mincho"/>
          <w:lang w:eastAsia="ja-JP"/>
        </w:rPr>
      </w:pPr>
      <w:r w:rsidRPr="00A02211">
        <w:rPr>
          <w:rFonts w:eastAsia="MS Mincho"/>
          <w:iCs/>
          <w:lang w:eastAsia="ja-JP"/>
        </w:rPr>
        <w:t>1</w:t>
      </w:r>
      <w:r w:rsidRPr="00A02211">
        <w:rPr>
          <w:rFonts w:eastAsia="MS Mincho"/>
          <w:iCs/>
          <w:vertAlign w:val="superscript"/>
          <w:lang w:eastAsia="ja-JP"/>
        </w:rPr>
        <w:t>st</w:t>
      </w:r>
      <w:r w:rsidRPr="00A02211">
        <w:rPr>
          <w:rFonts w:eastAsia="MS Mincho"/>
          <w:iCs/>
          <w:lang w:eastAsia="ja-JP"/>
        </w:rPr>
        <w:t xml:space="preserve"> step: indication of a bandwidth part</w:t>
      </w:r>
    </w:p>
    <w:p w:rsidR="007D0F01" w:rsidRDefault="007D0F01" w:rsidP="0058658D">
      <w:pPr>
        <w:numPr>
          <w:ilvl w:val="1"/>
          <w:numId w:val="14"/>
        </w:numPr>
        <w:jc w:val="both"/>
        <w:rPr>
          <w:rFonts w:eastAsia="MS Mincho"/>
          <w:lang w:eastAsia="ja-JP"/>
        </w:rPr>
      </w:pPr>
      <w:r w:rsidRPr="007D0F01">
        <w:rPr>
          <w:rFonts w:eastAsia="MS Mincho"/>
          <w:iCs/>
          <w:lang w:eastAsia="ja-JP"/>
        </w:rPr>
        <w:t>2</w:t>
      </w:r>
      <w:r w:rsidRPr="007D0F01">
        <w:rPr>
          <w:rFonts w:eastAsia="MS Mincho"/>
          <w:iCs/>
          <w:vertAlign w:val="superscript"/>
          <w:lang w:eastAsia="ja-JP"/>
        </w:rPr>
        <w:t>nd</w:t>
      </w:r>
      <w:r w:rsidRPr="007D0F01">
        <w:rPr>
          <w:rFonts w:eastAsia="MS Mincho"/>
          <w:iCs/>
          <w:lang w:eastAsia="ja-JP"/>
        </w:rPr>
        <w:t xml:space="preserve"> step: indication of the PRBs within the bandwidth part</w:t>
      </w:r>
    </w:p>
    <w:p w:rsidR="007D0F01" w:rsidRDefault="007D0F01" w:rsidP="0058658D">
      <w:pPr>
        <w:numPr>
          <w:ilvl w:val="0"/>
          <w:numId w:val="14"/>
        </w:numPr>
        <w:jc w:val="both"/>
        <w:rPr>
          <w:rFonts w:eastAsia="MS Mincho"/>
          <w:lang w:eastAsia="ja-JP"/>
        </w:rPr>
      </w:pPr>
      <w:r w:rsidRPr="00D03EA1">
        <w:rPr>
          <w:rFonts w:eastAsia="MS Mincho"/>
          <w:u w:val="single"/>
          <w:lang w:eastAsia="ja-JP"/>
        </w:rPr>
        <w:t>UL MIMO</w:t>
      </w:r>
      <w:r>
        <w:rPr>
          <w:rFonts w:eastAsia="MS Mincho"/>
          <w:lang w:eastAsia="ja-JP"/>
        </w:rPr>
        <w:t xml:space="preserve">: </w:t>
      </w:r>
      <w:r w:rsidRPr="007D0F01">
        <w:rPr>
          <w:rFonts w:eastAsia="MS Mincho"/>
          <w:lang w:eastAsia="ja-JP"/>
        </w:rPr>
        <w:t>NR supports UL-MIMO scheduling by DCI, which includes at least</w:t>
      </w:r>
      <w:r w:rsidRPr="007D0F01">
        <w:rPr>
          <w:rFonts w:eastAsia="MS Mincho" w:hint="eastAsia"/>
          <w:lang w:eastAsia="ja-JP"/>
        </w:rPr>
        <w:t xml:space="preserve"> some of</w:t>
      </w:r>
    </w:p>
    <w:p w:rsidR="007D0F01" w:rsidRDefault="007D0F01" w:rsidP="0058658D">
      <w:pPr>
        <w:numPr>
          <w:ilvl w:val="1"/>
          <w:numId w:val="14"/>
        </w:numPr>
        <w:jc w:val="both"/>
        <w:rPr>
          <w:rFonts w:eastAsia="MS Mincho"/>
          <w:lang w:eastAsia="ja-JP"/>
        </w:rPr>
      </w:pPr>
      <w:r w:rsidRPr="007D0F01">
        <w:rPr>
          <w:rFonts w:eastAsia="MS Mincho"/>
          <w:lang w:eastAsia="ja-JP"/>
        </w:rPr>
        <w:t>I</w:t>
      </w:r>
      <w:r w:rsidRPr="007D0F01">
        <w:rPr>
          <w:rFonts w:eastAsia="MS Mincho" w:hint="eastAsia"/>
          <w:lang w:eastAsia="ja-JP"/>
        </w:rPr>
        <w:t xml:space="preserve">ndication of a </w:t>
      </w:r>
      <w:r w:rsidRPr="007D0F01">
        <w:rPr>
          <w:rFonts w:eastAsia="MS Mincho"/>
          <w:lang w:eastAsia="ja-JP"/>
        </w:rPr>
        <w:t>SRS resource</w:t>
      </w:r>
      <w:r w:rsidRPr="007D0F01">
        <w:rPr>
          <w:rFonts w:eastAsia="MS Mincho" w:hint="eastAsia"/>
          <w:lang w:eastAsia="ja-JP"/>
        </w:rPr>
        <w:t xml:space="preserve"> (S</w:t>
      </w:r>
      <w:r w:rsidRPr="007D0F01">
        <w:rPr>
          <w:rFonts w:eastAsia="MS Mincho"/>
          <w:lang w:eastAsia="ja-JP"/>
        </w:rPr>
        <w:t>RI)</w:t>
      </w:r>
      <w:r w:rsidRPr="007D0F01">
        <w:rPr>
          <w:rFonts w:eastAsia="MS Mincho" w:hint="eastAsia"/>
          <w:lang w:eastAsia="ja-JP"/>
        </w:rPr>
        <w:t xml:space="preserve"> which has been transmitted by this UE in previous time instance</w:t>
      </w:r>
    </w:p>
    <w:p w:rsidR="007D0F01" w:rsidRDefault="007D0F01" w:rsidP="0058658D">
      <w:pPr>
        <w:numPr>
          <w:ilvl w:val="1"/>
          <w:numId w:val="14"/>
        </w:numPr>
        <w:jc w:val="both"/>
        <w:rPr>
          <w:rFonts w:eastAsia="MS Mincho"/>
          <w:lang w:eastAsia="ja-JP"/>
        </w:rPr>
      </w:pPr>
      <w:r w:rsidRPr="007D0F01">
        <w:rPr>
          <w:rFonts w:eastAsia="MS Mincho"/>
          <w:lang w:eastAsia="ja-JP"/>
        </w:rPr>
        <w:t>Transmit Rank indicator (TRI)</w:t>
      </w:r>
    </w:p>
    <w:p w:rsidR="00C73730" w:rsidRDefault="007D0F01" w:rsidP="0058658D">
      <w:pPr>
        <w:numPr>
          <w:ilvl w:val="1"/>
          <w:numId w:val="14"/>
        </w:numPr>
        <w:jc w:val="both"/>
        <w:rPr>
          <w:rFonts w:eastAsia="MS Mincho"/>
          <w:lang w:eastAsia="ja-JP"/>
        </w:rPr>
      </w:pPr>
      <w:r w:rsidRPr="007D0F01">
        <w:rPr>
          <w:rFonts w:eastAsia="MS Mincho" w:hint="eastAsia"/>
          <w:lang w:eastAsia="ja-JP"/>
        </w:rPr>
        <w:t>Wideband</w:t>
      </w:r>
      <w:r w:rsidRPr="007D0F01">
        <w:rPr>
          <w:rFonts w:eastAsia="MS Mincho"/>
          <w:lang w:eastAsia="ja-JP"/>
        </w:rPr>
        <w:t xml:space="preserve"> </w:t>
      </w:r>
      <w:r w:rsidRPr="007D0F01">
        <w:rPr>
          <w:rFonts w:eastAsia="MS Mincho" w:hint="eastAsia"/>
          <w:lang w:eastAsia="ja-JP"/>
        </w:rPr>
        <w:t>t</w:t>
      </w:r>
      <w:r w:rsidRPr="007D0F01">
        <w:rPr>
          <w:rFonts w:eastAsia="MS Mincho"/>
          <w:lang w:eastAsia="ja-JP"/>
        </w:rPr>
        <w:t>ransmit PMI (TPMI)</w:t>
      </w:r>
      <w:r>
        <w:rPr>
          <w:rFonts w:eastAsia="MS Mincho"/>
          <w:lang w:eastAsia="ja-JP"/>
        </w:rPr>
        <w:t xml:space="preserve">. </w:t>
      </w:r>
      <w:r w:rsidRPr="007D0F01">
        <w:rPr>
          <w:rFonts w:eastAsia="MS Mincho" w:hint="eastAsia"/>
          <w:lang w:eastAsia="ja-JP"/>
        </w:rPr>
        <w:t>FFS</w:t>
      </w:r>
      <w:r>
        <w:rPr>
          <w:rFonts w:eastAsia="MS Mincho"/>
          <w:lang w:eastAsia="ja-JP"/>
        </w:rPr>
        <w:t>:</w:t>
      </w:r>
      <w:r w:rsidRPr="007D0F01">
        <w:rPr>
          <w:rFonts w:eastAsia="MS Mincho" w:hint="eastAsia"/>
          <w:lang w:eastAsia="ja-JP"/>
        </w:rPr>
        <w:t xml:space="preserve"> Subband TPMI</w:t>
      </w:r>
    </w:p>
    <w:p w:rsidR="00C73730" w:rsidRPr="00C73730" w:rsidRDefault="00D03EA1" w:rsidP="0058658D">
      <w:pPr>
        <w:numPr>
          <w:ilvl w:val="0"/>
          <w:numId w:val="14"/>
        </w:numPr>
        <w:jc w:val="both"/>
        <w:rPr>
          <w:rFonts w:eastAsia="MS Mincho"/>
          <w:lang w:eastAsia="ja-JP"/>
        </w:rPr>
      </w:pPr>
      <w:r w:rsidRPr="00D03EA1">
        <w:rPr>
          <w:rFonts w:eastAsia="MS Mincho"/>
          <w:u w:val="single"/>
          <w:lang w:eastAsia="ja-JP"/>
        </w:rPr>
        <w:t>A-SRS</w:t>
      </w:r>
      <w:r>
        <w:rPr>
          <w:rFonts w:eastAsia="MS Mincho"/>
          <w:lang w:eastAsia="ja-JP"/>
        </w:rPr>
        <w:t xml:space="preserve">: </w:t>
      </w:r>
      <w:r w:rsidR="00C73730" w:rsidRPr="00837CBD">
        <w:rPr>
          <w:rFonts w:eastAsia="MS Mincho"/>
          <w:lang w:eastAsia="ja-JP"/>
        </w:rPr>
        <w:t>NR supports aperiodic SRS triggering field in DCI.</w:t>
      </w:r>
    </w:p>
    <w:p w:rsidR="00C73730" w:rsidRPr="00C73730" w:rsidRDefault="00C73730" w:rsidP="0058658D">
      <w:pPr>
        <w:numPr>
          <w:ilvl w:val="0"/>
          <w:numId w:val="14"/>
        </w:numPr>
        <w:jc w:val="both"/>
        <w:rPr>
          <w:rFonts w:eastAsia="MS Mincho"/>
          <w:lang w:eastAsia="ja-JP"/>
        </w:rPr>
      </w:pPr>
      <w:r w:rsidRPr="00D03EA1">
        <w:rPr>
          <w:rFonts w:eastAsia="MS Mincho"/>
          <w:u w:val="single"/>
          <w:lang w:eastAsia="ja-JP"/>
        </w:rPr>
        <w:t>QCL</w:t>
      </w:r>
      <w:r w:rsidRPr="00C73730">
        <w:rPr>
          <w:rFonts w:eastAsia="MS Mincho"/>
          <w:lang w:eastAsia="ja-JP"/>
        </w:rPr>
        <w:t>: For reception of unicast DL data channel, support indication of spatial QCL assumption between DL RS antenna port(s) and DMRS antenna port(s) of DL data channel: Information indicating the RS antenna port(s) is indicated via DCI (downlink grants)</w:t>
      </w:r>
    </w:p>
    <w:p w:rsidR="00C73730" w:rsidRDefault="00D03EA1" w:rsidP="0058658D">
      <w:pPr>
        <w:numPr>
          <w:ilvl w:val="0"/>
          <w:numId w:val="14"/>
        </w:numPr>
        <w:jc w:val="both"/>
        <w:rPr>
          <w:rFonts w:eastAsia="MS Mincho"/>
          <w:lang w:eastAsia="ja-JP"/>
        </w:rPr>
      </w:pPr>
      <w:r w:rsidRPr="00D03EA1">
        <w:rPr>
          <w:rFonts w:eastAsia="MS Mincho"/>
          <w:iCs/>
          <w:u w:val="single"/>
          <w:lang w:eastAsia="ja-JP"/>
        </w:rPr>
        <w:t>IMR</w:t>
      </w:r>
      <w:r>
        <w:rPr>
          <w:rFonts w:eastAsia="MS Mincho"/>
          <w:iCs/>
          <w:lang w:eastAsia="ja-JP"/>
        </w:rPr>
        <w:t xml:space="preserve">: </w:t>
      </w:r>
      <w:r w:rsidR="00C73730" w:rsidRPr="00C73730">
        <w:rPr>
          <w:rFonts w:eastAsia="MS Mincho"/>
          <w:iCs/>
          <w:lang w:eastAsia="ja-JP"/>
        </w:rPr>
        <w:t>Aperiodic IMR is triggered by DCI.</w:t>
      </w:r>
    </w:p>
    <w:p w:rsidR="00D236D1" w:rsidRDefault="00D236D1" w:rsidP="0058658D">
      <w:pPr>
        <w:jc w:val="both"/>
      </w:pPr>
    </w:p>
    <w:p w:rsidR="00D73736" w:rsidRDefault="00D03EA1" w:rsidP="0058658D">
      <w:pPr>
        <w:jc w:val="both"/>
      </w:pPr>
      <w:r>
        <w:t xml:space="preserve">Given </w:t>
      </w:r>
      <w:r w:rsidR="00BF26C7">
        <w:t xml:space="preserve">these agreements we </w:t>
      </w:r>
      <w:r>
        <w:t xml:space="preserve">consider what additional fields are required in NR compared to reference </w:t>
      </w:r>
      <w:r w:rsidR="00BF26C7">
        <w:t xml:space="preserve">LTE </w:t>
      </w:r>
      <w:r>
        <w:t xml:space="preserve">DL and UL </w:t>
      </w:r>
      <w:r w:rsidR="00BF26C7">
        <w:t>DCI format</w:t>
      </w:r>
      <w:r w:rsidR="00BB371B">
        <w:t>s</w:t>
      </w:r>
      <w:r>
        <w:t xml:space="preserve">. </w:t>
      </w:r>
      <w:r w:rsidR="000527E0">
        <w:t xml:space="preserve">In addition, existing fields would be enhanced to support advanced functionality, e.g. CSI request may be enhanced to support advanced CSI measurement/reporting. </w:t>
      </w:r>
      <w:r>
        <w:t>The exact number of bits for each information field is FFS</w:t>
      </w:r>
      <w:r w:rsidR="00D73736">
        <w:t>.</w:t>
      </w:r>
      <w:r w:rsidR="00BB371B">
        <w:t xml:space="preserve"> </w:t>
      </w:r>
      <w:fldSimple w:instr=" REF _Ref481537593 \h  \* MERGEFORMAT ">
        <w:r w:rsidR="00BB371B">
          <w:t xml:space="preserve">Table </w:t>
        </w:r>
        <w:r w:rsidR="00BB371B">
          <w:rPr>
            <w:noProof/>
          </w:rPr>
          <w:t>2</w:t>
        </w:r>
      </w:fldSimple>
      <w:r w:rsidR="00BB371B">
        <w:t xml:space="preserve"> describes the DL DCI contents using LTE DCI Format 2D as a reference. </w:t>
      </w:r>
      <w:r>
        <w:t xml:space="preserve">A corresponding description for UL DCI is given in </w:t>
      </w:r>
      <w:fldSimple w:instr=" REF _Ref481538192 \h  \* MERGEFORMAT ">
        <w:r>
          <w:t xml:space="preserve">Table </w:t>
        </w:r>
        <w:r>
          <w:rPr>
            <w:noProof/>
          </w:rPr>
          <w:t>3</w:t>
        </w:r>
      </w:fldSimple>
      <w:r>
        <w:t xml:space="preserve">. </w:t>
      </w:r>
      <w:r w:rsidR="00BB371B">
        <w:t xml:space="preserve">Completely new fields that are unique to NR in terms of functionality are shaded. </w:t>
      </w:r>
    </w:p>
    <w:p w:rsidR="00731DAB" w:rsidRDefault="00731DAB" w:rsidP="00731DAB">
      <w:pPr>
        <w:pStyle w:val="Caption"/>
        <w:keepNext/>
        <w:jc w:val="center"/>
      </w:pPr>
      <w:bookmarkStart w:id="4" w:name="_Ref481537593"/>
      <w:r>
        <w:t xml:space="preserve">Table </w:t>
      </w:r>
      <w:fldSimple w:instr=" SEQ Table \* ARABIC ">
        <w:r w:rsidR="009144FE">
          <w:rPr>
            <w:noProof/>
          </w:rPr>
          <w:t>2</w:t>
        </w:r>
      </w:fldSimple>
      <w:bookmarkEnd w:id="4"/>
      <w:r>
        <w:t xml:space="preserve"> Possible NR DL DCI contents</w:t>
      </w:r>
    </w:p>
    <w:tbl>
      <w:tblPr>
        <w:tblW w:w="8058" w:type="dxa"/>
        <w:jc w:val="center"/>
        <w:tblInd w:w="-201" w:type="dxa"/>
        <w:tblLook w:val="04A0"/>
      </w:tblPr>
      <w:tblGrid>
        <w:gridCol w:w="3273"/>
        <w:gridCol w:w="4785"/>
      </w:tblGrid>
      <w:tr w:rsidR="00D73736" w:rsidRPr="00D73736" w:rsidTr="0045316E">
        <w:trPr>
          <w:trHeight w:val="300"/>
          <w:jc w:val="center"/>
        </w:trPr>
        <w:tc>
          <w:tcPr>
            <w:tcW w:w="3273"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bottom"/>
            <w:hideMark/>
          </w:tcPr>
          <w:p w:rsidR="00D73736" w:rsidRPr="00D73736" w:rsidRDefault="00D73736" w:rsidP="00D73736">
            <w:pPr>
              <w:rPr>
                <w:color w:val="000000"/>
                <w:lang w:eastAsia="zh-CN"/>
              </w:rPr>
            </w:pPr>
            <w:r w:rsidRPr="00D73736">
              <w:rPr>
                <w:color w:val="000000"/>
                <w:lang w:eastAsia="zh-CN"/>
              </w:rPr>
              <w:t>Information field</w:t>
            </w:r>
          </w:p>
        </w:tc>
        <w:tc>
          <w:tcPr>
            <w:tcW w:w="4785" w:type="dxa"/>
            <w:tcBorders>
              <w:top w:val="single" w:sz="4" w:space="0" w:color="auto"/>
              <w:left w:val="nil"/>
              <w:bottom w:val="single" w:sz="4" w:space="0" w:color="auto"/>
              <w:right w:val="single" w:sz="4" w:space="0" w:color="auto"/>
            </w:tcBorders>
            <w:shd w:val="clear" w:color="auto" w:fill="FABF8F" w:themeFill="accent6" w:themeFillTint="99"/>
            <w:vAlign w:val="bottom"/>
            <w:hideMark/>
          </w:tcPr>
          <w:p w:rsidR="00D73736" w:rsidRPr="00D73736" w:rsidRDefault="00D73736" w:rsidP="00D73736">
            <w:pPr>
              <w:rPr>
                <w:color w:val="000000"/>
                <w:lang w:eastAsia="zh-CN"/>
              </w:rPr>
            </w:pPr>
            <w:r w:rsidRPr="00D73736">
              <w:rPr>
                <w:color w:val="000000"/>
                <w:lang w:eastAsia="zh-CN"/>
              </w:rPr>
              <w:t>Applicability for NR</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Carrier indicator</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 for CA</w:t>
            </w:r>
          </w:p>
        </w:tc>
      </w:tr>
      <w:tr w:rsidR="00D73736" w:rsidRPr="00D73736" w:rsidTr="0045316E">
        <w:trPr>
          <w:trHeight w:val="6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Resource allocation type</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 if multiple RA types are defined in NR</w:t>
            </w:r>
          </w:p>
        </w:tc>
      </w:tr>
      <w:tr w:rsidR="00D73736" w:rsidRPr="00D73736" w:rsidTr="0045316E">
        <w:trPr>
          <w:trHeight w:val="6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Resource allocation</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281CF6" w:rsidP="00281CF6">
            <w:pPr>
              <w:rPr>
                <w:color w:val="000000"/>
                <w:lang w:eastAsia="zh-CN"/>
              </w:rPr>
            </w:pPr>
            <w:r>
              <w:rPr>
                <w:color w:val="000000"/>
                <w:lang w:eastAsia="zh-CN"/>
              </w:rPr>
              <w:t>Possible s</w:t>
            </w:r>
            <w:r w:rsidR="00D73736" w:rsidRPr="00D73736">
              <w:rPr>
                <w:color w:val="000000"/>
                <w:lang w:eastAsia="zh-CN"/>
              </w:rPr>
              <w:t xml:space="preserve">upport </w:t>
            </w:r>
            <w:r>
              <w:rPr>
                <w:color w:val="000000"/>
                <w:lang w:eastAsia="zh-CN"/>
              </w:rPr>
              <w:t xml:space="preserve">of </w:t>
            </w:r>
            <w:r w:rsidR="00D73736" w:rsidRPr="00D73736">
              <w:rPr>
                <w:color w:val="000000"/>
                <w:lang w:eastAsia="zh-CN"/>
              </w:rPr>
              <w:t xml:space="preserve">2-step frequency domain assignment </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TPC</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lastRenderedPageBreak/>
              <w:t>DAI</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FFS</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HARQ Process ID</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AP/Scrambling ID/Num</w:t>
            </w:r>
            <w:r w:rsidR="00731DAB">
              <w:rPr>
                <w:color w:val="000000"/>
                <w:lang w:eastAsia="zh-CN"/>
              </w:rPr>
              <w:t xml:space="preserve">ber of </w:t>
            </w:r>
            <w:r w:rsidRPr="00D73736">
              <w:rPr>
                <w:color w:val="000000"/>
                <w:lang w:eastAsia="zh-CN"/>
              </w:rPr>
              <w:t>Layers</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SRS request</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MCS1</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NDI1</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RV1</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MCS2</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 for more than 4 layers</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NDI2</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 for more than 4 layers</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RV2</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 for more than 4 layers</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PQI</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IMR activation</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CSI-RS resource activation</w:t>
            </w:r>
          </w:p>
        </w:tc>
        <w:tc>
          <w:tcPr>
            <w:tcW w:w="4785" w:type="dxa"/>
            <w:tcBorders>
              <w:top w:val="nil"/>
              <w:left w:val="nil"/>
              <w:bottom w:val="single" w:sz="4" w:space="0" w:color="auto"/>
              <w:right w:val="single" w:sz="4" w:space="0" w:color="auto"/>
            </w:tcBorders>
            <w:shd w:val="clear" w:color="auto" w:fill="auto"/>
            <w:vAlign w:val="bottom"/>
            <w:hideMark/>
          </w:tcPr>
          <w:p w:rsidR="00D73736" w:rsidRPr="00D73736" w:rsidRDefault="00D73736" w:rsidP="00D73736">
            <w:pPr>
              <w:rPr>
                <w:color w:val="000000"/>
                <w:lang w:eastAsia="zh-CN"/>
              </w:rPr>
            </w:pPr>
            <w:r w:rsidRPr="00D73736">
              <w:rPr>
                <w:color w:val="000000"/>
                <w:lang w:eastAsia="zh-CN"/>
              </w:rPr>
              <w:t>Required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p w:rsidR="00D73736" w:rsidRPr="00D73736" w:rsidRDefault="00D73736" w:rsidP="00D73736">
            <w:pPr>
              <w:rPr>
                <w:color w:val="000000"/>
                <w:lang w:eastAsia="zh-CN"/>
              </w:rPr>
            </w:pPr>
            <w:r w:rsidRPr="00D73736">
              <w:rPr>
                <w:color w:val="000000"/>
                <w:lang w:eastAsia="zh-CN"/>
              </w:rPr>
              <w:t>PUCCH resource allocation</w:t>
            </w:r>
          </w:p>
        </w:tc>
        <w:tc>
          <w:tcPr>
            <w:tcW w:w="4785" w:type="dxa"/>
            <w:tcBorders>
              <w:top w:val="nil"/>
              <w:left w:val="nil"/>
              <w:bottom w:val="single" w:sz="4" w:space="0" w:color="auto"/>
              <w:right w:val="single" w:sz="4" w:space="0" w:color="auto"/>
            </w:tcBorders>
            <w:shd w:val="clear" w:color="auto" w:fill="F2DBDB" w:themeFill="accent2" w:themeFillTint="33"/>
            <w:vAlign w:val="bottom"/>
            <w:hideMark/>
          </w:tcPr>
          <w:p w:rsidR="00D73736" w:rsidRPr="00D73736" w:rsidRDefault="00D73736" w:rsidP="00D73736">
            <w:pPr>
              <w:rPr>
                <w:color w:val="000000"/>
                <w:lang w:eastAsia="zh-CN"/>
              </w:rPr>
            </w:pPr>
            <w:r w:rsidRPr="00D73736">
              <w:rPr>
                <w:color w:val="000000"/>
                <w:lang w:eastAsia="zh-CN"/>
              </w:rPr>
              <w:t xml:space="preserve">Time-freq-code allocation </w:t>
            </w:r>
          </w:p>
        </w:tc>
      </w:tr>
      <w:tr w:rsidR="00955805"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p w:rsidR="00955805" w:rsidRPr="00D73736" w:rsidRDefault="00955805" w:rsidP="00D73736">
            <w:pPr>
              <w:rPr>
                <w:color w:val="000000"/>
                <w:lang w:eastAsia="zh-CN"/>
              </w:rPr>
            </w:pPr>
            <w:r>
              <w:rPr>
                <w:color w:val="000000"/>
                <w:lang w:eastAsia="zh-CN"/>
              </w:rPr>
              <w:t>Reuse of control resources for data</w:t>
            </w:r>
          </w:p>
        </w:tc>
        <w:tc>
          <w:tcPr>
            <w:tcW w:w="4785" w:type="dxa"/>
            <w:tcBorders>
              <w:top w:val="nil"/>
              <w:left w:val="nil"/>
              <w:bottom w:val="single" w:sz="4" w:space="0" w:color="auto"/>
              <w:right w:val="single" w:sz="4" w:space="0" w:color="auto"/>
            </w:tcBorders>
            <w:shd w:val="clear" w:color="auto" w:fill="F2DBDB" w:themeFill="accent2" w:themeFillTint="33"/>
            <w:vAlign w:val="bottom"/>
            <w:hideMark/>
          </w:tcPr>
          <w:p w:rsidR="00955805" w:rsidRPr="00D73736" w:rsidRDefault="00955805" w:rsidP="00D73736">
            <w:pPr>
              <w:rPr>
                <w:color w:val="000000"/>
                <w:lang w:eastAsia="zh-CN"/>
              </w:rPr>
            </w:pPr>
            <w:r>
              <w:rPr>
                <w:color w:val="000000"/>
                <w:lang w:eastAsia="zh-CN"/>
              </w:rPr>
              <w:t>New for NR</w:t>
            </w:r>
          </w:p>
        </w:tc>
      </w:tr>
      <w:tr w:rsidR="00FC159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p w:rsidR="00FC1596" w:rsidRDefault="00FC1596" w:rsidP="00D73736">
            <w:pPr>
              <w:rPr>
                <w:color w:val="000000"/>
                <w:lang w:eastAsia="zh-CN"/>
              </w:rPr>
            </w:pPr>
            <w:r>
              <w:rPr>
                <w:color w:val="000000"/>
                <w:lang w:eastAsia="zh-CN"/>
              </w:rPr>
              <w:t>CBG-based indication</w:t>
            </w:r>
          </w:p>
        </w:tc>
        <w:tc>
          <w:tcPr>
            <w:tcW w:w="4785" w:type="dxa"/>
            <w:tcBorders>
              <w:top w:val="nil"/>
              <w:left w:val="nil"/>
              <w:bottom w:val="single" w:sz="4" w:space="0" w:color="auto"/>
              <w:right w:val="single" w:sz="4" w:space="0" w:color="auto"/>
            </w:tcBorders>
            <w:shd w:val="clear" w:color="auto" w:fill="F2DBDB" w:themeFill="accent2" w:themeFillTint="33"/>
            <w:vAlign w:val="bottom"/>
            <w:hideMark/>
          </w:tcPr>
          <w:p w:rsidR="00FC1596" w:rsidRDefault="00BD4B4A" w:rsidP="00BD4B4A">
            <w:pPr>
              <w:rPr>
                <w:color w:val="000000"/>
                <w:lang w:eastAsia="zh-CN"/>
              </w:rPr>
            </w:pPr>
            <w:r>
              <w:rPr>
                <w:color w:val="000000"/>
                <w:lang w:eastAsia="zh-CN"/>
              </w:rPr>
              <w:t>Possible field</w:t>
            </w:r>
          </w:p>
        </w:tc>
      </w:tr>
      <w:tr w:rsidR="00D73736" w:rsidRPr="00D73736" w:rsidTr="0045316E">
        <w:trPr>
          <w:trHeight w:val="300"/>
          <w:jc w:val="center"/>
        </w:trPr>
        <w:tc>
          <w:tcPr>
            <w:tcW w:w="3273"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p w:rsidR="00D73736" w:rsidRPr="00D73736" w:rsidRDefault="00D73736" w:rsidP="00D73736">
            <w:pPr>
              <w:rPr>
                <w:color w:val="000000"/>
                <w:lang w:eastAsia="zh-CN"/>
              </w:rPr>
            </w:pPr>
            <w:r w:rsidRPr="00D73736">
              <w:rPr>
                <w:color w:val="000000"/>
                <w:lang w:eastAsia="zh-CN"/>
              </w:rPr>
              <w:t>DL HARQ-ACK timing</w:t>
            </w:r>
          </w:p>
        </w:tc>
        <w:tc>
          <w:tcPr>
            <w:tcW w:w="4785" w:type="dxa"/>
            <w:tcBorders>
              <w:top w:val="nil"/>
              <w:left w:val="nil"/>
              <w:bottom w:val="single" w:sz="4" w:space="0" w:color="auto"/>
              <w:right w:val="single" w:sz="4" w:space="0" w:color="auto"/>
            </w:tcBorders>
            <w:shd w:val="clear" w:color="auto" w:fill="F2DBDB" w:themeFill="accent2" w:themeFillTint="33"/>
            <w:vAlign w:val="bottom"/>
            <w:hideMark/>
          </w:tcPr>
          <w:p w:rsidR="00D73736" w:rsidRPr="00D73736" w:rsidRDefault="00D73736" w:rsidP="00D73736">
            <w:pPr>
              <w:rPr>
                <w:color w:val="000000"/>
                <w:lang w:eastAsia="zh-CN"/>
              </w:rPr>
            </w:pPr>
            <w:r w:rsidRPr="00D73736">
              <w:rPr>
                <w:color w:val="000000"/>
                <w:lang w:eastAsia="zh-CN"/>
              </w:rPr>
              <w:t>New for NR</w:t>
            </w:r>
          </w:p>
        </w:tc>
      </w:tr>
      <w:tr w:rsidR="00D73736" w:rsidRPr="00D73736" w:rsidTr="0045316E">
        <w:trPr>
          <w:trHeight w:val="600"/>
          <w:jc w:val="center"/>
        </w:trPr>
        <w:tc>
          <w:tcPr>
            <w:tcW w:w="3273" w:type="dxa"/>
            <w:tcBorders>
              <w:top w:val="nil"/>
              <w:left w:val="single" w:sz="4" w:space="0" w:color="auto"/>
              <w:bottom w:val="single" w:sz="4" w:space="0" w:color="auto"/>
              <w:right w:val="single" w:sz="4" w:space="0" w:color="auto"/>
            </w:tcBorders>
            <w:shd w:val="clear" w:color="auto" w:fill="F2DBDB" w:themeFill="accent2" w:themeFillTint="33"/>
            <w:vAlign w:val="bottom"/>
            <w:hideMark/>
          </w:tcPr>
          <w:p w:rsidR="00D73736" w:rsidRPr="00D73736" w:rsidRDefault="00D73736" w:rsidP="00D73736">
            <w:pPr>
              <w:rPr>
                <w:color w:val="000000"/>
                <w:lang w:eastAsia="zh-CN"/>
              </w:rPr>
            </w:pPr>
            <w:r w:rsidRPr="00D73736">
              <w:rPr>
                <w:color w:val="000000"/>
                <w:lang w:eastAsia="zh-CN"/>
              </w:rPr>
              <w:t>DL Data timing</w:t>
            </w:r>
          </w:p>
        </w:tc>
        <w:tc>
          <w:tcPr>
            <w:tcW w:w="4785" w:type="dxa"/>
            <w:tcBorders>
              <w:top w:val="nil"/>
              <w:left w:val="nil"/>
              <w:bottom w:val="single" w:sz="4" w:space="0" w:color="auto"/>
              <w:right w:val="single" w:sz="4" w:space="0" w:color="auto"/>
            </w:tcBorders>
            <w:shd w:val="clear" w:color="auto" w:fill="F2DBDB" w:themeFill="accent2" w:themeFillTint="33"/>
            <w:vAlign w:val="bottom"/>
            <w:hideMark/>
          </w:tcPr>
          <w:p w:rsidR="00D73736" w:rsidRPr="00D73736" w:rsidRDefault="00D73736" w:rsidP="00D73736">
            <w:pPr>
              <w:rPr>
                <w:color w:val="000000"/>
                <w:lang w:eastAsia="zh-CN"/>
              </w:rPr>
            </w:pPr>
            <w:r w:rsidRPr="00D73736">
              <w:rPr>
                <w:color w:val="000000"/>
                <w:lang w:eastAsia="zh-CN"/>
              </w:rPr>
              <w:t>New for NR. Example is starting symbol and duration</w:t>
            </w:r>
          </w:p>
        </w:tc>
      </w:tr>
    </w:tbl>
    <w:p w:rsidR="00D73736" w:rsidRDefault="00D73736" w:rsidP="00237F27"/>
    <w:p w:rsidR="00D236D1" w:rsidRDefault="00D236D1" w:rsidP="00237F27"/>
    <w:p w:rsidR="009144FE" w:rsidRDefault="009144FE" w:rsidP="009144FE">
      <w:pPr>
        <w:pStyle w:val="Caption"/>
        <w:keepNext/>
        <w:jc w:val="center"/>
      </w:pPr>
      <w:bookmarkStart w:id="5" w:name="_Ref481538192"/>
      <w:r>
        <w:t xml:space="preserve">Table </w:t>
      </w:r>
      <w:fldSimple w:instr=" SEQ Table \* ARABIC ">
        <w:r>
          <w:rPr>
            <w:noProof/>
          </w:rPr>
          <w:t>3</w:t>
        </w:r>
      </w:fldSimple>
      <w:bookmarkEnd w:id="5"/>
      <w:r>
        <w:t xml:space="preserve"> Possible NR U</w:t>
      </w:r>
      <w:r w:rsidRPr="00C23901">
        <w:t>L DCI contents</w:t>
      </w:r>
    </w:p>
    <w:tbl>
      <w:tblPr>
        <w:tblW w:w="8174" w:type="dxa"/>
        <w:jc w:val="center"/>
        <w:tblInd w:w="96" w:type="dxa"/>
        <w:tblLook w:val="04A0"/>
      </w:tblPr>
      <w:tblGrid>
        <w:gridCol w:w="3420"/>
        <w:gridCol w:w="4754"/>
      </w:tblGrid>
      <w:tr w:rsidR="009144FE" w:rsidRPr="009144FE" w:rsidTr="0045316E">
        <w:trPr>
          <w:trHeight w:val="600"/>
          <w:jc w:val="center"/>
        </w:trPr>
        <w:tc>
          <w:tcPr>
            <w:tcW w:w="3420"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bottom"/>
            <w:hideMark/>
          </w:tcPr>
          <w:p w:rsidR="009144FE" w:rsidRPr="009144FE" w:rsidRDefault="009144FE" w:rsidP="009144FE">
            <w:pPr>
              <w:rPr>
                <w:color w:val="000000"/>
                <w:lang w:eastAsia="zh-CN"/>
              </w:rPr>
            </w:pPr>
            <w:r w:rsidRPr="009144FE">
              <w:rPr>
                <w:color w:val="000000"/>
                <w:lang w:eastAsia="zh-CN"/>
              </w:rPr>
              <w:t>Information field</w:t>
            </w:r>
          </w:p>
        </w:tc>
        <w:tc>
          <w:tcPr>
            <w:tcW w:w="4754" w:type="dxa"/>
            <w:tcBorders>
              <w:top w:val="single" w:sz="4" w:space="0" w:color="auto"/>
              <w:left w:val="nil"/>
              <w:bottom w:val="single" w:sz="4" w:space="0" w:color="auto"/>
              <w:right w:val="single" w:sz="4" w:space="0" w:color="auto"/>
            </w:tcBorders>
            <w:shd w:val="clear" w:color="auto" w:fill="FABF8F" w:themeFill="accent6" w:themeFillTint="99"/>
            <w:vAlign w:val="bottom"/>
            <w:hideMark/>
          </w:tcPr>
          <w:p w:rsidR="009144FE" w:rsidRPr="009144FE" w:rsidRDefault="009144FE" w:rsidP="009144FE">
            <w:pPr>
              <w:rPr>
                <w:color w:val="000000"/>
                <w:lang w:eastAsia="zh-CN"/>
              </w:rPr>
            </w:pPr>
            <w:r w:rsidRPr="009144FE">
              <w:rPr>
                <w:color w:val="000000"/>
                <w:lang w:eastAsia="zh-CN"/>
              </w:rPr>
              <w:t>Applicability for NR</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Carrier indicator</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 for CA</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Flag 0/1A</w:t>
            </w:r>
          </w:p>
        </w:tc>
        <w:tc>
          <w:tcPr>
            <w:tcW w:w="4754" w:type="dxa"/>
            <w:tcBorders>
              <w:top w:val="nil"/>
              <w:left w:val="nil"/>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Not needed</w:t>
            </w:r>
          </w:p>
        </w:tc>
      </w:tr>
      <w:tr w:rsidR="009144FE" w:rsidRPr="009144FE" w:rsidTr="0045316E">
        <w:trPr>
          <w:trHeight w:val="6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Resource allocation type</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 if multiple RA types are defined in NR</w:t>
            </w:r>
          </w:p>
        </w:tc>
      </w:tr>
      <w:tr w:rsidR="009144FE" w:rsidRPr="009144FE" w:rsidTr="0045316E">
        <w:trPr>
          <w:trHeight w:val="9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Resource allocation</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 xml:space="preserve">Enhanced to support 2-step frequency domain assignment </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Frequency hopping flag</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Needed if frequency hopping is supported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TPC</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DMRS CS/OCC</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Depends on final RS des</w:t>
            </w:r>
            <w:r w:rsidR="004907DA">
              <w:rPr>
                <w:color w:val="000000"/>
                <w:lang w:eastAsia="zh-CN"/>
              </w:rPr>
              <w:t>i</w:t>
            </w:r>
            <w:r w:rsidRPr="009144FE">
              <w:rPr>
                <w:color w:val="000000"/>
                <w:lang w:eastAsia="zh-CN"/>
              </w:rPr>
              <w:t>gn and UL waveform</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UL Index/DAI</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FFS</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CSI request</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SRS request</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HARQ Process ID</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MCS1</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NDI1</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RV1</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MCS2</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Not needed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NDI2</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Not needed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9144FE" w:rsidRPr="009144FE" w:rsidRDefault="009144FE" w:rsidP="009144FE">
            <w:pPr>
              <w:rPr>
                <w:color w:val="000000"/>
                <w:lang w:eastAsia="zh-CN"/>
              </w:rPr>
            </w:pPr>
            <w:r w:rsidRPr="009144FE">
              <w:rPr>
                <w:color w:val="000000"/>
                <w:lang w:eastAsia="zh-CN"/>
              </w:rPr>
              <w:t>TPMI</w:t>
            </w:r>
          </w:p>
        </w:tc>
        <w:tc>
          <w:tcPr>
            <w:tcW w:w="4754" w:type="dxa"/>
            <w:tcBorders>
              <w:top w:val="nil"/>
              <w:left w:val="nil"/>
              <w:bottom w:val="single" w:sz="4" w:space="0" w:color="auto"/>
              <w:right w:val="single" w:sz="4" w:space="0" w:color="auto"/>
            </w:tcBorders>
            <w:shd w:val="clear" w:color="auto" w:fill="auto"/>
            <w:vAlign w:val="bottom"/>
            <w:hideMark/>
          </w:tcPr>
          <w:p w:rsidR="009144FE" w:rsidRPr="009144FE" w:rsidRDefault="009144FE" w:rsidP="009144FE">
            <w:pPr>
              <w:rPr>
                <w:color w:val="000000"/>
                <w:lang w:eastAsia="zh-CN"/>
              </w:rPr>
            </w:pPr>
            <w:r w:rsidRPr="009144FE">
              <w:rPr>
                <w:color w:val="000000"/>
                <w:lang w:eastAsia="zh-CN"/>
              </w:rPr>
              <w:t>Required</w:t>
            </w:r>
          </w:p>
        </w:tc>
      </w:tr>
      <w:tr w:rsidR="000527E0"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0527E0" w:rsidRPr="009144FE" w:rsidRDefault="000527E0" w:rsidP="00A23001">
            <w:pPr>
              <w:rPr>
                <w:color w:val="000000"/>
                <w:lang w:eastAsia="zh-CN"/>
              </w:rPr>
            </w:pPr>
            <w:r w:rsidRPr="009144FE">
              <w:rPr>
                <w:color w:val="000000"/>
                <w:lang w:eastAsia="zh-CN"/>
              </w:rPr>
              <w:t>UL transmission timing</w:t>
            </w:r>
          </w:p>
        </w:tc>
        <w:tc>
          <w:tcPr>
            <w:tcW w:w="4754" w:type="dxa"/>
            <w:tcBorders>
              <w:top w:val="nil"/>
              <w:left w:val="nil"/>
              <w:bottom w:val="single" w:sz="4" w:space="0" w:color="auto"/>
              <w:right w:val="single" w:sz="4" w:space="0" w:color="auto"/>
            </w:tcBorders>
            <w:shd w:val="clear" w:color="auto" w:fill="auto"/>
            <w:vAlign w:val="bottom"/>
            <w:hideMark/>
          </w:tcPr>
          <w:p w:rsidR="000527E0" w:rsidRPr="009144FE" w:rsidRDefault="000527E0" w:rsidP="00A23001">
            <w:pPr>
              <w:rPr>
                <w:color w:val="000000"/>
                <w:lang w:eastAsia="zh-CN"/>
              </w:rPr>
            </w:pPr>
            <w:r w:rsidRPr="009144FE">
              <w:rPr>
                <w:color w:val="000000"/>
                <w:lang w:eastAsia="zh-CN"/>
              </w:rPr>
              <w:t>Enhancement 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000000" w:fill="E6B9B8"/>
            <w:noWrap/>
            <w:vAlign w:val="bottom"/>
            <w:hideMark/>
          </w:tcPr>
          <w:p w:rsidR="009144FE" w:rsidRPr="009144FE" w:rsidRDefault="009144FE" w:rsidP="009144FE">
            <w:pPr>
              <w:rPr>
                <w:color w:val="000000"/>
                <w:lang w:eastAsia="zh-CN"/>
              </w:rPr>
            </w:pPr>
            <w:r w:rsidRPr="009144FE">
              <w:rPr>
                <w:color w:val="000000"/>
                <w:lang w:eastAsia="zh-CN"/>
              </w:rPr>
              <w:lastRenderedPageBreak/>
              <w:t>SRI</w:t>
            </w:r>
          </w:p>
        </w:tc>
        <w:tc>
          <w:tcPr>
            <w:tcW w:w="4754" w:type="dxa"/>
            <w:tcBorders>
              <w:top w:val="nil"/>
              <w:left w:val="nil"/>
              <w:bottom w:val="single" w:sz="4" w:space="0" w:color="auto"/>
              <w:right w:val="single" w:sz="4" w:space="0" w:color="auto"/>
            </w:tcBorders>
            <w:shd w:val="clear" w:color="000000" w:fill="E6B9B8"/>
            <w:vAlign w:val="bottom"/>
            <w:hideMark/>
          </w:tcPr>
          <w:p w:rsidR="009144FE" w:rsidRPr="009144FE" w:rsidRDefault="009144FE" w:rsidP="009144FE">
            <w:pPr>
              <w:rPr>
                <w:color w:val="000000"/>
                <w:lang w:eastAsia="zh-CN"/>
              </w:rPr>
            </w:pPr>
            <w:r w:rsidRPr="009144FE">
              <w:rPr>
                <w:color w:val="000000"/>
                <w:lang w:eastAsia="zh-CN"/>
              </w:rPr>
              <w:t>Required</w:t>
            </w:r>
          </w:p>
        </w:tc>
      </w:tr>
      <w:tr w:rsidR="009144FE" w:rsidRPr="009144FE" w:rsidTr="0045316E">
        <w:trPr>
          <w:trHeight w:val="300"/>
          <w:jc w:val="center"/>
        </w:trPr>
        <w:tc>
          <w:tcPr>
            <w:tcW w:w="3420" w:type="dxa"/>
            <w:tcBorders>
              <w:top w:val="nil"/>
              <w:left w:val="single" w:sz="4" w:space="0" w:color="auto"/>
              <w:bottom w:val="single" w:sz="4" w:space="0" w:color="auto"/>
              <w:right w:val="single" w:sz="4" w:space="0" w:color="auto"/>
            </w:tcBorders>
            <w:shd w:val="clear" w:color="000000" w:fill="E6B9B8"/>
            <w:noWrap/>
            <w:vAlign w:val="bottom"/>
            <w:hideMark/>
          </w:tcPr>
          <w:p w:rsidR="009144FE" w:rsidRPr="009144FE" w:rsidRDefault="009144FE" w:rsidP="009144FE">
            <w:pPr>
              <w:rPr>
                <w:color w:val="000000"/>
                <w:lang w:eastAsia="zh-CN"/>
              </w:rPr>
            </w:pPr>
            <w:r w:rsidRPr="009144FE">
              <w:rPr>
                <w:color w:val="000000"/>
                <w:lang w:eastAsia="zh-CN"/>
              </w:rPr>
              <w:t>TRI</w:t>
            </w:r>
          </w:p>
        </w:tc>
        <w:tc>
          <w:tcPr>
            <w:tcW w:w="4754" w:type="dxa"/>
            <w:tcBorders>
              <w:top w:val="nil"/>
              <w:left w:val="nil"/>
              <w:bottom w:val="single" w:sz="4" w:space="0" w:color="auto"/>
              <w:right w:val="single" w:sz="4" w:space="0" w:color="auto"/>
            </w:tcBorders>
            <w:shd w:val="clear" w:color="000000" w:fill="E6B9B8"/>
            <w:vAlign w:val="bottom"/>
            <w:hideMark/>
          </w:tcPr>
          <w:p w:rsidR="009144FE" w:rsidRPr="009144FE" w:rsidRDefault="009144FE" w:rsidP="009144FE">
            <w:pPr>
              <w:rPr>
                <w:color w:val="000000"/>
                <w:lang w:eastAsia="zh-CN"/>
              </w:rPr>
            </w:pPr>
            <w:r w:rsidRPr="009144FE">
              <w:rPr>
                <w:color w:val="000000"/>
                <w:lang w:eastAsia="zh-CN"/>
              </w:rPr>
              <w:t>Required</w:t>
            </w:r>
          </w:p>
        </w:tc>
      </w:tr>
    </w:tbl>
    <w:p w:rsidR="00D236D1" w:rsidRDefault="00D236D1" w:rsidP="00D236D1">
      <w:pPr>
        <w:pStyle w:val="BodyText"/>
        <w:rPr>
          <w:rFonts w:eastAsia="SimSun"/>
          <w:lang w:eastAsia="zh-CN"/>
        </w:rPr>
      </w:pPr>
    </w:p>
    <w:p w:rsidR="009144FE" w:rsidRDefault="009144FE" w:rsidP="0058658D">
      <w:pPr>
        <w:pStyle w:val="BodyText"/>
        <w:rPr>
          <w:rFonts w:eastAsia="SimSun"/>
          <w:lang w:eastAsia="zh-CN"/>
        </w:rPr>
      </w:pPr>
      <w:r>
        <w:rPr>
          <w:rFonts w:eastAsia="SimSun"/>
          <w:lang w:eastAsia="zh-CN"/>
        </w:rPr>
        <w:t xml:space="preserve">As this is only a preliminary view of DCI functionality it should be clear that without optimization NR DCI payload sizes may become unwieldy. </w:t>
      </w:r>
      <w:r w:rsidR="0045316E">
        <w:rPr>
          <w:rFonts w:eastAsia="SimSun"/>
          <w:lang w:eastAsia="zh-CN"/>
        </w:rPr>
        <w:t>Candidate fields for o</w:t>
      </w:r>
      <w:r>
        <w:rPr>
          <w:rFonts w:eastAsia="SimSun"/>
          <w:lang w:eastAsia="zh-CN"/>
        </w:rPr>
        <w:t xml:space="preserve">ptimization </w:t>
      </w:r>
      <w:r w:rsidR="0045316E">
        <w:rPr>
          <w:rFonts w:eastAsia="SimSun"/>
          <w:lang w:eastAsia="zh-CN"/>
        </w:rPr>
        <w:t>include t</w:t>
      </w:r>
      <w:r>
        <w:rPr>
          <w:rFonts w:eastAsia="SimSun"/>
          <w:lang w:eastAsia="zh-CN"/>
        </w:rPr>
        <w:t xml:space="preserve">ransmission timing, </w:t>
      </w:r>
      <w:r w:rsidR="0045316E">
        <w:rPr>
          <w:rFonts w:eastAsia="SimSun"/>
          <w:lang w:eastAsia="zh-CN"/>
        </w:rPr>
        <w:t xml:space="preserve">PDSCH/PUSCH/PUCCH resource allocation. </w:t>
      </w:r>
    </w:p>
    <w:p w:rsidR="00D236D1" w:rsidRPr="0045316E" w:rsidRDefault="009144FE" w:rsidP="0058658D">
      <w:pPr>
        <w:pStyle w:val="BodyText"/>
        <w:rPr>
          <w:rFonts w:eastAsia="SimSun"/>
          <w:b/>
          <w:lang w:eastAsia="zh-CN"/>
        </w:rPr>
      </w:pPr>
      <w:r w:rsidRPr="0045316E">
        <w:rPr>
          <w:rFonts w:eastAsia="SimSun"/>
          <w:b/>
          <w:lang w:eastAsia="zh-CN"/>
        </w:rPr>
        <w:t xml:space="preserve">Proposal: </w:t>
      </w:r>
      <w:r w:rsidR="0045316E" w:rsidRPr="0045316E">
        <w:rPr>
          <w:rFonts w:eastAsia="SimSun"/>
          <w:b/>
          <w:lang w:eastAsia="zh-CN"/>
        </w:rPr>
        <w:t>target optimization of NR DCI payload sizes. Candidate fields for optimization include transmission timing, PDSCH/PUSCH/PUCCH resource allocation.</w:t>
      </w:r>
      <w:r w:rsidRPr="0045316E">
        <w:rPr>
          <w:rFonts w:eastAsia="SimSun"/>
          <w:b/>
          <w:lang w:eastAsia="zh-CN"/>
        </w:rPr>
        <w:t xml:space="preserve">  </w:t>
      </w:r>
    </w:p>
    <w:p w:rsidR="005935B8" w:rsidRDefault="00830F4E" w:rsidP="0058658D">
      <w:pPr>
        <w:pStyle w:val="Heading1"/>
        <w:jc w:val="both"/>
      </w:pPr>
      <w:r w:rsidRPr="0052231C">
        <w:rPr>
          <w:rFonts w:hint="eastAsia"/>
        </w:rPr>
        <w:t>Conclusion</w:t>
      </w:r>
    </w:p>
    <w:p w:rsidR="00907D28" w:rsidRDefault="00C22604" w:rsidP="0058658D">
      <w:pPr>
        <w:pStyle w:val="BodyText"/>
        <w:ind w:left="-2"/>
        <w:rPr>
          <w:rFonts w:eastAsia="SimSun"/>
          <w:lang w:eastAsia="zh-CN"/>
        </w:rPr>
      </w:pPr>
      <w:r>
        <w:rPr>
          <w:rFonts w:eastAsia="SimSun"/>
          <w:lang w:eastAsia="zh-CN"/>
        </w:rPr>
        <w:t xml:space="preserve">This contribution </w:t>
      </w:r>
      <w:r w:rsidR="00215CA0">
        <w:rPr>
          <w:rFonts w:eastAsia="SimSun"/>
          <w:lang w:eastAsia="zh-CN"/>
        </w:rPr>
        <w:t xml:space="preserve">provided some preliminary assessment of the construction and contents of NR DCI formats. </w:t>
      </w:r>
      <w:r w:rsidR="00BB371B">
        <w:rPr>
          <w:rFonts w:eastAsia="SimSun"/>
          <w:lang w:eastAsia="zh-CN"/>
        </w:rPr>
        <w:t>The following proposals are the outcome of the discussion:</w:t>
      </w:r>
    </w:p>
    <w:p w:rsidR="00BB371B" w:rsidRPr="00237F27" w:rsidRDefault="00BB371B" w:rsidP="0058658D">
      <w:pPr>
        <w:pStyle w:val="ListParagraph"/>
        <w:numPr>
          <w:ilvl w:val="0"/>
          <w:numId w:val="14"/>
        </w:numPr>
        <w:ind w:firstLineChars="0"/>
        <w:jc w:val="both"/>
        <w:rPr>
          <w:rFonts w:ascii="Times New Roman" w:hAnsi="Times New Roman" w:cs="Times New Roman"/>
          <w:b/>
          <w:sz w:val="20"/>
        </w:rPr>
      </w:pPr>
      <w:r w:rsidRPr="00237F27">
        <w:rPr>
          <w:rFonts w:ascii="Times New Roman" w:hAnsi="Times New Roman" w:cs="Times New Roman"/>
          <w:b/>
          <w:sz w:val="20"/>
        </w:rPr>
        <w:t xml:space="preserve">Minimize the number of DCI payload sizes in NR. </w:t>
      </w:r>
    </w:p>
    <w:p w:rsidR="00BB371B" w:rsidRDefault="00BB371B" w:rsidP="0058658D">
      <w:pPr>
        <w:pStyle w:val="ListParagraph"/>
        <w:numPr>
          <w:ilvl w:val="0"/>
          <w:numId w:val="14"/>
        </w:numPr>
        <w:ind w:firstLineChars="0"/>
        <w:jc w:val="both"/>
        <w:rPr>
          <w:rFonts w:ascii="Times New Roman" w:hAnsi="Times New Roman" w:cs="Times New Roman"/>
          <w:b/>
          <w:sz w:val="20"/>
        </w:rPr>
      </w:pPr>
      <w:r w:rsidRPr="00237F27">
        <w:rPr>
          <w:rFonts w:ascii="Times New Roman" w:hAnsi="Times New Roman" w:cs="Times New Roman"/>
          <w:b/>
          <w:sz w:val="20"/>
        </w:rPr>
        <w:t xml:space="preserve">Consider introducing at least one moderate and one larger reference payload size to support fallback and UE-specific scheduling respectively. </w:t>
      </w:r>
    </w:p>
    <w:p w:rsidR="0045316E" w:rsidRPr="0045316E" w:rsidRDefault="0045316E" w:rsidP="0058658D">
      <w:pPr>
        <w:pStyle w:val="BodyText"/>
        <w:numPr>
          <w:ilvl w:val="0"/>
          <w:numId w:val="14"/>
        </w:numPr>
        <w:rPr>
          <w:rFonts w:eastAsia="SimSun"/>
          <w:b/>
          <w:lang w:eastAsia="zh-CN"/>
        </w:rPr>
      </w:pPr>
      <w:r>
        <w:rPr>
          <w:rFonts w:eastAsia="SimSun"/>
          <w:b/>
          <w:lang w:eastAsia="zh-CN"/>
        </w:rPr>
        <w:t>T</w:t>
      </w:r>
      <w:r w:rsidRPr="0045316E">
        <w:rPr>
          <w:rFonts w:eastAsia="SimSun"/>
          <w:b/>
          <w:lang w:eastAsia="zh-CN"/>
        </w:rPr>
        <w:t xml:space="preserve">arget optimization of NR DCI payload sizes. Candidate fields for optimization include transmission timing, PDSCH/PUSCH/PUCCH resource allocation.  </w:t>
      </w:r>
    </w:p>
    <w:p w:rsidR="00830F4E" w:rsidRPr="0052231C" w:rsidRDefault="00830F4E" w:rsidP="0058658D">
      <w:pPr>
        <w:pStyle w:val="Heading1"/>
        <w:jc w:val="both"/>
      </w:pPr>
      <w:r w:rsidRPr="0052231C">
        <w:t>References</w:t>
      </w:r>
    </w:p>
    <w:p w:rsidR="000B6693" w:rsidRPr="000B6693" w:rsidRDefault="00316041" w:rsidP="000B6693">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80886518"/>
      <w:bookmarkStart w:id="7" w:name="_Ref481068889"/>
      <w:bookmarkStart w:id="8" w:name="_Ref481537513"/>
      <w:r>
        <w:rPr>
          <w:rFonts w:eastAsia="SimSun"/>
          <w:noProof/>
          <w:lang w:eastAsia="zh-CN"/>
        </w:rPr>
        <w:t>R1-170</w:t>
      </w:r>
      <w:r w:rsidR="00215CA0">
        <w:rPr>
          <w:rFonts w:eastAsia="SimSun"/>
          <w:noProof/>
          <w:lang w:eastAsia="zh-CN"/>
        </w:rPr>
        <w:t>2094</w:t>
      </w:r>
      <w:r>
        <w:rPr>
          <w:rFonts w:eastAsia="SimSun"/>
          <w:noProof/>
          <w:lang w:eastAsia="zh-CN"/>
        </w:rPr>
        <w:t>, “</w:t>
      </w:r>
      <w:r w:rsidR="00215CA0" w:rsidRPr="00215CA0">
        <w:rPr>
          <w:rFonts w:eastAsia="SimSun"/>
          <w:noProof/>
          <w:lang w:eastAsia="zh-CN"/>
        </w:rPr>
        <w:t>Construction and mapping of DCI formats</w:t>
      </w:r>
      <w:r>
        <w:rPr>
          <w:rFonts w:eastAsia="SimSun"/>
          <w:noProof/>
          <w:lang w:eastAsia="zh-CN"/>
        </w:rPr>
        <w:t>”, CATT, RAN1 #8</w:t>
      </w:r>
      <w:bookmarkEnd w:id="6"/>
      <w:bookmarkEnd w:id="7"/>
      <w:r w:rsidR="00215CA0">
        <w:rPr>
          <w:rFonts w:eastAsia="SimSun"/>
          <w:noProof/>
          <w:lang w:eastAsia="zh-CN"/>
        </w:rPr>
        <w:t>8</w:t>
      </w:r>
      <w:bookmarkEnd w:id="8"/>
    </w:p>
    <w:sectPr w:rsidR="000B6693" w:rsidRPr="000B6693"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971" w:rsidRDefault="00190971" w:rsidP="00E9523A">
      <w:pPr>
        <w:ind w:left="-2"/>
      </w:pPr>
      <w:r>
        <w:separator/>
      </w:r>
    </w:p>
  </w:endnote>
  <w:endnote w:type="continuationSeparator" w:id="1">
    <w:p w:rsidR="00190971" w:rsidRDefault="0019097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971" w:rsidRDefault="00190971" w:rsidP="00E9523A">
      <w:pPr>
        <w:ind w:left="-2"/>
      </w:pPr>
      <w:r>
        <w:separator/>
      </w:r>
    </w:p>
  </w:footnote>
  <w:footnote w:type="continuationSeparator" w:id="1">
    <w:p w:rsidR="00190971" w:rsidRDefault="0019097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6">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9">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00F375D"/>
    <w:multiLevelType w:val="hybridMultilevel"/>
    <w:tmpl w:val="3556B430"/>
    <w:lvl w:ilvl="0" w:tplc="E2C07E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F338AB"/>
    <w:multiLevelType w:val="hybridMultilevel"/>
    <w:tmpl w:val="16B68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5">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6">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9">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1">
    <w:nsid w:val="710C18AB"/>
    <w:multiLevelType w:val="hybridMultilevel"/>
    <w:tmpl w:val="1D00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9"/>
  </w:num>
  <w:num w:numId="4">
    <w:abstractNumId w:val="18"/>
  </w:num>
  <w:num w:numId="5">
    <w:abstractNumId w:val="7"/>
  </w:num>
  <w:num w:numId="6">
    <w:abstractNumId w:val="13"/>
  </w:num>
  <w:num w:numId="7">
    <w:abstractNumId w:val="1"/>
  </w:num>
  <w:num w:numId="8">
    <w:abstractNumId w:val="19"/>
  </w:num>
  <w:num w:numId="9">
    <w:abstractNumId w:val="14"/>
  </w:num>
  <w:num w:numId="10">
    <w:abstractNumId w:val="15"/>
  </w:num>
  <w:num w:numId="11">
    <w:abstractNumId w:val="2"/>
  </w:num>
  <w:num w:numId="12">
    <w:abstractNumId w:val="20"/>
  </w:num>
  <w:num w:numId="13">
    <w:abstractNumId w:val="16"/>
  </w:num>
  <w:num w:numId="14">
    <w:abstractNumId w:val="12"/>
  </w:num>
  <w:num w:numId="15">
    <w:abstractNumId w:val="6"/>
  </w:num>
  <w:num w:numId="16">
    <w:abstractNumId w:val="3"/>
  </w:num>
  <w:num w:numId="17">
    <w:abstractNumId w:val="4"/>
  </w:num>
  <w:num w:numId="18">
    <w:abstractNumId w:val="10"/>
  </w:num>
  <w:num w:numId="19">
    <w:abstractNumId w:val="5"/>
  </w:num>
  <w:num w:numId="20">
    <w:abstractNumId w:val="8"/>
  </w:num>
  <w:num w:numId="21">
    <w:abstractNumId w:val="21"/>
  </w:num>
  <w:num w:numId="22">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22562"/>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36"/>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6693"/>
    <w:rsid w:val="000B731D"/>
    <w:rsid w:val="000B760E"/>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971"/>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0808"/>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1CF6"/>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09A6"/>
    <w:rsid w:val="002B1187"/>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97C51"/>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BAF"/>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6388"/>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04C1"/>
    <w:rsid w:val="00421604"/>
    <w:rsid w:val="004217A4"/>
    <w:rsid w:val="004220AD"/>
    <w:rsid w:val="004223E4"/>
    <w:rsid w:val="00423654"/>
    <w:rsid w:val="00424117"/>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BE0"/>
    <w:rsid w:val="0045316E"/>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6474"/>
    <w:rsid w:val="004A6F61"/>
    <w:rsid w:val="004A7649"/>
    <w:rsid w:val="004A76A4"/>
    <w:rsid w:val="004A7AFB"/>
    <w:rsid w:val="004A7F73"/>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35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658D"/>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B60"/>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1DAB"/>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4FE"/>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51B4"/>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5F45"/>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E7D3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025"/>
    <w:rsid w:val="00B625C3"/>
    <w:rsid w:val="00B6295F"/>
    <w:rsid w:val="00B630D4"/>
    <w:rsid w:val="00B63136"/>
    <w:rsid w:val="00B63642"/>
    <w:rsid w:val="00B63E14"/>
    <w:rsid w:val="00B6453F"/>
    <w:rsid w:val="00B64D16"/>
    <w:rsid w:val="00B672A2"/>
    <w:rsid w:val="00B70C8A"/>
    <w:rsid w:val="00B7120E"/>
    <w:rsid w:val="00B713EA"/>
    <w:rsid w:val="00B713FD"/>
    <w:rsid w:val="00B72AA5"/>
    <w:rsid w:val="00B73755"/>
    <w:rsid w:val="00B7386B"/>
    <w:rsid w:val="00B73D59"/>
    <w:rsid w:val="00B73FC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71B"/>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4B4A"/>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6C7"/>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47E"/>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10E"/>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3736"/>
    <w:rsid w:val="00D74FD0"/>
    <w:rsid w:val="00D763D4"/>
    <w:rsid w:val="00D774E8"/>
    <w:rsid w:val="00D77523"/>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6B8F"/>
    <w:rsid w:val="00E67806"/>
    <w:rsid w:val="00E703D9"/>
    <w:rsid w:val="00E708CE"/>
    <w:rsid w:val="00E70904"/>
    <w:rsid w:val="00E71663"/>
    <w:rsid w:val="00E71F5B"/>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104"/>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0CF1"/>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94D"/>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6BD07-8846-4D6C-B0E4-628FC5D3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1441</Words>
  <Characters>8214</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28</cp:revision>
  <dcterms:created xsi:type="dcterms:W3CDTF">2017-05-01T17:45:00Z</dcterms:created>
  <dcterms:modified xsi:type="dcterms:W3CDTF">2017-05-05T22:29:00Z</dcterms:modified>
</cp:coreProperties>
</file>