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FBE8" w14:textId="77777777" w:rsidR="002C20C1" w:rsidRDefault="002C20C1" w:rsidP="00327997">
      <w:pPr>
        <w:pStyle w:val="3GPPHeader"/>
      </w:pPr>
    </w:p>
    <w:p w14:paraId="69601D95" w14:textId="03021855" w:rsidR="00E90E49" w:rsidRPr="00327997" w:rsidRDefault="00E90E49" w:rsidP="00327997">
      <w:pPr>
        <w:pStyle w:val="3GPPHeader"/>
        <w:rPr>
          <w:highlight w:val="yellow"/>
        </w:rPr>
      </w:pPr>
      <w:r w:rsidRPr="00327997">
        <w:t>3GPP TSG-RAN WG</w:t>
      </w:r>
      <w:r w:rsidR="00790B99" w:rsidRPr="00327997">
        <w:t>1</w:t>
      </w:r>
      <w:r w:rsidR="00896979">
        <w:t xml:space="preserve"> Meeting</w:t>
      </w:r>
      <w:r w:rsidR="00A85C6C">
        <w:t>#</w:t>
      </w:r>
      <w:r w:rsidR="00AC7789">
        <w:t>88</w:t>
      </w:r>
      <w:r w:rsidR="002C20C1">
        <w:t>bis</w:t>
      </w:r>
      <w:r w:rsidRPr="00327997">
        <w:tab/>
      </w:r>
      <w:r w:rsidR="00790B99" w:rsidRPr="00D1086C">
        <w:t>R1</w:t>
      </w:r>
      <w:r w:rsidR="00091557" w:rsidRPr="00D1086C">
        <w:t>-</w:t>
      </w:r>
      <w:r w:rsidR="005F3025" w:rsidRPr="00D1086C">
        <w:t>1</w:t>
      </w:r>
      <w:r w:rsidR="00A85C6C" w:rsidRPr="00D1086C">
        <w:t>7</w:t>
      </w:r>
      <w:r w:rsidR="00C416E5" w:rsidRPr="00D1086C">
        <w:t>06027</w:t>
      </w:r>
    </w:p>
    <w:p w14:paraId="275BD9BD" w14:textId="17CCCAAE" w:rsidR="00E90E49" w:rsidRDefault="002C20C1" w:rsidP="00327997">
      <w:pPr>
        <w:pStyle w:val="3GPPHeader"/>
      </w:pPr>
      <w:r w:rsidRPr="00CA2E78">
        <w:t xml:space="preserve">Spokane, </w:t>
      </w:r>
      <w:r>
        <w:t xml:space="preserve">USA, </w:t>
      </w:r>
      <w:r w:rsidR="00AC7789">
        <w:t>3</w:t>
      </w:r>
      <w:r w:rsidR="00A85C6C" w:rsidRPr="00A85C6C">
        <w:rPr>
          <w:vertAlign w:val="superscript"/>
        </w:rPr>
        <w:t>th</w:t>
      </w:r>
      <w:r w:rsidR="00A85C6C">
        <w:t xml:space="preserve"> </w:t>
      </w:r>
      <w:r w:rsidR="0027144F" w:rsidRPr="009C6832">
        <w:t xml:space="preserve">– </w:t>
      </w:r>
      <w:r w:rsidR="00AC7789">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09BCDDC3" w14:textId="77777777"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0AAACBF9" w:rsidR="00E90E49" w:rsidRPr="00327997" w:rsidRDefault="003D3C45" w:rsidP="00327997">
      <w:pPr>
        <w:pStyle w:val="3GPPHeader"/>
      </w:pPr>
      <w:r w:rsidRPr="00327997">
        <w:t>Title:</w:t>
      </w:r>
      <w:r w:rsidR="00E90E49" w:rsidRPr="00327997">
        <w:tab/>
      </w:r>
      <w:r w:rsidR="00512BA2">
        <w:t xml:space="preserve">On </w:t>
      </w:r>
      <w:r w:rsidR="0065729A">
        <w:t>the Size of CCE</w:t>
      </w:r>
      <w:r w:rsidR="002C20C1">
        <w:t xml:space="preserve"> for NR-PDCCH</w:t>
      </w:r>
    </w:p>
    <w:p w14:paraId="4758D261" w14:textId="17657830" w:rsidR="00952A24" w:rsidRPr="00DC1866" w:rsidRDefault="00952A24" w:rsidP="00327997">
      <w:pPr>
        <w:pStyle w:val="3GPPHeader"/>
        <w:rPr>
          <w:lang w:val="en-US"/>
        </w:rPr>
      </w:pPr>
      <w:r w:rsidRPr="00DC1866">
        <w:rPr>
          <w:lang w:val="en-US"/>
        </w:rPr>
        <w:t>Agenda Item:</w:t>
      </w:r>
      <w:r w:rsidRPr="00DC1866">
        <w:rPr>
          <w:lang w:val="en-US"/>
        </w:rPr>
        <w:tab/>
      </w:r>
      <w:r w:rsidR="002545C5" w:rsidRPr="00DC1866">
        <w:rPr>
          <w:lang w:val="en-US"/>
        </w:rPr>
        <w:t>8.1.3.1.2</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20EEAFF6" w:rsidR="00E90E49" w:rsidRDefault="007F75D5" w:rsidP="00CE0424">
      <w:pPr>
        <w:pStyle w:val="Heading1"/>
      </w:pPr>
      <w:r>
        <w:t>Introduction</w:t>
      </w:r>
    </w:p>
    <w:p w14:paraId="2D85B751" w14:textId="5E7480DD" w:rsidR="0065729A" w:rsidRPr="00DC1866" w:rsidRDefault="00DA0BA2" w:rsidP="00F2016C">
      <w:pPr>
        <w:pStyle w:val="BodyText"/>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8067DC">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 xml:space="preserve">was </w:t>
      </w:r>
      <w:r>
        <w:rPr>
          <w:rFonts w:cs="Arial"/>
        </w:rPr>
        <w:t>also</w:t>
      </w:r>
      <w:r w:rsidRPr="00F600E4">
        <w:rPr>
          <w:rFonts w:cs="Arial"/>
        </w:rPr>
        <w:t xml:space="preserve"> 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8067DC">
        <w:rPr>
          <w:rFonts w:cs="Arial"/>
        </w:rPr>
        <w:t>[2]</w:t>
      </w:r>
      <w:r w:rsidRPr="00F600E4">
        <w:rPr>
          <w:rFonts w:cs="Arial"/>
        </w:rPr>
        <w:fldChar w:fldCharType="end"/>
      </w:r>
      <w:r w:rsidRPr="00F600E4">
        <w:rPr>
          <w:rFonts w:cs="Arial"/>
        </w:rPr>
        <w:t xml:space="preserve"> where the WI targets meet</w:t>
      </w:r>
      <w:r>
        <w:rPr>
          <w:rFonts w:cs="Arial"/>
        </w:rPr>
        <w:t>ing</w:t>
      </w:r>
      <w:r w:rsidRPr="00F600E4">
        <w:rPr>
          <w:rFonts w:cs="Arial"/>
        </w:rPr>
        <w:t xml:space="preserve"> both eMBB and URLLC related 5G requirements in Rel-15. </w:t>
      </w:r>
      <w:r w:rsidRPr="00DE48B3">
        <w:t>The design of DL control channel is an essential part of the WI.</w:t>
      </w:r>
      <w:r w:rsidR="00B64070">
        <w:t xml:space="preserve"> </w:t>
      </w:r>
      <w:r w:rsidR="00F2016C">
        <w:t>One of the important aspects in design of DL control channel is the size of NR-CCE. In the previous RAN1 meeting</w:t>
      </w:r>
      <w:r w:rsidR="00C416E5">
        <w:t xml:space="preserve"> </w:t>
      </w:r>
      <w:r w:rsidR="00F2016C">
        <w:fldChar w:fldCharType="begin"/>
      </w:r>
      <w:r w:rsidR="00F2016C">
        <w:instrText xml:space="preserve"> REF _Ref477438547 \n \h </w:instrText>
      </w:r>
      <w:r w:rsidR="00F2016C">
        <w:fldChar w:fldCharType="separate"/>
      </w:r>
      <w:r w:rsidR="008067DC">
        <w:t>[3]</w:t>
      </w:r>
      <w:r w:rsidR="00F2016C">
        <w:fldChar w:fldCharType="end"/>
      </w:r>
      <w:r w:rsidR="00F2016C">
        <w:t>, the following agreement was reached:</w:t>
      </w:r>
    </w:p>
    <w:p w14:paraId="5EC101BD" w14:textId="77777777" w:rsidR="0065729A" w:rsidRPr="00077B45" w:rsidRDefault="0065729A" w:rsidP="0065729A">
      <w:pPr>
        <w:rPr>
          <w:rFonts w:eastAsia="MS Mincho"/>
          <w:lang w:eastAsia="ja-JP"/>
        </w:rPr>
      </w:pPr>
      <w:r w:rsidRPr="00077B45">
        <w:rPr>
          <w:rFonts w:eastAsia="MS Mincho"/>
          <w:highlight w:val="green"/>
          <w:lang w:eastAsia="ja-JP"/>
        </w:rPr>
        <w:t>Agreements</w:t>
      </w:r>
      <w:r w:rsidRPr="00077B45">
        <w:rPr>
          <w:rFonts w:eastAsia="MS Mincho"/>
          <w:lang w:eastAsia="ja-JP"/>
        </w:rPr>
        <w:t>:</w:t>
      </w:r>
    </w:p>
    <w:p w14:paraId="2D6C8C46" w14:textId="77777777" w:rsidR="0065729A" w:rsidRPr="00077B45" w:rsidRDefault="0065729A" w:rsidP="0065729A">
      <w:pPr>
        <w:pStyle w:val="ListParagraph"/>
        <w:numPr>
          <w:ilvl w:val="0"/>
          <w:numId w:val="42"/>
        </w:numPr>
        <w:spacing w:after="200" w:line="276" w:lineRule="auto"/>
        <w:rPr>
          <w:szCs w:val="20"/>
        </w:rPr>
      </w:pPr>
      <w:r w:rsidRPr="00077B45">
        <w:rPr>
          <w:szCs w:val="20"/>
        </w:rPr>
        <w:t>At least QPSK is supported for the modulation of the PDCCH</w:t>
      </w:r>
    </w:p>
    <w:p w14:paraId="384E3764" w14:textId="77777777" w:rsidR="0065729A" w:rsidRPr="00077B45" w:rsidRDefault="0065729A" w:rsidP="0065729A">
      <w:pPr>
        <w:pStyle w:val="ListParagraph"/>
        <w:numPr>
          <w:ilvl w:val="0"/>
          <w:numId w:val="42"/>
        </w:numPr>
        <w:spacing w:after="200" w:line="276" w:lineRule="auto"/>
        <w:rPr>
          <w:szCs w:val="20"/>
        </w:rPr>
      </w:pPr>
      <w:r w:rsidRPr="00077B45">
        <w:rPr>
          <w:szCs w:val="20"/>
        </w:rPr>
        <w:t>For the purpose of determining CCE size, at least one UE-specific DCI can be transmitted within one CCE (with QPSK and code rates not close to 1)</w:t>
      </w:r>
    </w:p>
    <w:p w14:paraId="2BAFC8A0" w14:textId="77777777" w:rsidR="0065729A" w:rsidRPr="00077B45" w:rsidRDefault="0065729A" w:rsidP="0065729A">
      <w:pPr>
        <w:pStyle w:val="ListParagraph"/>
        <w:numPr>
          <w:ilvl w:val="0"/>
          <w:numId w:val="42"/>
        </w:numPr>
        <w:spacing w:after="200" w:line="276" w:lineRule="auto"/>
        <w:rPr>
          <w:szCs w:val="20"/>
        </w:rPr>
      </w:pPr>
      <w:r w:rsidRPr="00077B45">
        <w:rPr>
          <w:szCs w:val="20"/>
        </w:rPr>
        <w:t xml:space="preserve">An initial estimate of the number of REGs per CCE where a REG is one PRB in one OFDM symbol if DCI sizes are similar to LTE assuming QPSK: Suitable values could range from 4 to 8 REGs. </w:t>
      </w:r>
    </w:p>
    <w:p w14:paraId="1C2D4F2F" w14:textId="57D2DE5B" w:rsidR="00225C79" w:rsidRDefault="0065729A" w:rsidP="00DC1866">
      <w:pPr>
        <w:pStyle w:val="ListParagraph"/>
      </w:pPr>
      <w:r w:rsidRPr="00077B45">
        <w:rPr>
          <w:szCs w:val="20"/>
        </w:rPr>
        <w:t>A more precise value needs more decisions on the information carried by the DCI</w:t>
      </w:r>
    </w:p>
    <w:p w14:paraId="66271FC5" w14:textId="77777777" w:rsidR="00BD1BB8" w:rsidRDefault="00BD1BB8" w:rsidP="006D57CE">
      <w:pPr>
        <w:pStyle w:val="ListParagraph"/>
        <w:spacing w:after="0"/>
        <w:ind w:left="1080"/>
      </w:pPr>
    </w:p>
    <w:p w14:paraId="7117FFA6" w14:textId="7E9ABB19" w:rsidR="0072524C" w:rsidRDefault="00BD1BB8" w:rsidP="00E21369">
      <w:pPr>
        <w:pStyle w:val="BodyText"/>
      </w:pPr>
      <w:r>
        <w:t xml:space="preserve">In this contribution for the design of NR-PDCCH, we </w:t>
      </w:r>
      <w:r w:rsidR="00F2016C">
        <w:t>provide performance evaluation results to determine the proper design choice for the number of REGs</w:t>
      </w:r>
      <w:r w:rsidR="00B64070">
        <w:t xml:space="preserve"> in a CCE</w:t>
      </w:r>
      <w:r w:rsidR="00F2016C">
        <w:t>.</w:t>
      </w:r>
    </w:p>
    <w:p w14:paraId="1EBBE295" w14:textId="4D4319EF" w:rsidR="00CE66DE" w:rsidRDefault="00CE66DE" w:rsidP="00800F57">
      <w:pPr>
        <w:pStyle w:val="Heading1"/>
      </w:pPr>
      <w:r>
        <w:t>Discussion</w:t>
      </w:r>
    </w:p>
    <w:p w14:paraId="41044B3F" w14:textId="3096AC49" w:rsidR="009326F9" w:rsidRDefault="009326F9" w:rsidP="00DC1866">
      <w:pPr>
        <w:pStyle w:val="Heading2"/>
      </w:pPr>
      <w:r>
        <w:t>Performance evaluations</w:t>
      </w:r>
    </w:p>
    <w:p w14:paraId="69EB2732" w14:textId="5903847A" w:rsidR="00F537F5" w:rsidRDefault="00C23544" w:rsidP="00D1086C">
      <w:r>
        <w:t>To determine suitable size of a CCE in number of REGs, the performance of PDCCH is evaluated for different parameters as introduced next</w:t>
      </w:r>
      <w:r w:rsidR="009765F4">
        <w:t>,</w:t>
      </w:r>
      <w:r>
        <w:t xml:space="preserve">. One of the most important parameters is the DMRS density of NR-PDCCH. Based on the extensive study that we present in our companion contribution </w:t>
      </w:r>
      <w:r w:rsidR="0020791A">
        <w:fldChar w:fldCharType="begin"/>
      </w:r>
      <w:r w:rsidR="0020791A">
        <w:instrText xml:space="preserve"> REF _Ref478139459 \r \h </w:instrText>
      </w:r>
      <w:r w:rsidR="0020791A">
        <w:fldChar w:fldCharType="separate"/>
      </w:r>
      <w:r w:rsidR="008067DC">
        <w:t>[4]</w:t>
      </w:r>
      <w:r w:rsidR="0020791A">
        <w:fldChar w:fldCharType="end"/>
      </w:r>
      <w:r>
        <w:t xml:space="preserve"> we believe that a DMRS density of 33% is a reasonable design choice providing enough RS for good channel estimat</w:t>
      </w:r>
      <w:r w:rsidR="00313F4F">
        <w:t xml:space="preserve">ion </w:t>
      </w:r>
      <w:r w:rsidR="009765F4">
        <w:t>while</w:t>
      </w:r>
      <w:r w:rsidR="00313F4F">
        <w:t xml:space="preserve"> keeping the overhead</w:t>
      </w:r>
      <w:r w:rsidR="009765F4">
        <w:t xml:space="preserve"> reasonable</w:t>
      </w:r>
      <w:r w:rsidR="00313F4F">
        <w:t xml:space="preserve">. Moreover, </w:t>
      </w:r>
      <w:r w:rsidR="00F537F5">
        <w:t>it was also shown there that</w:t>
      </w:r>
      <w:r w:rsidR="009765F4">
        <w:t>,</w:t>
      </w:r>
      <w:r w:rsidR="00F537F5">
        <w:t xml:space="preserve"> in addition to 33% DMRS density</w:t>
      </w:r>
      <w:r w:rsidR="009765F4">
        <w:t>,</w:t>
      </w:r>
      <w:r w:rsidR="00F537F5">
        <w:t xml:space="preserve"> keeping two REGs together provides a good balance between channel estimation and frequency diversity. </w:t>
      </w:r>
      <w:r w:rsidR="006B5134">
        <w:t xml:space="preserve">In the evaluations to determine the CCE size, we have used SFBC as the transmit diversity scheme, but the conclusions in this contribution are not expected to be any different if precoder cycling is used for transmit diversity instead of SFBC based on the evaluations presented in </w:t>
      </w:r>
      <w:r w:rsidR="004C71A5">
        <w:fldChar w:fldCharType="begin"/>
      </w:r>
      <w:r w:rsidR="004C71A5">
        <w:instrText xml:space="preserve"> REF _Ref478142910 \r \h </w:instrText>
      </w:r>
      <w:r w:rsidR="004C71A5">
        <w:fldChar w:fldCharType="separate"/>
      </w:r>
      <w:r w:rsidR="008067DC">
        <w:t>[5]</w:t>
      </w:r>
      <w:r w:rsidR="004C71A5">
        <w:fldChar w:fldCharType="end"/>
      </w:r>
      <w:r w:rsidR="004C71A5">
        <w:t>.</w:t>
      </w:r>
    </w:p>
    <w:p w14:paraId="6255911A" w14:textId="2FF20AF3" w:rsidR="00C753B3" w:rsidRDefault="00C65918" w:rsidP="008A2B73">
      <w:r>
        <w:t xml:space="preserve">Considering the </w:t>
      </w:r>
      <w:r w:rsidR="00F537F5">
        <w:t>above, we have evaluated</w:t>
      </w:r>
      <w:r w:rsidR="008A503C">
        <w:t xml:space="preserve"> PDCCH performance</w:t>
      </w:r>
      <w:r w:rsidR="00F537F5">
        <w:t xml:space="preserve"> for different number of </w:t>
      </w:r>
      <w:r w:rsidR="00006F19">
        <w:t>REGs</w:t>
      </w:r>
      <w:r w:rsidR="00F537F5">
        <w:t xml:space="preserve"> </w:t>
      </w:r>
      <w:r>
        <w:t xml:space="preserve">per CCE </w:t>
      </w:r>
      <w:r w:rsidR="00006F19">
        <w:t xml:space="preserve">using the </w:t>
      </w:r>
      <w:r w:rsidR="008A503C">
        <w:t>following assumptions</w:t>
      </w:r>
      <w:r>
        <w:t>:</w:t>
      </w:r>
    </w:p>
    <w:p w14:paraId="0BE9AC63" w14:textId="739AE570" w:rsidR="008A503C" w:rsidRDefault="008A503C" w:rsidP="008A503C">
      <w:pPr>
        <w:pStyle w:val="ListParagraph"/>
        <w:numPr>
          <w:ilvl w:val="0"/>
          <w:numId w:val="35"/>
        </w:numPr>
      </w:pPr>
      <w:r>
        <w:t xml:space="preserve">CCE of 4, 6 or 8 REGs </w:t>
      </w:r>
    </w:p>
    <w:p w14:paraId="1E87000C" w14:textId="68DF3DCD" w:rsidR="008A503C" w:rsidRDefault="008A503C" w:rsidP="008A503C">
      <w:pPr>
        <w:pStyle w:val="ListParagraph"/>
        <w:numPr>
          <w:ilvl w:val="0"/>
          <w:numId w:val="34"/>
        </w:numPr>
      </w:pPr>
      <w:r>
        <w:t>Aggregation level AL=8</w:t>
      </w:r>
    </w:p>
    <w:p w14:paraId="3C199B09" w14:textId="77777777" w:rsidR="008A503C" w:rsidRDefault="008A503C" w:rsidP="008A503C">
      <w:pPr>
        <w:pStyle w:val="ListParagraph"/>
        <w:numPr>
          <w:ilvl w:val="0"/>
          <w:numId w:val="34"/>
        </w:numPr>
      </w:pPr>
      <w:r>
        <w:t>DCI sizes of 20 and 60 bits with 16 CRC bits</w:t>
      </w:r>
    </w:p>
    <w:p w14:paraId="3D5D7778" w14:textId="02100E43" w:rsidR="008A503C" w:rsidRPr="00276B6B" w:rsidRDefault="008A503C" w:rsidP="008A503C">
      <w:pPr>
        <w:pStyle w:val="ListParagraph"/>
        <w:numPr>
          <w:ilvl w:val="0"/>
          <w:numId w:val="34"/>
        </w:numPr>
        <w:rPr>
          <w:lang w:val="en-US"/>
        </w:rPr>
      </w:pPr>
      <w:r>
        <w:t xml:space="preserve">DMRS density of 33% </w:t>
      </w:r>
    </w:p>
    <w:p w14:paraId="39B53846" w14:textId="5C3FA77C" w:rsidR="008A503C" w:rsidRPr="00D1086C" w:rsidRDefault="008A503C" w:rsidP="00AA70D5">
      <w:pPr>
        <w:pStyle w:val="ListParagraph"/>
        <w:numPr>
          <w:ilvl w:val="0"/>
          <w:numId w:val="34"/>
        </w:numPr>
        <w:rPr>
          <w:lang w:val="en-US"/>
        </w:rPr>
      </w:pPr>
      <w:r>
        <w:t>X=2 contiguous REGs in a CCE</w:t>
      </w:r>
    </w:p>
    <w:p w14:paraId="5DAF1ADC" w14:textId="1A636031" w:rsidR="00AA70D5" w:rsidRPr="00AA70D5" w:rsidRDefault="00AA70D5" w:rsidP="00AA70D5">
      <w:pPr>
        <w:pStyle w:val="ListParagraph"/>
        <w:numPr>
          <w:ilvl w:val="0"/>
          <w:numId w:val="34"/>
        </w:numPr>
        <w:rPr>
          <w:lang w:val="en-US"/>
        </w:rPr>
      </w:pPr>
      <w:r>
        <w:rPr>
          <w:lang w:val="en-US"/>
        </w:rPr>
        <w:t>SFBC as the TxD scheme</w:t>
      </w:r>
    </w:p>
    <w:p w14:paraId="0123A463" w14:textId="77777777" w:rsidR="008A503C" w:rsidRDefault="008A503C" w:rsidP="008A503C">
      <w:pPr>
        <w:pStyle w:val="ListParagraph"/>
        <w:numPr>
          <w:ilvl w:val="0"/>
          <w:numId w:val="34"/>
        </w:numPr>
      </w:pPr>
      <w:r>
        <w:rPr>
          <w:lang w:val="en-US"/>
        </w:rPr>
        <w:t>Distributed transmissions</w:t>
      </w:r>
    </w:p>
    <w:p w14:paraId="590E8E47" w14:textId="77777777" w:rsidR="008A503C" w:rsidRDefault="008A503C" w:rsidP="008A2B73"/>
    <w:p w14:paraId="352EDFA5" w14:textId="54D675D6" w:rsidR="00987756" w:rsidRDefault="00C753B3" w:rsidP="008A2B73">
      <w:r>
        <w:lastRenderedPageBreak/>
        <w:t>More detailed assumptions are provided in the Appendix.</w:t>
      </w:r>
    </w:p>
    <w:p w14:paraId="4EEEC01D" w14:textId="64C5F902" w:rsidR="00FD68C2" w:rsidRPr="00FD68C2" w:rsidRDefault="00FD68C2" w:rsidP="00DC1866"/>
    <w:p w14:paraId="09B1D871" w14:textId="77777777" w:rsidR="006A3B4B" w:rsidRDefault="004A2DD6" w:rsidP="00D1086C">
      <w:pPr>
        <w:keepNext/>
        <w:jc w:val="center"/>
      </w:pPr>
      <w:r w:rsidRPr="004A2DD6">
        <w:rPr>
          <w:noProof/>
          <w:lang w:val="sv-SE" w:eastAsia="sv-SE"/>
        </w:rPr>
        <w:drawing>
          <wp:inline distT="0" distB="0" distL="0" distR="0" wp14:anchorId="46DB6AE3" wp14:editId="53190922">
            <wp:extent cx="3906000" cy="292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6000" cy="2923200"/>
                    </a:xfrm>
                    <a:prstGeom prst="rect">
                      <a:avLst/>
                    </a:prstGeom>
                    <a:noFill/>
                    <a:ln>
                      <a:noFill/>
                    </a:ln>
                  </pic:spPr>
                </pic:pic>
              </a:graphicData>
            </a:graphic>
          </wp:inline>
        </w:drawing>
      </w:r>
    </w:p>
    <w:p w14:paraId="363FF624" w14:textId="2BDB6E82" w:rsidR="00E2486E" w:rsidRPr="00D1086C" w:rsidRDefault="006A3B4B" w:rsidP="00D1086C">
      <w:pPr>
        <w:pStyle w:val="Caption"/>
        <w:jc w:val="left"/>
      </w:pPr>
      <w:r>
        <w:t xml:space="preserve">Figure </w:t>
      </w:r>
      <w:r>
        <w:fldChar w:fldCharType="begin"/>
      </w:r>
      <w:r>
        <w:instrText xml:space="preserve"> SEQ Figure \* ARABIC </w:instrText>
      </w:r>
      <w:r>
        <w:fldChar w:fldCharType="separate"/>
      </w:r>
      <w:r w:rsidR="008067DC">
        <w:rPr>
          <w:noProof/>
        </w:rPr>
        <w:t>1</w:t>
      </w:r>
      <w:r>
        <w:fldChar w:fldCharType="end"/>
      </w:r>
      <w:r>
        <w:t xml:space="preserve">: </w:t>
      </w:r>
      <w:r w:rsidR="00F052F3" w:rsidRPr="00382E88">
        <w:t>PDCCH BLER for SFBC TxD scheme</w:t>
      </w:r>
      <w:r w:rsidR="009F45AA" w:rsidRPr="00D1086C">
        <w:t xml:space="preserve"> with </w:t>
      </w:r>
      <w:r w:rsidR="00F052F3" w:rsidRPr="00382E88">
        <w:t>TDL A-30ns channel model</w:t>
      </w:r>
      <w:r w:rsidR="009F45AA" w:rsidRPr="00D1086C">
        <w:t>@3 km/h</w:t>
      </w:r>
      <w:r w:rsidR="00F052F3" w:rsidRPr="00382E88">
        <w:t xml:space="preserve">, </w:t>
      </w:r>
      <w:r w:rsidR="009F45AA" w:rsidRPr="00D1086C">
        <w:t xml:space="preserve">assuming </w:t>
      </w:r>
      <w:r w:rsidR="00F052F3" w:rsidRPr="00382E88">
        <w:t>aggregation levels AL</w:t>
      </w:r>
      <w:r w:rsidR="009F45AA" w:rsidRPr="00D1086C">
        <w:t>=8, DCI with 20 bits and DMRS density of 33% with distributed transmission where X=2 REGs are kept together. Moreover</w:t>
      </w:r>
      <w:r w:rsidR="009F45AA">
        <w:t>,</w:t>
      </w:r>
      <w:r w:rsidR="009F45AA" w:rsidRPr="00D1086C">
        <w:t xml:space="preserve"> CCE of 4, 6 and 8 REGS with </w:t>
      </w:r>
      <w:r w:rsidR="00F052F3" w:rsidRPr="00382E88">
        <w:t>corresponding Nc clusters and coding rate r</w:t>
      </w:r>
      <w:r w:rsidR="009F45AA" w:rsidRPr="00D1086C">
        <w:t xml:space="preserve"> are considered.</w:t>
      </w:r>
    </w:p>
    <w:p w14:paraId="1BC63CA9" w14:textId="77777777" w:rsidR="006A3B4B" w:rsidRDefault="004A2DD6" w:rsidP="00D1086C">
      <w:pPr>
        <w:keepNext/>
        <w:jc w:val="center"/>
      </w:pPr>
      <w:r w:rsidRPr="004A2DD6">
        <w:rPr>
          <w:noProof/>
          <w:lang w:val="sv-SE" w:eastAsia="sv-SE"/>
        </w:rPr>
        <w:drawing>
          <wp:inline distT="0" distB="0" distL="0" distR="0" wp14:anchorId="2A2FB78A" wp14:editId="2052FDD8">
            <wp:extent cx="3906000" cy="292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6000" cy="2923200"/>
                    </a:xfrm>
                    <a:prstGeom prst="rect">
                      <a:avLst/>
                    </a:prstGeom>
                    <a:noFill/>
                    <a:ln>
                      <a:noFill/>
                    </a:ln>
                  </pic:spPr>
                </pic:pic>
              </a:graphicData>
            </a:graphic>
          </wp:inline>
        </w:drawing>
      </w:r>
    </w:p>
    <w:p w14:paraId="2340D01D" w14:textId="2B73F872" w:rsidR="004A2DD6" w:rsidRPr="00D1086C" w:rsidRDefault="006A3B4B" w:rsidP="00D1086C">
      <w:pPr>
        <w:pStyle w:val="Caption"/>
        <w:jc w:val="left"/>
      </w:pPr>
      <w:bookmarkStart w:id="0" w:name="_Ref478140659"/>
      <w:r>
        <w:t xml:space="preserve">Figure </w:t>
      </w:r>
      <w:r>
        <w:fldChar w:fldCharType="begin"/>
      </w:r>
      <w:r>
        <w:instrText xml:space="preserve"> SEQ Figure \* ARABIC </w:instrText>
      </w:r>
      <w:r>
        <w:fldChar w:fldCharType="separate"/>
      </w:r>
      <w:r w:rsidR="008067DC">
        <w:rPr>
          <w:noProof/>
        </w:rPr>
        <w:t>2</w:t>
      </w:r>
      <w:r>
        <w:fldChar w:fldCharType="end"/>
      </w:r>
      <w:bookmarkEnd w:id="0"/>
      <w:r>
        <w:t xml:space="preserve">: </w:t>
      </w:r>
      <w:r w:rsidR="009F45AA" w:rsidRPr="001A1789">
        <w:t xml:space="preserve">PDCCH BLER for SFBC TxD scheme with </w:t>
      </w:r>
      <w:r w:rsidR="009F45AA">
        <w:t>TDL B</w:t>
      </w:r>
      <w:r w:rsidR="009F45AA" w:rsidRPr="001A1789">
        <w:t>-30</w:t>
      </w:r>
      <w:r w:rsidR="009F45AA">
        <w:t>0</w:t>
      </w:r>
      <w:r w:rsidR="009F45AA" w:rsidRPr="001A1789">
        <w:t>ns channel model@3 km/h, assuming aggregation levels AL=8, DCI with 20 bits and DMRS density of 33% with distributed transmission where X=2 REGs are kept together. Moreover</w:t>
      </w:r>
      <w:r w:rsidR="009F45AA">
        <w:t>,</w:t>
      </w:r>
      <w:r w:rsidR="009F45AA" w:rsidRPr="001A1789">
        <w:t xml:space="preserve"> CCE of 4, 6 and 8 REGS with corresponding Nc clusters and coding rate r are considered</w:t>
      </w:r>
      <w:r w:rsidR="00D86218">
        <w:t>.</w:t>
      </w:r>
    </w:p>
    <w:p w14:paraId="2B7DD2D8" w14:textId="77777777" w:rsidR="006A3B4B" w:rsidRDefault="004A2DD6" w:rsidP="00D1086C">
      <w:pPr>
        <w:keepNext/>
        <w:jc w:val="center"/>
      </w:pPr>
      <w:bookmarkStart w:id="1" w:name="_Ref462125875"/>
      <w:r w:rsidRPr="004A2DD6">
        <w:rPr>
          <w:noProof/>
          <w:lang w:val="sv-SE" w:eastAsia="sv-SE"/>
        </w:rPr>
        <w:lastRenderedPageBreak/>
        <w:drawing>
          <wp:inline distT="0" distB="0" distL="0" distR="0" wp14:anchorId="7E10B92E" wp14:editId="667214AD">
            <wp:extent cx="3906000" cy="292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6000" cy="2923200"/>
                    </a:xfrm>
                    <a:prstGeom prst="rect">
                      <a:avLst/>
                    </a:prstGeom>
                    <a:noFill/>
                    <a:ln>
                      <a:noFill/>
                    </a:ln>
                  </pic:spPr>
                </pic:pic>
              </a:graphicData>
            </a:graphic>
          </wp:inline>
        </w:drawing>
      </w:r>
    </w:p>
    <w:p w14:paraId="3AD571AD" w14:textId="46DCC8DE" w:rsidR="004A2DD6" w:rsidRDefault="006A3B4B" w:rsidP="00D1086C">
      <w:pPr>
        <w:pStyle w:val="Caption"/>
        <w:jc w:val="left"/>
      </w:pPr>
      <w:r>
        <w:t xml:space="preserve">Figure </w:t>
      </w:r>
      <w:r>
        <w:fldChar w:fldCharType="begin"/>
      </w:r>
      <w:r>
        <w:instrText xml:space="preserve"> SEQ Figure \* ARABIC </w:instrText>
      </w:r>
      <w:r>
        <w:fldChar w:fldCharType="separate"/>
      </w:r>
      <w:r w:rsidR="008067DC">
        <w:rPr>
          <w:noProof/>
        </w:rPr>
        <w:t>3</w:t>
      </w:r>
      <w:r>
        <w:fldChar w:fldCharType="end"/>
      </w:r>
      <w:r>
        <w:t>:</w:t>
      </w:r>
      <w:r w:rsidR="009F45AA" w:rsidRPr="009F45AA">
        <w:t xml:space="preserve"> </w:t>
      </w:r>
      <w:r w:rsidR="009F45AA" w:rsidRPr="001A1789">
        <w:t>PDCCH BLER for SFBC TxD scheme with TDL A-30ns channel model@3 km/h, assuming aggregation levels AL=8</w:t>
      </w:r>
      <w:r w:rsidR="009F45AA">
        <w:t>, DCI with 6</w:t>
      </w:r>
      <w:r w:rsidR="009F45AA" w:rsidRPr="001A1789">
        <w:t>0 bits and DMRS density of 33% with distributed transmission where X=2 REGs are kept together. Moreover</w:t>
      </w:r>
      <w:r w:rsidR="009F45AA">
        <w:t>,</w:t>
      </w:r>
      <w:r w:rsidR="009F45AA" w:rsidRPr="001A1789">
        <w:t xml:space="preserve"> CCE of 4, 6 and 8 REGS with corresponding Nc clusters and coding rate r are considered</w:t>
      </w:r>
      <w:r w:rsidR="00D86218">
        <w:t>.</w:t>
      </w:r>
    </w:p>
    <w:p w14:paraId="6EBF6BDA" w14:textId="77777777" w:rsidR="006A3B4B" w:rsidRDefault="004A2DD6" w:rsidP="00D1086C">
      <w:pPr>
        <w:keepNext/>
        <w:jc w:val="center"/>
      </w:pPr>
      <w:r w:rsidRPr="004A2DD6">
        <w:rPr>
          <w:noProof/>
          <w:lang w:val="sv-SE" w:eastAsia="sv-SE"/>
        </w:rPr>
        <w:drawing>
          <wp:inline distT="0" distB="0" distL="0" distR="0" wp14:anchorId="60876B9D" wp14:editId="7911D577">
            <wp:extent cx="3906000" cy="292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6000" cy="2923200"/>
                    </a:xfrm>
                    <a:prstGeom prst="rect">
                      <a:avLst/>
                    </a:prstGeom>
                    <a:noFill/>
                    <a:ln>
                      <a:noFill/>
                    </a:ln>
                  </pic:spPr>
                </pic:pic>
              </a:graphicData>
            </a:graphic>
          </wp:inline>
        </w:drawing>
      </w:r>
    </w:p>
    <w:p w14:paraId="4CB25763" w14:textId="3A3EFEDF" w:rsidR="006A3B4B" w:rsidRDefault="006A3B4B" w:rsidP="00D1086C">
      <w:pPr>
        <w:pStyle w:val="Caption"/>
        <w:jc w:val="left"/>
      </w:pPr>
      <w:r>
        <w:t xml:space="preserve">Figure </w:t>
      </w:r>
      <w:r>
        <w:fldChar w:fldCharType="begin"/>
      </w:r>
      <w:r>
        <w:instrText xml:space="preserve"> SEQ Figure \* ARABIC </w:instrText>
      </w:r>
      <w:r>
        <w:fldChar w:fldCharType="separate"/>
      </w:r>
      <w:r w:rsidR="008067DC">
        <w:rPr>
          <w:noProof/>
        </w:rPr>
        <w:t>4</w:t>
      </w:r>
      <w:r>
        <w:fldChar w:fldCharType="end"/>
      </w:r>
      <w:r>
        <w:t>:</w:t>
      </w:r>
      <w:r w:rsidR="009F45AA" w:rsidRPr="009F45AA">
        <w:t xml:space="preserve"> </w:t>
      </w:r>
      <w:r w:rsidR="009F45AA" w:rsidRPr="001A1789">
        <w:t xml:space="preserve">PDCCH BLER for SFBC TxD scheme with </w:t>
      </w:r>
      <w:r w:rsidR="009F45AA">
        <w:t>TDL B</w:t>
      </w:r>
      <w:r w:rsidR="009F45AA" w:rsidRPr="001A1789">
        <w:t>-30</w:t>
      </w:r>
      <w:r w:rsidR="009F45AA">
        <w:t>0</w:t>
      </w:r>
      <w:r w:rsidR="009F45AA" w:rsidRPr="001A1789">
        <w:t>ns channel model@3 km/h, assuming aggregation levels AL=8</w:t>
      </w:r>
      <w:r w:rsidR="009F45AA">
        <w:t>, DCI with 6</w:t>
      </w:r>
      <w:r w:rsidR="009F45AA" w:rsidRPr="001A1789">
        <w:t>0 bits and DMRS density of 33% with distributed transmission where X=2 REGs are kept together. Moreover</w:t>
      </w:r>
      <w:r w:rsidR="009F45AA">
        <w:t>,</w:t>
      </w:r>
      <w:r w:rsidR="009F45AA" w:rsidRPr="001A1789">
        <w:t xml:space="preserve"> CCE of 4, 6 and 8 REGS with corresponding Nc clusters and coding rate r are considered</w:t>
      </w:r>
      <w:r w:rsidR="00D86218">
        <w:t>.</w:t>
      </w:r>
    </w:p>
    <w:p w14:paraId="1BB7E0FD" w14:textId="713070FB" w:rsidR="007A3862" w:rsidRDefault="000D7ADF">
      <w:r>
        <w:t xml:space="preserve">The evaluations show that there is generally a gain in performance as the CCE size is increased and that in most cases, the difference between a CCE size of 4 REGs and 6 REGs is much larger than the difference between CCE sizes of 6 and 8 REGs. It should be noted that a value of 4 REGs </w:t>
      </w:r>
      <w:r w:rsidR="007A3862">
        <w:t xml:space="preserve">per CCE </w:t>
      </w:r>
      <w:r>
        <w:t xml:space="preserve">with a 33% pilot density </w:t>
      </w:r>
      <w:r w:rsidR="007A3862">
        <w:t xml:space="preserve">results in only 32 REs being available to transmit the payload of the NR-PDCCH in a CCE. This is less than that available in LTE and is clearly more likely to result in worse performance than for the PDCCH in LTE with an aggregation level of 1 where only one </w:t>
      </w:r>
      <w:r w:rsidR="007A3862">
        <w:lastRenderedPageBreak/>
        <w:t>CCE is used. For instance, the code rate with a payload of 60 bits would be 15/16. Therefore, if viable performance with only one CCE is desired, then using only 4 REGs per CCE is not an option.</w:t>
      </w:r>
    </w:p>
    <w:p w14:paraId="236CC798" w14:textId="3A582C14" w:rsidR="007A3862" w:rsidRDefault="007A3862">
      <w:r>
        <w:t xml:space="preserve">Considering the use of 6 REGs per CCE, we observe from the figures that the performance obtained with aggregation level 8 is acceptable. For instance, </w:t>
      </w:r>
      <w:r>
        <w:fldChar w:fldCharType="begin"/>
      </w:r>
      <w:r>
        <w:instrText xml:space="preserve"> REF _Ref478140659 \h </w:instrText>
      </w:r>
      <w:r>
        <w:fldChar w:fldCharType="separate"/>
      </w:r>
      <w:r w:rsidR="008067DC">
        <w:t xml:space="preserve">Figure </w:t>
      </w:r>
      <w:r w:rsidR="008067DC">
        <w:rPr>
          <w:noProof/>
        </w:rPr>
        <w:t>2</w:t>
      </w:r>
      <w:r>
        <w:fldChar w:fldCharType="end"/>
      </w:r>
      <w:r>
        <w:t xml:space="preserve"> shows that with 6 REGs per CCE, an SNR of roughly – 5dB is adequate to achieve a BLER of 1%. This is similar to the coverage provided by LTE in an ETU channel. Therefore, the use of 6 REGs per CCE is a viable option for NR. </w:t>
      </w:r>
    </w:p>
    <w:p w14:paraId="22F33DEE" w14:textId="01B996DE" w:rsidR="008A2B73" w:rsidRPr="008A2B73" w:rsidRDefault="007A3862" w:rsidP="00D1086C">
      <w:r>
        <w:t xml:space="preserve">If the number of REGs per CCE is further increased to 8, the evaluations show that there is a performance gain of slightly more than 0.5 dB in some cases. However, this gain in performance comes at the cost of greater overhead which can reduce multiplexing capacity. The benefit of incurring another 33% overhead for delivering the NR-PDCCH for another 0.5 dB gain is most likely outweighed by the cost due to increased blocking, increased </w:t>
      </w:r>
      <w:r w:rsidR="008067DC">
        <w:t>latency,</w:t>
      </w:r>
      <w:r>
        <w:t xml:space="preserve"> and lower user data rates. Therefore, when the total system performance is </w:t>
      </w:r>
      <w:r w:rsidR="008067DC">
        <w:t>considered</w:t>
      </w:r>
      <w:r>
        <w:t xml:space="preserve">, the use of 6 REGs per CCE </w:t>
      </w:r>
      <w:r w:rsidR="00801BB6">
        <w:t xml:space="preserve">is the better choice. </w:t>
      </w:r>
    </w:p>
    <w:p w14:paraId="787B6726" w14:textId="59F1BA9C" w:rsidR="00871838" w:rsidRPr="005E210C" w:rsidRDefault="00871838" w:rsidP="00871838">
      <w:pPr>
        <w:rPr>
          <w:b/>
        </w:rPr>
      </w:pPr>
      <w:r w:rsidRPr="005E210C">
        <w:rPr>
          <w:b/>
        </w:rPr>
        <w:t>Proposal:</w:t>
      </w:r>
      <w:r w:rsidR="00F02748">
        <w:rPr>
          <w:b/>
        </w:rPr>
        <w:t xml:space="preserve"> </w:t>
      </w:r>
      <w:r w:rsidR="00E563E1">
        <w:t>A</w:t>
      </w:r>
      <w:r w:rsidR="00F02748">
        <w:t xml:space="preserve"> CCE should consist of 6 REGs </w:t>
      </w:r>
      <w:r w:rsidR="00E563E1">
        <w:t>for the NR-PDCCH</w:t>
      </w:r>
    </w:p>
    <w:bookmarkEnd w:id="1"/>
    <w:p w14:paraId="7299022C" w14:textId="6E02A533" w:rsidR="001B3203" w:rsidRPr="008A2B73" w:rsidRDefault="001B3203" w:rsidP="008A2B73">
      <w:pPr>
        <w:rPr>
          <w:rFonts w:eastAsia="MS Mincho"/>
          <w:lang w:val="en-US"/>
        </w:rPr>
      </w:pPr>
    </w:p>
    <w:p w14:paraId="71F413BD" w14:textId="77777777" w:rsidR="00C01F33" w:rsidRPr="00CE0424" w:rsidRDefault="00C01F33" w:rsidP="003A0E41">
      <w:pPr>
        <w:pStyle w:val="Heading1"/>
      </w:pPr>
      <w:r w:rsidRPr="00CE0424">
        <w:t>Conclusion</w:t>
      </w:r>
      <w:r w:rsidR="00AE2FEB">
        <w:t>s</w:t>
      </w:r>
    </w:p>
    <w:p w14:paraId="690AA6C0" w14:textId="1E8A7DD1" w:rsidR="00255E5C" w:rsidRDefault="00E563E1" w:rsidP="00D1086C">
      <w:pPr>
        <w:pStyle w:val="BodyText"/>
        <w:rPr>
          <w:lang w:val="en-US"/>
        </w:rPr>
      </w:pPr>
      <w:r w:rsidRPr="00D1086C">
        <w:rPr>
          <w:lang w:val="en-US"/>
        </w:rPr>
        <w:t>The size of a CCE for carrying an NR-PDCCH was discussed in this contribution. Evaluat</w:t>
      </w:r>
      <w:r>
        <w:rPr>
          <w:lang w:val="en-US"/>
        </w:rPr>
        <w:t>ions were presented for CCE sizes of 4, 6 and 8 REGs. The following was proposed.</w:t>
      </w:r>
    </w:p>
    <w:p w14:paraId="4209881A" w14:textId="489622C6" w:rsidR="00E563E1" w:rsidRDefault="00E563E1" w:rsidP="00D1086C">
      <w:pPr>
        <w:pStyle w:val="BodyText"/>
      </w:pPr>
      <w:r w:rsidRPr="005E210C">
        <w:rPr>
          <w:b/>
        </w:rPr>
        <w:t>Proposal:</w:t>
      </w:r>
      <w:r>
        <w:rPr>
          <w:b/>
        </w:rPr>
        <w:t xml:space="preserve"> </w:t>
      </w:r>
      <w:r>
        <w:t>A CCE should consist of 6 REGs for the NR-PDCCH</w:t>
      </w:r>
    </w:p>
    <w:p w14:paraId="42C0D3DB" w14:textId="77777777" w:rsidR="00E563E1" w:rsidRPr="006D57CE" w:rsidRDefault="00E563E1" w:rsidP="00D1086C">
      <w:pPr>
        <w:pStyle w:val="BodyText"/>
        <w:rPr>
          <w:highlight w:val="yellow"/>
          <w:lang w:val="en-US"/>
        </w:rPr>
      </w:pPr>
    </w:p>
    <w:p w14:paraId="58AC10A7" w14:textId="77777777" w:rsidR="00F507D1" w:rsidRPr="00CE0424" w:rsidRDefault="00F507D1" w:rsidP="00CE0424">
      <w:pPr>
        <w:pStyle w:val="Heading1"/>
      </w:pPr>
      <w:bookmarkStart w:id="2" w:name="_In-sequence_SDU_delivery"/>
      <w:bookmarkEnd w:id="2"/>
      <w:r w:rsidRPr="00CE0424">
        <w:t>References</w:t>
      </w:r>
    </w:p>
    <w:p w14:paraId="39D0EC3E" w14:textId="4E87F58B" w:rsidR="00DA0BA2" w:rsidRPr="00C00B6D" w:rsidRDefault="00DA0BA2" w:rsidP="00DA0BA2">
      <w:pPr>
        <w:pStyle w:val="Reference"/>
      </w:pPr>
      <w:bookmarkStart w:id="3" w:name="_Ref477803323"/>
      <w:bookmarkStart w:id="4" w:name="_Ref477422803"/>
      <w:bookmarkStart w:id="5" w:name="_Ref473934775"/>
      <w:r>
        <w:t>RP-170377</w:t>
      </w:r>
      <w:bookmarkEnd w:id="3"/>
      <w:r>
        <w:tab/>
      </w:r>
      <w:r w:rsidRPr="00D54B8E">
        <w:t>TR 38.802 v2.0.0 on Study on New Radio (NR) Access Technology Phys</w:t>
      </w:r>
      <w:r>
        <w:t xml:space="preserve">ical Layer </w:t>
      </w:r>
      <w:r w:rsidRPr="00C00B6D">
        <w:t>Aspects; NTT DOCOMO</w:t>
      </w:r>
    </w:p>
    <w:p w14:paraId="1F03DE7E" w14:textId="50E3C3B7" w:rsidR="00DA0BA2" w:rsidRPr="00C00B6D" w:rsidRDefault="00DA0BA2" w:rsidP="00DA0BA2">
      <w:pPr>
        <w:pStyle w:val="Reference"/>
      </w:pPr>
      <w:bookmarkStart w:id="6" w:name="_Ref477803338"/>
      <w:r w:rsidRPr="00C00B6D">
        <w:t>RP-170855</w:t>
      </w:r>
      <w:bookmarkEnd w:id="6"/>
      <w:r w:rsidR="004C71A5">
        <w:tab/>
      </w:r>
      <w:r w:rsidRPr="00C00B6D">
        <w:t>New WID on New Radio Access Technology; NTT DOCOMO</w:t>
      </w:r>
    </w:p>
    <w:p w14:paraId="3583A442" w14:textId="58920F6E" w:rsidR="0056508D" w:rsidRDefault="004A0023" w:rsidP="00CE0424">
      <w:pPr>
        <w:pStyle w:val="Reference"/>
      </w:pPr>
      <w:bookmarkStart w:id="7" w:name="_Ref478143096"/>
      <w:bookmarkStart w:id="8" w:name="_Ref477438547"/>
      <w:bookmarkStart w:id="9" w:name="_Ref477422786"/>
      <w:bookmarkEnd w:id="4"/>
      <w:r>
        <w:t xml:space="preserve">Chairman’s Notes, 3GPP TSG RAN WG1 </w:t>
      </w:r>
      <w:r w:rsidR="00F2016C">
        <w:t>Meeting#8</w:t>
      </w:r>
      <w:r w:rsidR="004C71A5">
        <w:t>8</w:t>
      </w:r>
      <w:bookmarkEnd w:id="7"/>
      <w:bookmarkEnd w:id="8"/>
      <w:bookmarkEnd w:id="9"/>
    </w:p>
    <w:p w14:paraId="5C07CF00" w14:textId="0B19EFE2" w:rsidR="003A7EF3" w:rsidRPr="0061571D" w:rsidRDefault="0056508D" w:rsidP="00CE0424">
      <w:pPr>
        <w:pStyle w:val="Reference"/>
      </w:pPr>
      <w:bookmarkStart w:id="10" w:name="_Ref477422823"/>
      <w:bookmarkStart w:id="11" w:name="_Ref478139459"/>
      <w:r w:rsidRPr="006D57CE">
        <w:t>R1-170</w:t>
      </w:r>
      <w:r w:rsidR="004E45CD">
        <w:t>6025</w:t>
      </w:r>
      <w:bookmarkEnd w:id="10"/>
      <w:r w:rsidR="0061571D">
        <w:tab/>
        <w:t xml:space="preserve">On DM-RS </w:t>
      </w:r>
      <w:r w:rsidR="00D1086C">
        <w:t>D</w:t>
      </w:r>
      <w:r w:rsidR="004E45CD">
        <w:t xml:space="preserve">ensity </w:t>
      </w:r>
      <w:r w:rsidR="0061571D">
        <w:t xml:space="preserve">for </w:t>
      </w:r>
      <w:r w:rsidR="004E45CD">
        <w:t>NR-PDCCH</w:t>
      </w:r>
      <w:r w:rsidR="0061571D">
        <w:t>, Ericsson</w:t>
      </w:r>
      <w:bookmarkEnd w:id="5"/>
      <w:bookmarkEnd w:id="11"/>
    </w:p>
    <w:p w14:paraId="787B2A5C" w14:textId="2279B7DD" w:rsidR="008A2B73" w:rsidRDefault="008A2B73" w:rsidP="00CE0424">
      <w:pPr>
        <w:pStyle w:val="Reference"/>
      </w:pPr>
      <w:bookmarkStart w:id="12" w:name="_Ref477422846"/>
      <w:bookmarkStart w:id="13" w:name="_Ref478142910"/>
      <w:r w:rsidRPr="00D1086C">
        <w:t>R1-17</w:t>
      </w:r>
      <w:r w:rsidR="006B5134" w:rsidRPr="00D1086C">
        <w:t>06024</w:t>
      </w:r>
      <w:bookmarkEnd w:id="12"/>
      <w:r w:rsidR="0061571D" w:rsidRPr="00D1086C">
        <w:tab/>
      </w:r>
      <w:r w:rsidR="004C71A5" w:rsidRPr="009423F2">
        <w:t>On Performance of SFBC and Pre-</w:t>
      </w:r>
      <w:r w:rsidR="004C71A5">
        <w:t>C</w:t>
      </w:r>
      <w:r w:rsidR="006B5134" w:rsidRPr="00D1086C">
        <w:t>oder Cycling for NR-PDCCH</w:t>
      </w:r>
      <w:r w:rsidR="0061571D" w:rsidRPr="00D1086C">
        <w:t>, Ericsson</w:t>
      </w:r>
      <w:bookmarkEnd w:id="13"/>
    </w:p>
    <w:p w14:paraId="3EA1B731" w14:textId="77777777" w:rsidR="006B5134" w:rsidRPr="00D1086C" w:rsidRDefault="006B5134" w:rsidP="00D1086C">
      <w:pPr>
        <w:pStyle w:val="Reference"/>
        <w:numPr>
          <w:ilvl w:val="0"/>
          <w:numId w:val="0"/>
        </w:numPr>
      </w:pPr>
    </w:p>
    <w:p w14:paraId="42560174" w14:textId="31DBECF6" w:rsidR="00363067" w:rsidRDefault="0056508D" w:rsidP="006D57CE">
      <w:pPr>
        <w:pStyle w:val="Heading1"/>
      </w:pPr>
      <w:r>
        <w:t>Appendix</w:t>
      </w:r>
    </w:p>
    <w:p w14:paraId="5D1E6CFC" w14:textId="448E81AC" w:rsidR="00101C0F" w:rsidRPr="00101C0F" w:rsidRDefault="0001557B" w:rsidP="006D57CE">
      <w:r>
        <w:t xml:space="preserve">In </w:t>
      </w:r>
      <w:r w:rsidR="004C71A5">
        <w:t>RAN1#88,</w:t>
      </w:r>
      <w:r>
        <w:t xml:space="preserve"> the following a</w:t>
      </w:r>
      <w:bookmarkStart w:id="14" w:name="_GoBack"/>
      <w:bookmarkEnd w:id="14"/>
      <w:r>
        <w:t>greement was made on the evaluation assumptions selection of TxD schemes</w:t>
      </w:r>
      <w:r w:rsidR="004C71A5">
        <w:t xml:space="preserve"> </w:t>
      </w:r>
      <w:r w:rsidR="004C71A5">
        <w:fldChar w:fldCharType="begin"/>
      </w:r>
      <w:r w:rsidR="004C71A5">
        <w:instrText xml:space="preserve"> REF _Ref478143096 \r \h </w:instrText>
      </w:r>
      <w:r w:rsidR="004C71A5">
        <w:fldChar w:fldCharType="separate"/>
      </w:r>
      <w:r w:rsidR="008067DC">
        <w:t>[3]</w:t>
      </w:r>
      <w:r w:rsidR="004C71A5">
        <w:fldChar w:fldCharType="end"/>
      </w:r>
      <w:r>
        <w:t>. Moreover, it was recommended to harmonize the evaluation assumption for other PDCCH related evaluations with the below agreements when possible.</w:t>
      </w:r>
      <w:r w:rsidRPr="0001557B">
        <w:t xml:space="preserve"> </w:t>
      </w:r>
      <w:r>
        <w:t xml:space="preserve">Hence, the link level simulation parameters used for the NR-PDCCH performance evaluations in this contribution are aligned with the following agreement and listed in </w:t>
      </w:r>
      <w:r w:rsidRPr="0072524C">
        <w:fldChar w:fldCharType="begin"/>
      </w:r>
      <w:r w:rsidRPr="0072524C">
        <w:instrText xml:space="preserve"> REF _Ref477421090 \h </w:instrText>
      </w:r>
      <w:r>
        <w:instrText xml:space="preserve"> \* MERGEFORMAT </w:instrText>
      </w:r>
      <w:r w:rsidRPr="0072524C">
        <w:fldChar w:fldCharType="separate"/>
      </w:r>
      <w:r w:rsidR="008067DC" w:rsidRPr="00D1086C">
        <w:t xml:space="preserve">Table </w:t>
      </w:r>
      <w:r w:rsidR="008067DC">
        <w:rPr>
          <w:noProof/>
        </w:rPr>
        <w:t>1</w:t>
      </w:r>
      <w:r w:rsidRPr="0072524C">
        <w:fldChar w:fldCharType="end"/>
      </w:r>
      <w:r w:rsidRPr="0072524C">
        <w:t>.</w:t>
      </w:r>
    </w:p>
    <w:p w14:paraId="343D5D59" w14:textId="77777777" w:rsidR="0072524C" w:rsidRPr="009452FA" w:rsidRDefault="0072524C" w:rsidP="0072524C">
      <w:pPr>
        <w:rPr>
          <w:rFonts w:eastAsia="MS Mincho"/>
          <w:b/>
          <w:u w:val="single"/>
          <w:lang w:eastAsia="ja-JP"/>
        </w:rPr>
      </w:pPr>
      <w:r w:rsidRPr="00F57C9B">
        <w:rPr>
          <w:rFonts w:eastAsia="MS Mincho" w:hint="eastAsia"/>
          <w:b/>
          <w:highlight w:val="green"/>
          <w:u w:val="single"/>
          <w:lang w:eastAsia="ja-JP"/>
        </w:rPr>
        <w:t>Agreements:</w:t>
      </w:r>
    </w:p>
    <w:p w14:paraId="3132F8CC" w14:textId="77777777" w:rsidR="0072524C" w:rsidRDefault="0072524C" w:rsidP="0072524C">
      <w:pPr>
        <w:numPr>
          <w:ilvl w:val="0"/>
          <w:numId w:val="28"/>
        </w:numPr>
        <w:overflowPunct/>
        <w:autoSpaceDE/>
        <w:autoSpaceDN/>
        <w:adjustRightInd/>
        <w:spacing w:after="0"/>
        <w:jc w:val="left"/>
        <w:textAlignment w:val="auto"/>
      </w:pPr>
      <w:r>
        <w:t>Evaluation assumption guidelines</w:t>
      </w:r>
      <w:r w:rsidRPr="005A0C13">
        <w:rPr>
          <w:rFonts w:eastAsia="MS Mincho" w:hint="eastAsia"/>
          <w:lang w:eastAsia="ja-JP"/>
        </w:rPr>
        <w:t xml:space="preserve"> for down selection of TxD scheme for DL control channel</w:t>
      </w:r>
      <w:r>
        <w:t>:</w:t>
      </w:r>
    </w:p>
    <w:p w14:paraId="0B7F8ACF" w14:textId="77777777" w:rsidR="0072524C" w:rsidRPr="00274951" w:rsidRDefault="0072524C" w:rsidP="0072524C">
      <w:pPr>
        <w:pStyle w:val="ListParagraph"/>
        <w:numPr>
          <w:ilvl w:val="0"/>
          <w:numId w:val="29"/>
        </w:numPr>
        <w:spacing w:after="200" w:line="276" w:lineRule="auto"/>
      </w:pPr>
      <w:r w:rsidRPr="00274951">
        <w:t>Aggregation levels: 1, 2, 4, 8 (</w:t>
      </w:r>
      <w:r w:rsidRPr="00F86494">
        <w:rPr>
          <w:rFonts w:eastAsia="MS Mincho" w:hint="eastAsia"/>
        </w:rPr>
        <w:t>Proponents</w:t>
      </w:r>
      <w:r w:rsidRPr="00274951">
        <w:t xml:space="preserve"> can evaluate higher aggregation levels in addition, e.g., 16, 32)</w:t>
      </w:r>
    </w:p>
    <w:p w14:paraId="36FCD71E" w14:textId="77777777" w:rsidR="0072524C" w:rsidRPr="00274951" w:rsidRDefault="0072524C" w:rsidP="0072524C">
      <w:pPr>
        <w:pStyle w:val="ListParagraph"/>
        <w:numPr>
          <w:ilvl w:val="0"/>
          <w:numId w:val="29"/>
        </w:numPr>
        <w:spacing w:after="200" w:line="276" w:lineRule="auto"/>
      </w:pPr>
      <w:r w:rsidRPr="00274951">
        <w:t>DCI size: 20 and 60 bits + 16 bit CRC</w:t>
      </w:r>
    </w:p>
    <w:p w14:paraId="1CD566AA" w14:textId="77777777" w:rsidR="0072524C" w:rsidRPr="00274951" w:rsidRDefault="0072524C" w:rsidP="0072524C">
      <w:pPr>
        <w:pStyle w:val="ListParagraph"/>
        <w:numPr>
          <w:ilvl w:val="0"/>
          <w:numId w:val="29"/>
        </w:numPr>
        <w:spacing w:after="200" w:line="276" w:lineRule="auto"/>
      </w:pPr>
      <w:r w:rsidRPr="00274951">
        <w:t xml:space="preserve">CCE size: </w:t>
      </w:r>
      <w:r w:rsidRPr="00F86494">
        <w:rPr>
          <w:rFonts w:eastAsia="MS Mincho" w:hint="eastAsia"/>
        </w:rPr>
        <w:t>Proponents</w:t>
      </w:r>
      <w:r w:rsidRPr="00274951">
        <w:t xml:space="preserve"> can choose within the agreed </w:t>
      </w:r>
      <w:r w:rsidRPr="00F86494">
        <w:rPr>
          <w:rFonts w:eastAsia="MS Mincho" w:hint="eastAsia"/>
        </w:rPr>
        <w:t xml:space="preserve">initial estimate </w:t>
      </w:r>
      <w:r w:rsidRPr="00274951">
        <w:t>of 4 to 8 REGs per CCE</w:t>
      </w:r>
    </w:p>
    <w:p w14:paraId="41D051F0" w14:textId="77777777" w:rsidR="0072524C" w:rsidRDefault="0072524C" w:rsidP="0072524C">
      <w:pPr>
        <w:pStyle w:val="ListParagraph"/>
        <w:numPr>
          <w:ilvl w:val="0"/>
          <w:numId w:val="29"/>
        </w:numPr>
        <w:spacing w:after="0" w:line="276" w:lineRule="auto"/>
      </w:pPr>
      <w:r>
        <w:t>Practical channel estimation</w:t>
      </w:r>
    </w:p>
    <w:p w14:paraId="6FE43748" w14:textId="77777777" w:rsidR="0072524C" w:rsidRDefault="0072524C" w:rsidP="0072524C">
      <w:pPr>
        <w:pStyle w:val="ListParagraph"/>
        <w:numPr>
          <w:ilvl w:val="1"/>
          <w:numId w:val="29"/>
        </w:numPr>
        <w:spacing w:after="0" w:line="276" w:lineRule="auto"/>
      </w:pPr>
      <w:r>
        <w:t xml:space="preserve">MMSE for reference, other schemes can be evaluated in addition </w:t>
      </w:r>
    </w:p>
    <w:p w14:paraId="2129AFDB" w14:textId="77777777" w:rsidR="0072524C" w:rsidRDefault="0072524C" w:rsidP="0072524C">
      <w:pPr>
        <w:pStyle w:val="ListParagraph"/>
        <w:numPr>
          <w:ilvl w:val="1"/>
          <w:numId w:val="29"/>
        </w:numPr>
        <w:spacing w:after="0" w:line="276" w:lineRule="auto"/>
      </w:pPr>
      <w:r w:rsidRPr="005A0C13">
        <w:rPr>
          <w:rFonts w:eastAsia="MS Mincho" w:hint="eastAsia"/>
        </w:rPr>
        <w:t>Proponents</w:t>
      </w:r>
      <w:r>
        <w:t xml:space="preserve"> should state assumptions on </w:t>
      </w:r>
    </w:p>
    <w:p w14:paraId="574C3136" w14:textId="77777777" w:rsidR="0072524C" w:rsidRPr="00B1518B" w:rsidRDefault="0072524C" w:rsidP="0072524C">
      <w:pPr>
        <w:pStyle w:val="ListParagraph"/>
        <w:numPr>
          <w:ilvl w:val="2"/>
          <w:numId w:val="29"/>
        </w:numPr>
        <w:spacing w:after="0" w:line="276" w:lineRule="auto"/>
      </w:pPr>
      <w:r>
        <w:lastRenderedPageBreak/>
        <w:t>Number of RS used for interpolation in time and frequency</w:t>
      </w:r>
    </w:p>
    <w:p w14:paraId="2108B77D" w14:textId="77777777" w:rsidR="0072524C" w:rsidRDefault="0072524C" w:rsidP="0072524C">
      <w:pPr>
        <w:pStyle w:val="ListParagraph"/>
        <w:numPr>
          <w:ilvl w:val="2"/>
          <w:numId w:val="29"/>
        </w:numPr>
        <w:spacing w:after="0" w:line="276" w:lineRule="auto"/>
      </w:pPr>
      <w:r w:rsidRPr="005A0C13">
        <w:rPr>
          <w:rFonts w:eastAsia="MS Mincho" w:hint="eastAsia"/>
        </w:rPr>
        <w:t>PRB bundling assumption</w:t>
      </w:r>
    </w:p>
    <w:p w14:paraId="66740C33" w14:textId="77777777" w:rsidR="0072524C" w:rsidRDefault="0072524C" w:rsidP="0072524C">
      <w:pPr>
        <w:pStyle w:val="ListParagraph"/>
        <w:numPr>
          <w:ilvl w:val="0"/>
          <w:numId w:val="29"/>
        </w:numPr>
        <w:spacing w:after="0" w:line="276" w:lineRule="auto"/>
      </w:pPr>
      <w:r>
        <w:t>Antenna configurations and correlations corresponding to models at carrier frequencies of 4 GHz and 30 GHz (Prioritize 4 GHz)</w:t>
      </w:r>
    </w:p>
    <w:p w14:paraId="0D04FFE9" w14:textId="77777777" w:rsidR="0072524C" w:rsidRDefault="0072524C" w:rsidP="0072524C">
      <w:pPr>
        <w:pStyle w:val="ListParagraph"/>
        <w:numPr>
          <w:ilvl w:val="0"/>
          <w:numId w:val="29"/>
        </w:numPr>
        <w:spacing w:after="0" w:line="276" w:lineRule="auto"/>
      </w:pPr>
      <w:r>
        <w:t>DMRS density 33% (other densities can be evaluated in addition)</w:t>
      </w:r>
    </w:p>
    <w:p w14:paraId="13DA3908" w14:textId="77777777" w:rsidR="0072524C" w:rsidRDefault="0072524C" w:rsidP="0072524C">
      <w:pPr>
        <w:pStyle w:val="ListParagraph"/>
        <w:numPr>
          <w:ilvl w:val="0"/>
          <w:numId w:val="29"/>
        </w:numPr>
        <w:spacing w:after="0" w:line="276" w:lineRule="auto"/>
      </w:pPr>
      <w:r>
        <w:t>Number of OFDM symbols for transmission of PDCCH: 1 (companies may additionally evaluate for other values)</w:t>
      </w:r>
    </w:p>
    <w:p w14:paraId="35CAA1E7" w14:textId="77777777" w:rsidR="0072524C" w:rsidRDefault="0072524C" w:rsidP="0072524C">
      <w:pPr>
        <w:pStyle w:val="ListParagraph"/>
        <w:numPr>
          <w:ilvl w:val="0"/>
          <w:numId w:val="29"/>
        </w:numPr>
        <w:spacing w:after="0" w:line="276" w:lineRule="auto"/>
      </w:pPr>
      <w:r>
        <w:t xml:space="preserve">Subcarrier spacing: </w:t>
      </w:r>
      <w:r w:rsidRPr="005A0C13">
        <w:rPr>
          <w:rFonts w:eastAsia="MS Mincho" w:hint="eastAsia"/>
        </w:rPr>
        <w:t>15</w:t>
      </w:r>
      <w:r>
        <w:t xml:space="preserve"> kHz (Other subcarriers spacing may be evaluated in addition)</w:t>
      </w:r>
    </w:p>
    <w:p w14:paraId="39B1E506" w14:textId="77777777" w:rsidR="0072524C" w:rsidRDefault="0072524C" w:rsidP="0072524C">
      <w:pPr>
        <w:pStyle w:val="ListParagraph"/>
        <w:numPr>
          <w:ilvl w:val="0"/>
          <w:numId w:val="29"/>
        </w:numPr>
        <w:spacing w:after="0" w:line="276" w:lineRule="auto"/>
      </w:pPr>
      <w:r>
        <w:t>Channel model</w:t>
      </w:r>
    </w:p>
    <w:p w14:paraId="78ABE34E" w14:textId="77777777" w:rsidR="0072524C" w:rsidRDefault="0072524C" w:rsidP="0072524C">
      <w:pPr>
        <w:pStyle w:val="ListParagraph"/>
        <w:numPr>
          <w:ilvl w:val="1"/>
          <w:numId w:val="29"/>
        </w:numPr>
        <w:spacing w:after="0" w:line="276" w:lineRule="auto"/>
      </w:pPr>
      <w:r>
        <w:t>TDL-A,</w:t>
      </w:r>
      <w:r w:rsidRPr="005A0C13">
        <w:rPr>
          <w:rFonts w:eastAsia="MS Mincho" w:hint="eastAsia"/>
        </w:rPr>
        <w:t xml:space="preserve"> TDL-C</w:t>
      </w:r>
    </w:p>
    <w:p w14:paraId="753C1627" w14:textId="77777777" w:rsidR="0072524C" w:rsidRDefault="0072524C" w:rsidP="0072524C">
      <w:pPr>
        <w:pStyle w:val="ListParagraph"/>
        <w:numPr>
          <w:ilvl w:val="2"/>
          <w:numId w:val="29"/>
        </w:numPr>
        <w:spacing w:after="0" w:line="276" w:lineRule="auto"/>
      </w:pPr>
      <w:r>
        <w:t>Delay spread 30 ns, UE speed 3</w:t>
      </w:r>
      <w:r w:rsidRPr="005A0C13">
        <w:rPr>
          <w:rFonts w:eastAsia="MS Mincho" w:hint="eastAsia"/>
        </w:rPr>
        <w:t xml:space="preserve"> km/h</w:t>
      </w:r>
      <w:r>
        <w:t>, (</w:t>
      </w:r>
      <w:r w:rsidRPr="005A0C13">
        <w:rPr>
          <w:rFonts w:eastAsia="MS Mincho" w:hint="eastAsia"/>
        </w:rPr>
        <w:t>proponents</w:t>
      </w:r>
      <w:r>
        <w:t xml:space="preserve"> can also evaluate 70 and 500 km/hr)</w:t>
      </w:r>
    </w:p>
    <w:p w14:paraId="1D2AC8E3" w14:textId="77777777" w:rsidR="0072524C" w:rsidRDefault="0072524C" w:rsidP="0072524C">
      <w:pPr>
        <w:pStyle w:val="ListParagraph"/>
        <w:numPr>
          <w:ilvl w:val="2"/>
          <w:numId w:val="29"/>
        </w:numPr>
        <w:spacing w:after="0" w:line="276" w:lineRule="auto"/>
      </w:pPr>
      <w:r>
        <w:t xml:space="preserve">Delay spread 300 ns, </w:t>
      </w:r>
      <w:r w:rsidRPr="005A0C13">
        <w:rPr>
          <w:rFonts w:eastAsia="MS Mincho" w:hint="eastAsia"/>
        </w:rPr>
        <w:t>UE</w:t>
      </w:r>
      <w:r>
        <w:t xml:space="preserve"> spread</w:t>
      </w:r>
      <w:r w:rsidRPr="005A0C13">
        <w:rPr>
          <w:rFonts w:eastAsia="MS Mincho" w:hint="eastAsia"/>
        </w:rPr>
        <w:t xml:space="preserve"> 3 km/h</w:t>
      </w:r>
    </w:p>
    <w:p w14:paraId="0D69638A" w14:textId="77777777" w:rsidR="0072524C" w:rsidRDefault="0072524C" w:rsidP="0072524C">
      <w:pPr>
        <w:pStyle w:val="ListParagraph"/>
        <w:numPr>
          <w:ilvl w:val="2"/>
          <w:numId w:val="29"/>
        </w:numPr>
        <w:spacing w:after="0" w:line="276" w:lineRule="auto"/>
      </w:pPr>
      <w:r>
        <w:t xml:space="preserve">Delay spread 1000 ns, </w:t>
      </w:r>
      <w:r w:rsidRPr="005A0C13">
        <w:rPr>
          <w:rFonts w:eastAsia="MS Mincho" w:hint="eastAsia"/>
        </w:rPr>
        <w:t>UE</w:t>
      </w:r>
      <w:r>
        <w:t xml:space="preserve"> spread</w:t>
      </w:r>
      <w:r w:rsidRPr="005A0C13">
        <w:rPr>
          <w:rFonts w:eastAsia="MS Mincho" w:hint="eastAsia"/>
        </w:rPr>
        <w:t xml:space="preserve"> 3km/h</w:t>
      </w:r>
    </w:p>
    <w:p w14:paraId="1DCDD7E8" w14:textId="4B1DAC39" w:rsidR="0072524C" w:rsidRPr="0072524C" w:rsidRDefault="0072524C" w:rsidP="006D57CE"/>
    <w:p w14:paraId="266C266D" w14:textId="79ABC5B9" w:rsidR="0072524C" w:rsidRDefault="0072524C" w:rsidP="006D57CE">
      <w:pPr>
        <w:pStyle w:val="Caption"/>
        <w:keepNext/>
      </w:pPr>
      <w:bookmarkStart w:id="15" w:name="_Ref477421090"/>
      <w:r w:rsidRPr="00D1086C">
        <w:t xml:space="preserve">Table </w:t>
      </w:r>
      <w:r w:rsidRPr="00D1086C">
        <w:fldChar w:fldCharType="begin"/>
      </w:r>
      <w:r w:rsidRPr="00D1086C">
        <w:instrText xml:space="preserve"> SEQ Table \* ARABIC </w:instrText>
      </w:r>
      <w:r w:rsidRPr="00D1086C">
        <w:fldChar w:fldCharType="separate"/>
      </w:r>
      <w:r w:rsidR="008067DC">
        <w:rPr>
          <w:noProof/>
        </w:rPr>
        <w:t>1</w:t>
      </w:r>
      <w:r w:rsidRPr="00D1086C">
        <w:fldChar w:fldCharType="end"/>
      </w:r>
      <w:bookmarkEnd w:id="15"/>
      <w:r w:rsidRPr="00D1086C">
        <w:t>: Link level simulation parameters</w:t>
      </w:r>
    </w:p>
    <w:tbl>
      <w:tblPr>
        <w:tblStyle w:val="TableGrid"/>
        <w:tblW w:w="0" w:type="auto"/>
        <w:tblLook w:val="04A0" w:firstRow="1" w:lastRow="0" w:firstColumn="1" w:lastColumn="0" w:noHBand="0" w:noVBand="1"/>
      </w:tblPr>
      <w:tblGrid>
        <w:gridCol w:w="4675"/>
        <w:gridCol w:w="4675"/>
      </w:tblGrid>
      <w:tr w:rsidR="0072524C" w14:paraId="30D6B8D0" w14:textId="77777777" w:rsidTr="006D57CE">
        <w:tc>
          <w:tcPr>
            <w:tcW w:w="4675" w:type="dxa"/>
            <w:shd w:val="clear" w:color="auto" w:fill="DDD9C3" w:themeFill="background2" w:themeFillShade="E6"/>
          </w:tcPr>
          <w:p w14:paraId="793D1E75" w14:textId="79D2CC12" w:rsidR="0072524C" w:rsidRPr="006D57CE" w:rsidRDefault="0072524C" w:rsidP="006D57CE">
            <w:pPr>
              <w:jc w:val="center"/>
              <w:rPr>
                <w:b/>
              </w:rPr>
            </w:pPr>
            <w:r w:rsidRPr="006D57CE">
              <w:rPr>
                <w:b/>
              </w:rPr>
              <w:t>Parameter</w:t>
            </w:r>
          </w:p>
        </w:tc>
        <w:tc>
          <w:tcPr>
            <w:tcW w:w="4675" w:type="dxa"/>
            <w:shd w:val="clear" w:color="auto" w:fill="DDD9C3" w:themeFill="background2" w:themeFillShade="E6"/>
          </w:tcPr>
          <w:p w14:paraId="38C6772D" w14:textId="410155F9" w:rsidR="0072524C" w:rsidRPr="006D57CE" w:rsidRDefault="0072524C" w:rsidP="006D57CE">
            <w:pPr>
              <w:jc w:val="center"/>
              <w:rPr>
                <w:b/>
              </w:rPr>
            </w:pPr>
            <w:r w:rsidRPr="006D57CE">
              <w:rPr>
                <w:b/>
              </w:rPr>
              <w:t>Value</w:t>
            </w:r>
          </w:p>
        </w:tc>
      </w:tr>
      <w:tr w:rsidR="0072524C" w14:paraId="66FE9429" w14:textId="77777777" w:rsidTr="0072524C">
        <w:tc>
          <w:tcPr>
            <w:tcW w:w="4675" w:type="dxa"/>
          </w:tcPr>
          <w:p w14:paraId="387CD7A2" w14:textId="7ACC2AA2" w:rsidR="0072524C" w:rsidRDefault="0072524C" w:rsidP="0072524C">
            <w:r>
              <w:t>Carrier Frequency</w:t>
            </w:r>
          </w:p>
        </w:tc>
        <w:tc>
          <w:tcPr>
            <w:tcW w:w="4675" w:type="dxa"/>
          </w:tcPr>
          <w:p w14:paraId="2869340D" w14:textId="3BD12DA7" w:rsidR="0072524C" w:rsidRDefault="0072524C" w:rsidP="0072524C">
            <w:r>
              <w:t>4 GHz</w:t>
            </w:r>
          </w:p>
        </w:tc>
      </w:tr>
      <w:tr w:rsidR="0072524C" w14:paraId="37CC7191" w14:textId="77777777" w:rsidTr="0072524C">
        <w:tc>
          <w:tcPr>
            <w:tcW w:w="4675" w:type="dxa"/>
          </w:tcPr>
          <w:p w14:paraId="4F86E700" w14:textId="31706994" w:rsidR="0072524C" w:rsidRDefault="0079209F" w:rsidP="0072524C">
            <w:r>
              <w:t>Control Resource Set</w:t>
            </w:r>
            <w:r w:rsidR="0072524C">
              <w:t xml:space="preserve"> Bandwidth</w:t>
            </w:r>
          </w:p>
        </w:tc>
        <w:tc>
          <w:tcPr>
            <w:tcW w:w="4675" w:type="dxa"/>
          </w:tcPr>
          <w:p w14:paraId="0558B961" w14:textId="30507418" w:rsidR="0072524C" w:rsidRDefault="0072524C" w:rsidP="0072524C">
            <w:r>
              <w:t>20 MHz</w:t>
            </w:r>
          </w:p>
        </w:tc>
      </w:tr>
      <w:tr w:rsidR="0072524C" w14:paraId="6D3ECBC4" w14:textId="77777777" w:rsidTr="0072524C">
        <w:tc>
          <w:tcPr>
            <w:tcW w:w="4675" w:type="dxa"/>
          </w:tcPr>
          <w:p w14:paraId="392D8B69" w14:textId="6F0B101A" w:rsidR="0072524C" w:rsidRDefault="0072524C" w:rsidP="0072524C">
            <w:r>
              <w:t>Sub-carrier Spacing</w:t>
            </w:r>
          </w:p>
        </w:tc>
        <w:tc>
          <w:tcPr>
            <w:tcW w:w="4675" w:type="dxa"/>
          </w:tcPr>
          <w:p w14:paraId="234A1CC7" w14:textId="408F2A95" w:rsidR="0072524C" w:rsidRDefault="00101C0F" w:rsidP="0072524C">
            <w:r>
              <w:t xml:space="preserve">15 </w:t>
            </w:r>
            <w:r w:rsidR="00FE2099">
              <w:t>k</w:t>
            </w:r>
            <w:r>
              <w:t>Hz</w:t>
            </w:r>
          </w:p>
        </w:tc>
      </w:tr>
      <w:tr w:rsidR="0072524C" w14:paraId="2D1B32AE" w14:textId="77777777" w:rsidTr="0072524C">
        <w:tc>
          <w:tcPr>
            <w:tcW w:w="4675" w:type="dxa"/>
          </w:tcPr>
          <w:p w14:paraId="1D1C175D" w14:textId="016F2170" w:rsidR="0072524C" w:rsidRPr="00382E88" w:rsidRDefault="0072524C" w:rsidP="0072524C">
            <w:r w:rsidRPr="00382E88">
              <w:t>DCI Payload Size</w:t>
            </w:r>
          </w:p>
        </w:tc>
        <w:tc>
          <w:tcPr>
            <w:tcW w:w="4675" w:type="dxa"/>
          </w:tcPr>
          <w:p w14:paraId="59B919AF" w14:textId="0F601C00" w:rsidR="0072524C" w:rsidRPr="00382E88" w:rsidRDefault="00101C0F" w:rsidP="0072524C">
            <w:r w:rsidRPr="00D1086C">
              <w:t xml:space="preserve">20 </w:t>
            </w:r>
            <w:r w:rsidR="00DC1866" w:rsidRPr="00D1086C">
              <w:t xml:space="preserve">and 60 </w:t>
            </w:r>
            <w:r w:rsidRPr="00D1086C">
              <w:t>bits</w:t>
            </w:r>
          </w:p>
        </w:tc>
      </w:tr>
      <w:tr w:rsidR="0072524C" w14:paraId="7A7CC172" w14:textId="77777777" w:rsidTr="0072524C">
        <w:tc>
          <w:tcPr>
            <w:tcW w:w="4675" w:type="dxa"/>
          </w:tcPr>
          <w:p w14:paraId="07740A77" w14:textId="0B6A6CDA" w:rsidR="0072524C" w:rsidRDefault="0072524C" w:rsidP="0072524C">
            <w:r>
              <w:t>Modulation</w:t>
            </w:r>
          </w:p>
        </w:tc>
        <w:tc>
          <w:tcPr>
            <w:tcW w:w="4675" w:type="dxa"/>
          </w:tcPr>
          <w:p w14:paraId="09C23520" w14:textId="3333E593" w:rsidR="0072524C" w:rsidRDefault="00101C0F" w:rsidP="0072524C">
            <w:r>
              <w:t>QPSK</w:t>
            </w:r>
          </w:p>
        </w:tc>
      </w:tr>
      <w:tr w:rsidR="0072524C" w14:paraId="797CEFC1" w14:textId="77777777" w:rsidTr="0072524C">
        <w:tc>
          <w:tcPr>
            <w:tcW w:w="4675" w:type="dxa"/>
          </w:tcPr>
          <w:p w14:paraId="1F1634CB" w14:textId="4C9F2BB0" w:rsidR="0072524C" w:rsidRDefault="0072524C" w:rsidP="0072524C">
            <w:r>
              <w:t>Channel Coding</w:t>
            </w:r>
          </w:p>
        </w:tc>
        <w:tc>
          <w:tcPr>
            <w:tcW w:w="4675" w:type="dxa"/>
          </w:tcPr>
          <w:p w14:paraId="31F40552" w14:textId="6A1B956A" w:rsidR="0072524C" w:rsidRDefault="00FE2099" w:rsidP="0072524C">
            <w:r>
              <w:t>Tail-biting Convolutional Code as in Rel-8</w:t>
            </w:r>
          </w:p>
        </w:tc>
      </w:tr>
      <w:tr w:rsidR="0072524C" w14:paraId="2B114D70" w14:textId="77777777" w:rsidTr="0072524C">
        <w:tc>
          <w:tcPr>
            <w:tcW w:w="4675" w:type="dxa"/>
          </w:tcPr>
          <w:p w14:paraId="4906BE91" w14:textId="4A6FAF49" w:rsidR="0072524C" w:rsidRDefault="0072524C" w:rsidP="0072524C">
            <w:r>
              <w:t>Aggregation Level</w:t>
            </w:r>
          </w:p>
        </w:tc>
        <w:tc>
          <w:tcPr>
            <w:tcW w:w="4675" w:type="dxa"/>
          </w:tcPr>
          <w:p w14:paraId="22C99978" w14:textId="4F616B79" w:rsidR="0072524C" w:rsidRDefault="00101C0F" w:rsidP="0072524C">
            <w:r>
              <w:t>8</w:t>
            </w:r>
          </w:p>
        </w:tc>
      </w:tr>
      <w:tr w:rsidR="00101C0F" w14:paraId="3C704BF7" w14:textId="77777777" w:rsidTr="0072524C">
        <w:tc>
          <w:tcPr>
            <w:tcW w:w="4675" w:type="dxa"/>
          </w:tcPr>
          <w:p w14:paraId="698E34A6" w14:textId="6764D686" w:rsidR="00101C0F" w:rsidRDefault="00101C0F" w:rsidP="0072524C">
            <w:r>
              <w:t>Number of OFDM symbols for  NR-PDCCH</w:t>
            </w:r>
          </w:p>
        </w:tc>
        <w:tc>
          <w:tcPr>
            <w:tcW w:w="4675" w:type="dxa"/>
          </w:tcPr>
          <w:p w14:paraId="0F86AB8F" w14:textId="3FFA4809" w:rsidR="00101C0F" w:rsidRDefault="00101C0F" w:rsidP="0072524C">
            <w:r>
              <w:t>1</w:t>
            </w:r>
          </w:p>
        </w:tc>
      </w:tr>
      <w:tr w:rsidR="0072524C" w14:paraId="12A93AC7" w14:textId="77777777" w:rsidTr="0072524C">
        <w:tc>
          <w:tcPr>
            <w:tcW w:w="4675" w:type="dxa"/>
          </w:tcPr>
          <w:p w14:paraId="5F6A0D0E" w14:textId="45055D7D" w:rsidR="0072524C" w:rsidRDefault="0072524C" w:rsidP="0072524C">
            <w:r>
              <w:t>Channel M</w:t>
            </w:r>
            <w:r w:rsidRPr="00EC263E">
              <w:t xml:space="preserve">odel </w:t>
            </w:r>
          </w:p>
        </w:tc>
        <w:tc>
          <w:tcPr>
            <w:tcW w:w="4675" w:type="dxa"/>
          </w:tcPr>
          <w:p w14:paraId="605E186B" w14:textId="03630F37" w:rsidR="00DC1866" w:rsidRPr="00D1086C" w:rsidRDefault="00101C0F" w:rsidP="00D1086C">
            <w:pPr>
              <w:spacing w:after="0" w:line="276" w:lineRule="auto"/>
            </w:pPr>
            <w:r w:rsidRPr="00D1086C">
              <w:rPr>
                <w:rFonts w:eastAsia="Times New Roman"/>
                <w:szCs w:val="20"/>
              </w:rPr>
              <w:t>TDL-A</w:t>
            </w:r>
            <w:r w:rsidR="00DC1866" w:rsidRPr="00D1086C">
              <w:rPr>
                <w:rFonts w:eastAsia="Times New Roman"/>
                <w:szCs w:val="20"/>
              </w:rPr>
              <w:t xml:space="preserve">, </w:t>
            </w:r>
            <w:r w:rsidRPr="00D1086C">
              <w:rPr>
                <w:rFonts w:eastAsia="Times New Roman"/>
                <w:szCs w:val="20"/>
              </w:rPr>
              <w:t>Delay spread 30 ns, UE speed 3</w:t>
            </w:r>
            <w:r w:rsidRPr="00D1086C">
              <w:rPr>
                <w:rFonts w:eastAsia="MS Mincho"/>
                <w:szCs w:val="20"/>
              </w:rPr>
              <w:t xml:space="preserve"> km/h</w:t>
            </w:r>
          </w:p>
          <w:p w14:paraId="0283BAFD" w14:textId="7C19C32F" w:rsidR="0072524C" w:rsidRPr="00382E88" w:rsidRDefault="00DC1866" w:rsidP="00D1086C">
            <w:pPr>
              <w:spacing w:after="0" w:line="276" w:lineRule="auto"/>
            </w:pPr>
            <w:r w:rsidRPr="00D1086C">
              <w:rPr>
                <w:rFonts w:eastAsia="Times New Roman"/>
                <w:szCs w:val="20"/>
              </w:rPr>
              <w:t xml:space="preserve">TDL-B, </w:t>
            </w:r>
            <w:r w:rsidR="00101C0F" w:rsidRPr="00D1086C">
              <w:rPr>
                <w:rFonts w:eastAsia="Times New Roman"/>
                <w:szCs w:val="20"/>
              </w:rPr>
              <w:t xml:space="preserve">Delay spread 300 ns, </w:t>
            </w:r>
            <w:r w:rsidR="00101C0F" w:rsidRPr="00D1086C">
              <w:rPr>
                <w:rFonts w:eastAsia="MS Mincho"/>
                <w:szCs w:val="20"/>
              </w:rPr>
              <w:t>UE</w:t>
            </w:r>
            <w:r w:rsidR="00101C0F" w:rsidRPr="00D1086C">
              <w:rPr>
                <w:rFonts w:eastAsia="Times New Roman"/>
                <w:szCs w:val="20"/>
              </w:rPr>
              <w:t xml:space="preserve"> spread</w:t>
            </w:r>
            <w:r w:rsidR="00101C0F" w:rsidRPr="00D1086C">
              <w:rPr>
                <w:rFonts w:eastAsia="MS Mincho"/>
                <w:szCs w:val="20"/>
              </w:rPr>
              <w:t xml:space="preserve"> 3 km/h</w:t>
            </w:r>
          </w:p>
        </w:tc>
      </w:tr>
      <w:tr w:rsidR="00FE2099" w14:paraId="05739A36" w14:textId="77777777" w:rsidTr="0072524C">
        <w:tc>
          <w:tcPr>
            <w:tcW w:w="4675" w:type="dxa"/>
          </w:tcPr>
          <w:p w14:paraId="66B5A088" w14:textId="7D49BE40" w:rsidR="00FE2099" w:rsidRDefault="00FE2099" w:rsidP="00FE2099">
            <w:r>
              <w:t>gNB</w:t>
            </w:r>
            <w:r w:rsidRPr="00EC263E">
              <w:t xml:space="preserve"> antenna configuration </w:t>
            </w:r>
          </w:p>
        </w:tc>
        <w:tc>
          <w:tcPr>
            <w:tcW w:w="4675" w:type="dxa"/>
          </w:tcPr>
          <w:p w14:paraId="60DC7B50" w14:textId="55939686" w:rsidR="00FE2099" w:rsidRDefault="00FE2099" w:rsidP="00FE2099">
            <w:r>
              <w:t>2Tx, 2 Rx</w:t>
            </w:r>
          </w:p>
        </w:tc>
      </w:tr>
      <w:tr w:rsidR="00FE2099" w14:paraId="000DA672" w14:textId="77777777" w:rsidTr="0072524C">
        <w:tc>
          <w:tcPr>
            <w:tcW w:w="4675" w:type="dxa"/>
          </w:tcPr>
          <w:p w14:paraId="567340DC" w14:textId="3FC7E7C4" w:rsidR="00FE2099" w:rsidRDefault="00FE2099" w:rsidP="00FE2099">
            <w:r>
              <w:rPr>
                <w:rFonts w:hint="eastAsia"/>
              </w:rPr>
              <w:t>UE antenna configuration</w:t>
            </w:r>
          </w:p>
        </w:tc>
        <w:tc>
          <w:tcPr>
            <w:tcW w:w="4675" w:type="dxa"/>
          </w:tcPr>
          <w:p w14:paraId="1E8C1BA7" w14:textId="1A027EA7" w:rsidR="00FE2099" w:rsidRDefault="00FE2099" w:rsidP="00FE2099">
            <w:r>
              <w:t>1Tx, 2Rx</w:t>
            </w:r>
          </w:p>
        </w:tc>
      </w:tr>
      <w:tr w:rsidR="00FE2099" w14:paraId="23908A18" w14:textId="77777777" w:rsidTr="0072524C">
        <w:tc>
          <w:tcPr>
            <w:tcW w:w="4675" w:type="dxa"/>
          </w:tcPr>
          <w:p w14:paraId="206C0BF0" w14:textId="51D858AC" w:rsidR="00FE2099" w:rsidRDefault="00FE2099" w:rsidP="00FE2099">
            <w:r>
              <w:t>Channel Estimation</w:t>
            </w:r>
          </w:p>
        </w:tc>
        <w:tc>
          <w:tcPr>
            <w:tcW w:w="4675" w:type="dxa"/>
          </w:tcPr>
          <w:p w14:paraId="6C12AD55" w14:textId="5C217BC0" w:rsidR="00FE2099" w:rsidRPr="00101C0F" w:rsidRDefault="00FE2099" w:rsidP="00FE2099">
            <w:pPr>
              <w:spacing w:after="0" w:line="276" w:lineRule="auto"/>
            </w:pPr>
            <w:r w:rsidRPr="00101C0F">
              <w:t>MMSE</w:t>
            </w:r>
          </w:p>
        </w:tc>
      </w:tr>
      <w:tr w:rsidR="00FE2099" w14:paraId="7FC241B2" w14:textId="77777777" w:rsidTr="0072524C">
        <w:tc>
          <w:tcPr>
            <w:tcW w:w="4675" w:type="dxa"/>
          </w:tcPr>
          <w:p w14:paraId="502D7726" w14:textId="0F5B7989" w:rsidR="00FE2099" w:rsidRDefault="00FE2099" w:rsidP="00FE2099">
            <w:r>
              <w:t>Noise Estimation</w:t>
            </w:r>
          </w:p>
        </w:tc>
        <w:tc>
          <w:tcPr>
            <w:tcW w:w="4675" w:type="dxa"/>
          </w:tcPr>
          <w:p w14:paraId="7B40CB40" w14:textId="0B955603" w:rsidR="00FE2099" w:rsidRDefault="00FE2099" w:rsidP="00FE2099">
            <w:r>
              <w:t>Ideal</w:t>
            </w:r>
          </w:p>
        </w:tc>
      </w:tr>
      <w:tr w:rsidR="00FE2099" w14:paraId="78D86E39" w14:textId="77777777" w:rsidTr="0072524C">
        <w:tc>
          <w:tcPr>
            <w:tcW w:w="4675" w:type="dxa"/>
          </w:tcPr>
          <w:p w14:paraId="29AA90F8" w14:textId="5894C046" w:rsidR="00FE2099" w:rsidRDefault="00FE2099" w:rsidP="00FE2099">
            <w:r>
              <w:rPr>
                <w:rFonts w:hint="eastAsia"/>
              </w:rPr>
              <w:t xml:space="preserve">Transmission </w:t>
            </w:r>
            <w:r>
              <w:t>S</w:t>
            </w:r>
            <w:r>
              <w:rPr>
                <w:rFonts w:hint="eastAsia"/>
              </w:rPr>
              <w:t>cheme</w:t>
            </w:r>
          </w:p>
        </w:tc>
        <w:tc>
          <w:tcPr>
            <w:tcW w:w="4675" w:type="dxa"/>
          </w:tcPr>
          <w:p w14:paraId="0F883EA8" w14:textId="61B65626" w:rsidR="00FE2099" w:rsidRDefault="00FE2099" w:rsidP="00FE2099">
            <w:r>
              <w:t>SFBC</w:t>
            </w:r>
          </w:p>
        </w:tc>
      </w:tr>
    </w:tbl>
    <w:p w14:paraId="25D92F5D" w14:textId="77777777" w:rsidR="0072524C" w:rsidRPr="0072524C" w:rsidRDefault="0072524C" w:rsidP="006D57CE"/>
    <w:sectPr w:rsidR="0072524C" w:rsidRPr="0072524C"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537DB" w14:textId="77777777" w:rsidR="003D223E" w:rsidRDefault="003D223E">
      <w:r>
        <w:separator/>
      </w:r>
    </w:p>
  </w:endnote>
  <w:endnote w:type="continuationSeparator" w:id="0">
    <w:p w14:paraId="58A8DEF4" w14:textId="77777777" w:rsidR="003D223E" w:rsidRDefault="003D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977D" w14:textId="297BEC0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08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086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1A247" w14:textId="77777777" w:rsidR="003D223E" w:rsidRDefault="003D223E">
      <w:r>
        <w:separator/>
      </w:r>
    </w:p>
  </w:footnote>
  <w:footnote w:type="continuationSeparator" w:id="0">
    <w:p w14:paraId="0B405769" w14:textId="77777777" w:rsidR="003D223E" w:rsidRDefault="003D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E4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0321D"/>
    <w:multiLevelType w:val="hybridMultilevel"/>
    <w:tmpl w:val="6BE46BB6"/>
    <w:lvl w:ilvl="0" w:tplc="A73E9DBC">
      <w:start w:val="1"/>
      <w:numFmt w:val="bullet"/>
      <w:lvlText w:val="–"/>
      <w:lvlJc w:val="left"/>
      <w:pPr>
        <w:tabs>
          <w:tab w:val="num" w:pos="720"/>
        </w:tabs>
        <w:ind w:left="720" w:hanging="360"/>
      </w:pPr>
      <w:rPr>
        <w:rFonts w:ascii="Ericsson Capital TT" w:hAnsi="Ericsson Capital TT" w:hint="default"/>
      </w:rPr>
    </w:lvl>
    <w:lvl w:ilvl="1" w:tplc="CC161504">
      <w:start w:val="1"/>
      <w:numFmt w:val="bullet"/>
      <w:lvlText w:val="–"/>
      <w:lvlJc w:val="left"/>
      <w:pPr>
        <w:tabs>
          <w:tab w:val="num" w:pos="1440"/>
        </w:tabs>
        <w:ind w:left="1440" w:hanging="360"/>
      </w:pPr>
      <w:rPr>
        <w:rFonts w:ascii="Ericsson Capital TT" w:hAnsi="Ericsson Capital TT" w:hint="default"/>
      </w:rPr>
    </w:lvl>
    <w:lvl w:ilvl="2" w:tplc="A200684E">
      <w:numFmt w:val="bullet"/>
      <w:lvlText w:val="›"/>
      <w:lvlJc w:val="left"/>
      <w:pPr>
        <w:tabs>
          <w:tab w:val="num" w:pos="2160"/>
        </w:tabs>
        <w:ind w:left="2160" w:hanging="360"/>
      </w:pPr>
      <w:rPr>
        <w:rFonts w:ascii="Ericsson Capital TT" w:hAnsi="Ericsson Capital TT" w:hint="default"/>
      </w:rPr>
    </w:lvl>
    <w:lvl w:ilvl="3" w:tplc="08E80FB0">
      <w:numFmt w:val="bullet"/>
      <w:lvlText w:val="-"/>
      <w:lvlJc w:val="left"/>
      <w:pPr>
        <w:tabs>
          <w:tab w:val="num" w:pos="2880"/>
        </w:tabs>
        <w:ind w:left="2880" w:hanging="360"/>
      </w:pPr>
      <w:rPr>
        <w:rFonts w:ascii="Ericsson Capital TT" w:hAnsi="Ericsson Capital TT" w:hint="default"/>
      </w:rPr>
    </w:lvl>
    <w:lvl w:ilvl="4" w:tplc="3E3269D8" w:tentative="1">
      <w:start w:val="1"/>
      <w:numFmt w:val="bullet"/>
      <w:lvlText w:val="–"/>
      <w:lvlJc w:val="left"/>
      <w:pPr>
        <w:tabs>
          <w:tab w:val="num" w:pos="3600"/>
        </w:tabs>
        <w:ind w:left="3600" w:hanging="360"/>
      </w:pPr>
      <w:rPr>
        <w:rFonts w:ascii="Ericsson Capital TT" w:hAnsi="Ericsson Capital TT" w:hint="default"/>
      </w:rPr>
    </w:lvl>
    <w:lvl w:ilvl="5" w:tplc="F2C033B8" w:tentative="1">
      <w:start w:val="1"/>
      <w:numFmt w:val="bullet"/>
      <w:lvlText w:val="–"/>
      <w:lvlJc w:val="left"/>
      <w:pPr>
        <w:tabs>
          <w:tab w:val="num" w:pos="4320"/>
        </w:tabs>
        <w:ind w:left="4320" w:hanging="360"/>
      </w:pPr>
      <w:rPr>
        <w:rFonts w:ascii="Ericsson Capital TT" w:hAnsi="Ericsson Capital TT" w:hint="default"/>
      </w:rPr>
    </w:lvl>
    <w:lvl w:ilvl="6" w:tplc="9704E58C" w:tentative="1">
      <w:start w:val="1"/>
      <w:numFmt w:val="bullet"/>
      <w:lvlText w:val="–"/>
      <w:lvlJc w:val="left"/>
      <w:pPr>
        <w:tabs>
          <w:tab w:val="num" w:pos="5040"/>
        </w:tabs>
        <w:ind w:left="5040" w:hanging="360"/>
      </w:pPr>
      <w:rPr>
        <w:rFonts w:ascii="Ericsson Capital TT" w:hAnsi="Ericsson Capital TT" w:hint="default"/>
      </w:rPr>
    </w:lvl>
    <w:lvl w:ilvl="7" w:tplc="BAAAB510" w:tentative="1">
      <w:start w:val="1"/>
      <w:numFmt w:val="bullet"/>
      <w:lvlText w:val="–"/>
      <w:lvlJc w:val="left"/>
      <w:pPr>
        <w:tabs>
          <w:tab w:val="num" w:pos="5760"/>
        </w:tabs>
        <w:ind w:left="5760" w:hanging="360"/>
      </w:pPr>
      <w:rPr>
        <w:rFonts w:ascii="Ericsson Capital TT" w:hAnsi="Ericsson Capital TT" w:hint="default"/>
      </w:rPr>
    </w:lvl>
    <w:lvl w:ilvl="8" w:tplc="AF0E1AD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F00B0"/>
    <w:multiLevelType w:val="hybridMultilevel"/>
    <w:tmpl w:val="15C201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B712C3"/>
    <w:multiLevelType w:val="hybridMultilevel"/>
    <w:tmpl w:val="7C6CE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FB4EA4"/>
    <w:multiLevelType w:val="hybridMultilevel"/>
    <w:tmpl w:val="BA642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B4A4D"/>
    <w:multiLevelType w:val="hybridMultilevel"/>
    <w:tmpl w:val="524EF3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D74886"/>
    <w:multiLevelType w:val="hybridMultilevel"/>
    <w:tmpl w:val="0B32BC90"/>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B471CA"/>
    <w:multiLevelType w:val="hybridMultilevel"/>
    <w:tmpl w:val="E73C7B1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AC6E73"/>
    <w:multiLevelType w:val="hybridMultilevel"/>
    <w:tmpl w:val="1C50869A"/>
    <w:lvl w:ilvl="0" w:tplc="3F6A1CD4">
      <w:start w:val="1"/>
      <w:numFmt w:val="bullet"/>
      <w:lvlText w:val="–"/>
      <w:lvlJc w:val="left"/>
      <w:pPr>
        <w:tabs>
          <w:tab w:val="num" w:pos="927"/>
        </w:tabs>
        <w:ind w:left="927" w:hanging="360"/>
      </w:pPr>
      <w:rPr>
        <w:rFonts w:ascii="Ericsson Capital TT" w:hAnsi="Ericsson Capital TT" w:hint="default"/>
      </w:rPr>
    </w:lvl>
    <w:lvl w:ilvl="1" w:tplc="62700012">
      <w:start w:val="1"/>
      <w:numFmt w:val="bullet"/>
      <w:lvlText w:val="–"/>
      <w:lvlJc w:val="left"/>
      <w:pPr>
        <w:tabs>
          <w:tab w:val="num" w:pos="1647"/>
        </w:tabs>
        <w:ind w:left="1647" w:hanging="360"/>
      </w:pPr>
      <w:rPr>
        <w:rFonts w:ascii="Ericsson Capital TT" w:hAnsi="Ericsson Capital TT" w:hint="default"/>
      </w:rPr>
    </w:lvl>
    <w:lvl w:ilvl="2" w:tplc="09C8BD56">
      <w:numFmt w:val="bullet"/>
      <w:lvlText w:val="›"/>
      <w:lvlJc w:val="left"/>
      <w:pPr>
        <w:tabs>
          <w:tab w:val="num" w:pos="2367"/>
        </w:tabs>
        <w:ind w:left="2367" w:hanging="360"/>
      </w:pPr>
      <w:rPr>
        <w:rFonts w:ascii="Ericsson Capital TT" w:hAnsi="Ericsson Capital TT" w:hint="default"/>
      </w:rPr>
    </w:lvl>
    <w:lvl w:ilvl="3" w:tplc="41BAF5EC" w:tentative="1">
      <w:start w:val="1"/>
      <w:numFmt w:val="bullet"/>
      <w:lvlText w:val="–"/>
      <w:lvlJc w:val="left"/>
      <w:pPr>
        <w:tabs>
          <w:tab w:val="num" w:pos="3087"/>
        </w:tabs>
        <w:ind w:left="3087" w:hanging="360"/>
      </w:pPr>
      <w:rPr>
        <w:rFonts w:ascii="Ericsson Capital TT" w:hAnsi="Ericsson Capital TT" w:hint="default"/>
      </w:rPr>
    </w:lvl>
    <w:lvl w:ilvl="4" w:tplc="21FE78AC" w:tentative="1">
      <w:start w:val="1"/>
      <w:numFmt w:val="bullet"/>
      <w:lvlText w:val="–"/>
      <w:lvlJc w:val="left"/>
      <w:pPr>
        <w:tabs>
          <w:tab w:val="num" w:pos="3807"/>
        </w:tabs>
        <w:ind w:left="3807" w:hanging="360"/>
      </w:pPr>
      <w:rPr>
        <w:rFonts w:ascii="Ericsson Capital TT" w:hAnsi="Ericsson Capital TT" w:hint="default"/>
      </w:rPr>
    </w:lvl>
    <w:lvl w:ilvl="5" w:tplc="D826DADE" w:tentative="1">
      <w:start w:val="1"/>
      <w:numFmt w:val="bullet"/>
      <w:lvlText w:val="–"/>
      <w:lvlJc w:val="left"/>
      <w:pPr>
        <w:tabs>
          <w:tab w:val="num" w:pos="4527"/>
        </w:tabs>
        <w:ind w:left="4527" w:hanging="360"/>
      </w:pPr>
      <w:rPr>
        <w:rFonts w:ascii="Ericsson Capital TT" w:hAnsi="Ericsson Capital TT" w:hint="default"/>
      </w:rPr>
    </w:lvl>
    <w:lvl w:ilvl="6" w:tplc="1192898E" w:tentative="1">
      <w:start w:val="1"/>
      <w:numFmt w:val="bullet"/>
      <w:lvlText w:val="–"/>
      <w:lvlJc w:val="left"/>
      <w:pPr>
        <w:tabs>
          <w:tab w:val="num" w:pos="5247"/>
        </w:tabs>
        <w:ind w:left="5247" w:hanging="360"/>
      </w:pPr>
      <w:rPr>
        <w:rFonts w:ascii="Ericsson Capital TT" w:hAnsi="Ericsson Capital TT" w:hint="default"/>
      </w:rPr>
    </w:lvl>
    <w:lvl w:ilvl="7" w:tplc="6F56C3CC" w:tentative="1">
      <w:start w:val="1"/>
      <w:numFmt w:val="bullet"/>
      <w:lvlText w:val="–"/>
      <w:lvlJc w:val="left"/>
      <w:pPr>
        <w:tabs>
          <w:tab w:val="num" w:pos="5967"/>
        </w:tabs>
        <w:ind w:left="5967" w:hanging="360"/>
      </w:pPr>
      <w:rPr>
        <w:rFonts w:ascii="Ericsson Capital TT" w:hAnsi="Ericsson Capital TT" w:hint="default"/>
      </w:rPr>
    </w:lvl>
    <w:lvl w:ilvl="8" w:tplc="FBD24F8A" w:tentative="1">
      <w:start w:val="1"/>
      <w:numFmt w:val="bullet"/>
      <w:lvlText w:val="–"/>
      <w:lvlJc w:val="left"/>
      <w:pPr>
        <w:tabs>
          <w:tab w:val="num" w:pos="6687"/>
        </w:tabs>
        <w:ind w:left="6687" w:hanging="360"/>
      </w:pPr>
      <w:rPr>
        <w:rFonts w:ascii="Ericsson Capital TT" w:hAnsi="Ericsson Capital TT"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D1030"/>
    <w:multiLevelType w:val="hybridMultilevel"/>
    <w:tmpl w:val="5EE27482"/>
    <w:lvl w:ilvl="0" w:tplc="407E9902">
      <w:start w:val="1"/>
      <w:numFmt w:val="bullet"/>
      <w:lvlText w:val="–"/>
      <w:lvlJc w:val="left"/>
      <w:pPr>
        <w:tabs>
          <w:tab w:val="num" w:pos="720"/>
        </w:tabs>
        <w:ind w:left="720" w:hanging="360"/>
      </w:pPr>
      <w:rPr>
        <w:rFonts w:ascii="Ericsson Capital TT" w:hAnsi="Ericsson Capital TT" w:hint="default"/>
      </w:rPr>
    </w:lvl>
    <w:lvl w:ilvl="1" w:tplc="67FC9954">
      <w:start w:val="1"/>
      <w:numFmt w:val="bullet"/>
      <w:lvlText w:val="–"/>
      <w:lvlJc w:val="left"/>
      <w:pPr>
        <w:tabs>
          <w:tab w:val="num" w:pos="1440"/>
        </w:tabs>
        <w:ind w:left="1440" w:hanging="360"/>
      </w:pPr>
      <w:rPr>
        <w:rFonts w:ascii="Ericsson Capital TT" w:hAnsi="Ericsson Capital TT" w:hint="default"/>
      </w:rPr>
    </w:lvl>
    <w:lvl w:ilvl="2" w:tplc="A21EDDAA">
      <w:numFmt w:val="bullet"/>
      <w:lvlText w:val="›"/>
      <w:lvlJc w:val="left"/>
      <w:pPr>
        <w:tabs>
          <w:tab w:val="num" w:pos="2160"/>
        </w:tabs>
        <w:ind w:left="2160" w:hanging="360"/>
      </w:pPr>
      <w:rPr>
        <w:rFonts w:ascii="Ericsson Capital TT" w:hAnsi="Ericsson Capital TT" w:hint="default"/>
      </w:rPr>
    </w:lvl>
    <w:lvl w:ilvl="3" w:tplc="3DF8D6C6" w:tentative="1">
      <w:start w:val="1"/>
      <w:numFmt w:val="bullet"/>
      <w:lvlText w:val="–"/>
      <w:lvlJc w:val="left"/>
      <w:pPr>
        <w:tabs>
          <w:tab w:val="num" w:pos="2880"/>
        </w:tabs>
        <w:ind w:left="2880" w:hanging="360"/>
      </w:pPr>
      <w:rPr>
        <w:rFonts w:ascii="Ericsson Capital TT" w:hAnsi="Ericsson Capital TT" w:hint="default"/>
      </w:rPr>
    </w:lvl>
    <w:lvl w:ilvl="4" w:tplc="06BA7700" w:tentative="1">
      <w:start w:val="1"/>
      <w:numFmt w:val="bullet"/>
      <w:lvlText w:val="–"/>
      <w:lvlJc w:val="left"/>
      <w:pPr>
        <w:tabs>
          <w:tab w:val="num" w:pos="3600"/>
        </w:tabs>
        <w:ind w:left="3600" w:hanging="360"/>
      </w:pPr>
      <w:rPr>
        <w:rFonts w:ascii="Ericsson Capital TT" w:hAnsi="Ericsson Capital TT" w:hint="default"/>
      </w:rPr>
    </w:lvl>
    <w:lvl w:ilvl="5" w:tplc="DA9AEB4C" w:tentative="1">
      <w:start w:val="1"/>
      <w:numFmt w:val="bullet"/>
      <w:lvlText w:val="–"/>
      <w:lvlJc w:val="left"/>
      <w:pPr>
        <w:tabs>
          <w:tab w:val="num" w:pos="4320"/>
        </w:tabs>
        <w:ind w:left="4320" w:hanging="360"/>
      </w:pPr>
      <w:rPr>
        <w:rFonts w:ascii="Ericsson Capital TT" w:hAnsi="Ericsson Capital TT" w:hint="default"/>
      </w:rPr>
    </w:lvl>
    <w:lvl w:ilvl="6" w:tplc="8A0A1E5C" w:tentative="1">
      <w:start w:val="1"/>
      <w:numFmt w:val="bullet"/>
      <w:lvlText w:val="–"/>
      <w:lvlJc w:val="left"/>
      <w:pPr>
        <w:tabs>
          <w:tab w:val="num" w:pos="5040"/>
        </w:tabs>
        <w:ind w:left="5040" w:hanging="360"/>
      </w:pPr>
      <w:rPr>
        <w:rFonts w:ascii="Ericsson Capital TT" w:hAnsi="Ericsson Capital TT" w:hint="default"/>
      </w:rPr>
    </w:lvl>
    <w:lvl w:ilvl="7" w:tplc="FD428F8E" w:tentative="1">
      <w:start w:val="1"/>
      <w:numFmt w:val="bullet"/>
      <w:lvlText w:val="–"/>
      <w:lvlJc w:val="left"/>
      <w:pPr>
        <w:tabs>
          <w:tab w:val="num" w:pos="5760"/>
        </w:tabs>
        <w:ind w:left="5760" w:hanging="360"/>
      </w:pPr>
      <w:rPr>
        <w:rFonts w:ascii="Ericsson Capital TT" w:hAnsi="Ericsson Capital TT" w:hint="default"/>
      </w:rPr>
    </w:lvl>
    <w:lvl w:ilvl="8" w:tplc="D0E2E3AC"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954A40"/>
    <w:multiLevelType w:val="hybridMultilevel"/>
    <w:tmpl w:val="6B88AF76"/>
    <w:lvl w:ilvl="0" w:tplc="CCB61AAE">
      <w:start w:val="1"/>
      <w:numFmt w:val="bullet"/>
      <w:lvlText w:val="›"/>
      <w:lvlJc w:val="left"/>
      <w:pPr>
        <w:tabs>
          <w:tab w:val="num" w:pos="720"/>
        </w:tabs>
        <w:ind w:left="720" w:hanging="360"/>
      </w:pPr>
      <w:rPr>
        <w:rFonts w:ascii="Ericsson Capital TT" w:hAnsi="Ericsson Capital TT" w:hint="default"/>
      </w:rPr>
    </w:lvl>
    <w:lvl w:ilvl="1" w:tplc="02CCC41A" w:tentative="1">
      <w:start w:val="1"/>
      <w:numFmt w:val="bullet"/>
      <w:lvlText w:val="›"/>
      <w:lvlJc w:val="left"/>
      <w:pPr>
        <w:tabs>
          <w:tab w:val="num" w:pos="1440"/>
        </w:tabs>
        <w:ind w:left="1440" w:hanging="360"/>
      </w:pPr>
      <w:rPr>
        <w:rFonts w:ascii="Ericsson Capital TT" w:hAnsi="Ericsson Capital TT" w:hint="default"/>
      </w:rPr>
    </w:lvl>
    <w:lvl w:ilvl="2" w:tplc="A7A4EE64">
      <w:start w:val="1"/>
      <w:numFmt w:val="bullet"/>
      <w:lvlText w:val="›"/>
      <w:lvlJc w:val="left"/>
      <w:pPr>
        <w:tabs>
          <w:tab w:val="num" w:pos="2160"/>
        </w:tabs>
        <w:ind w:left="2160" w:hanging="360"/>
      </w:pPr>
      <w:rPr>
        <w:rFonts w:ascii="Ericsson Capital TT" w:hAnsi="Ericsson Capital TT" w:hint="default"/>
      </w:rPr>
    </w:lvl>
    <w:lvl w:ilvl="3" w:tplc="0622BD92" w:tentative="1">
      <w:start w:val="1"/>
      <w:numFmt w:val="bullet"/>
      <w:lvlText w:val="›"/>
      <w:lvlJc w:val="left"/>
      <w:pPr>
        <w:tabs>
          <w:tab w:val="num" w:pos="2880"/>
        </w:tabs>
        <w:ind w:left="2880" w:hanging="360"/>
      </w:pPr>
      <w:rPr>
        <w:rFonts w:ascii="Ericsson Capital TT" w:hAnsi="Ericsson Capital TT" w:hint="default"/>
      </w:rPr>
    </w:lvl>
    <w:lvl w:ilvl="4" w:tplc="24AC319A" w:tentative="1">
      <w:start w:val="1"/>
      <w:numFmt w:val="bullet"/>
      <w:lvlText w:val="›"/>
      <w:lvlJc w:val="left"/>
      <w:pPr>
        <w:tabs>
          <w:tab w:val="num" w:pos="3600"/>
        </w:tabs>
        <w:ind w:left="3600" w:hanging="360"/>
      </w:pPr>
      <w:rPr>
        <w:rFonts w:ascii="Ericsson Capital TT" w:hAnsi="Ericsson Capital TT" w:hint="default"/>
      </w:rPr>
    </w:lvl>
    <w:lvl w:ilvl="5" w:tplc="4ED6E4EC" w:tentative="1">
      <w:start w:val="1"/>
      <w:numFmt w:val="bullet"/>
      <w:lvlText w:val="›"/>
      <w:lvlJc w:val="left"/>
      <w:pPr>
        <w:tabs>
          <w:tab w:val="num" w:pos="4320"/>
        </w:tabs>
        <w:ind w:left="4320" w:hanging="360"/>
      </w:pPr>
      <w:rPr>
        <w:rFonts w:ascii="Ericsson Capital TT" w:hAnsi="Ericsson Capital TT" w:hint="default"/>
      </w:rPr>
    </w:lvl>
    <w:lvl w:ilvl="6" w:tplc="D5A24A50" w:tentative="1">
      <w:start w:val="1"/>
      <w:numFmt w:val="bullet"/>
      <w:lvlText w:val="›"/>
      <w:lvlJc w:val="left"/>
      <w:pPr>
        <w:tabs>
          <w:tab w:val="num" w:pos="5040"/>
        </w:tabs>
        <w:ind w:left="5040" w:hanging="360"/>
      </w:pPr>
      <w:rPr>
        <w:rFonts w:ascii="Ericsson Capital TT" w:hAnsi="Ericsson Capital TT" w:hint="default"/>
      </w:rPr>
    </w:lvl>
    <w:lvl w:ilvl="7" w:tplc="3E62C274" w:tentative="1">
      <w:start w:val="1"/>
      <w:numFmt w:val="bullet"/>
      <w:lvlText w:val="›"/>
      <w:lvlJc w:val="left"/>
      <w:pPr>
        <w:tabs>
          <w:tab w:val="num" w:pos="5760"/>
        </w:tabs>
        <w:ind w:left="5760" w:hanging="360"/>
      </w:pPr>
      <w:rPr>
        <w:rFonts w:ascii="Ericsson Capital TT" w:hAnsi="Ericsson Capital TT" w:hint="default"/>
      </w:rPr>
    </w:lvl>
    <w:lvl w:ilvl="8" w:tplc="506239D2" w:tentative="1">
      <w:start w:val="1"/>
      <w:numFmt w:val="bullet"/>
      <w:lvlText w:val="›"/>
      <w:lvlJc w:val="left"/>
      <w:pPr>
        <w:tabs>
          <w:tab w:val="num" w:pos="6480"/>
        </w:tabs>
        <w:ind w:left="6480" w:hanging="360"/>
      </w:pPr>
      <w:rPr>
        <w:rFonts w:ascii="Ericsson Capital TT" w:hAnsi="Ericsson Capital TT" w:hint="default"/>
      </w:rPr>
    </w:lvl>
  </w:abstractNum>
  <w:abstractNum w:abstractNumId="35"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AF317F"/>
    <w:multiLevelType w:val="hybridMultilevel"/>
    <w:tmpl w:val="0BDA0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A561D"/>
    <w:multiLevelType w:val="hybridMultilevel"/>
    <w:tmpl w:val="BD82B538"/>
    <w:lvl w:ilvl="0" w:tplc="041D0001">
      <w:start w:val="1"/>
      <w:numFmt w:val="bullet"/>
      <w:lvlText w:val=""/>
      <w:lvlJc w:val="left"/>
      <w:pPr>
        <w:tabs>
          <w:tab w:val="num" w:pos="8534"/>
        </w:tabs>
        <w:ind w:left="8534" w:hanging="1304"/>
      </w:pPr>
      <w:rPr>
        <w:rFonts w:ascii="Symbol" w:hAnsi="Symbol"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9"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71C39"/>
    <w:multiLevelType w:val="hybridMultilevel"/>
    <w:tmpl w:val="E696CA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4"/>
  </w:num>
  <w:num w:numId="2">
    <w:abstractNumId w:val="28"/>
  </w:num>
  <w:num w:numId="3">
    <w:abstractNumId w:val="20"/>
  </w:num>
  <w:num w:numId="4">
    <w:abstractNumId w:val="22"/>
  </w:num>
  <w:num w:numId="5">
    <w:abstractNumId w:val="14"/>
  </w:num>
  <w:num w:numId="6">
    <w:abstractNumId w:val="23"/>
  </w:num>
  <w:num w:numId="7">
    <w:abstractNumId w:val="33"/>
  </w:num>
  <w:num w:numId="8">
    <w:abstractNumId w:val="15"/>
  </w:num>
  <w:num w:numId="9">
    <w:abstractNumId w:val="11"/>
  </w:num>
  <w:num w:numId="10">
    <w:abstractNumId w:val="2"/>
  </w:num>
  <w:num w:numId="11">
    <w:abstractNumId w:val="1"/>
  </w:num>
  <w:num w:numId="12">
    <w:abstractNumId w:val="0"/>
  </w:num>
  <w:num w:numId="13">
    <w:abstractNumId w:val="31"/>
  </w:num>
  <w:num w:numId="14">
    <w:abstractNumId w:val="18"/>
  </w:num>
  <w:num w:numId="15">
    <w:abstractNumId w:val="41"/>
  </w:num>
  <w:num w:numId="16">
    <w:abstractNumId w:val="20"/>
    <w:lvlOverride w:ilvl="0">
      <w:startOverride w:val="1"/>
    </w:lvlOverride>
  </w:num>
  <w:num w:numId="17">
    <w:abstractNumId w:val="27"/>
  </w:num>
  <w:num w:numId="18">
    <w:abstractNumId w:val="38"/>
  </w:num>
  <w:num w:numId="19">
    <w:abstractNumId w:val="20"/>
    <w:lvlOverride w:ilvl="0">
      <w:startOverride w:val="1"/>
    </w:lvlOverride>
  </w:num>
  <w:num w:numId="20">
    <w:abstractNumId w:val="21"/>
  </w:num>
  <w:num w:numId="21">
    <w:abstractNumId w:val="17"/>
  </w:num>
  <w:num w:numId="22">
    <w:abstractNumId w:val="30"/>
  </w:num>
  <w:num w:numId="23">
    <w:abstractNumId w:val="35"/>
  </w:num>
  <w:num w:numId="24">
    <w:abstractNumId w:val="25"/>
  </w:num>
  <w:num w:numId="25">
    <w:abstractNumId w:val="5"/>
  </w:num>
  <w:num w:numId="26">
    <w:abstractNumId w:val="6"/>
  </w:num>
  <w:num w:numId="27">
    <w:abstractNumId w:val="40"/>
  </w:num>
  <w:num w:numId="28">
    <w:abstractNumId w:val="16"/>
  </w:num>
  <w:num w:numId="29">
    <w:abstractNumId w:val="37"/>
  </w:num>
  <w:num w:numId="30">
    <w:abstractNumId w:val="3"/>
  </w:num>
  <w:num w:numId="31">
    <w:abstractNumId w:val="26"/>
  </w:num>
  <w:num w:numId="32">
    <w:abstractNumId w:val="10"/>
  </w:num>
  <w:num w:numId="33">
    <w:abstractNumId w:val="7"/>
  </w:num>
  <w:num w:numId="34">
    <w:abstractNumId w:val="42"/>
  </w:num>
  <w:num w:numId="35">
    <w:abstractNumId w:val="24"/>
  </w:num>
  <w:num w:numId="36">
    <w:abstractNumId w:val="29"/>
  </w:num>
  <w:num w:numId="37">
    <w:abstractNumId w:val="8"/>
  </w:num>
  <w:num w:numId="38">
    <w:abstractNumId w:val="34"/>
  </w:num>
  <w:num w:numId="39">
    <w:abstractNumId w:val="36"/>
  </w:num>
  <w:num w:numId="40">
    <w:abstractNumId w:val="19"/>
  </w:num>
  <w:num w:numId="41">
    <w:abstractNumId w:val="12"/>
  </w:num>
  <w:num w:numId="42">
    <w:abstractNumId w:val="39"/>
  </w:num>
  <w:num w:numId="43">
    <w:abstractNumId w:val="32"/>
  </w:num>
  <w:num w:numId="44">
    <w:abstractNumId w:val="13"/>
  </w:num>
  <w:num w:numId="45">
    <w:abstractNumId w:val="43"/>
  </w:num>
  <w:num w:numId="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F19"/>
    <w:rsid w:val="00007CDC"/>
    <w:rsid w:val="00011B28"/>
    <w:rsid w:val="0001557B"/>
    <w:rsid w:val="00015D15"/>
    <w:rsid w:val="00016490"/>
    <w:rsid w:val="0002564D"/>
    <w:rsid w:val="00025ECA"/>
    <w:rsid w:val="00030B30"/>
    <w:rsid w:val="00031347"/>
    <w:rsid w:val="000325B8"/>
    <w:rsid w:val="00034C15"/>
    <w:rsid w:val="00036BA1"/>
    <w:rsid w:val="000401B4"/>
    <w:rsid w:val="00042009"/>
    <w:rsid w:val="000422E2"/>
    <w:rsid w:val="00042F22"/>
    <w:rsid w:val="000444EF"/>
    <w:rsid w:val="00052858"/>
    <w:rsid w:val="00052A07"/>
    <w:rsid w:val="000534E3"/>
    <w:rsid w:val="0005606A"/>
    <w:rsid w:val="00057117"/>
    <w:rsid w:val="0006096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D05"/>
    <w:rsid w:val="0009510F"/>
    <w:rsid w:val="000A1B7B"/>
    <w:rsid w:val="000A56F2"/>
    <w:rsid w:val="000B2719"/>
    <w:rsid w:val="000B3A8F"/>
    <w:rsid w:val="000B4AB9"/>
    <w:rsid w:val="000B58C3"/>
    <w:rsid w:val="000B61E9"/>
    <w:rsid w:val="000C0BD7"/>
    <w:rsid w:val="000C165A"/>
    <w:rsid w:val="000C2E19"/>
    <w:rsid w:val="000D0D07"/>
    <w:rsid w:val="000D28ED"/>
    <w:rsid w:val="000D4797"/>
    <w:rsid w:val="000D7ADF"/>
    <w:rsid w:val="000E0527"/>
    <w:rsid w:val="000E1E92"/>
    <w:rsid w:val="000E6240"/>
    <w:rsid w:val="000F06D6"/>
    <w:rsid w:val="000F0CC2"/>
    <w:rsid w:val="000F0EB1"/>
    <w:rsid w:val="000F1106"/>
    <w:rsid w:val="000F3BE9"/>
    <w:rsid w:val="000F3F6C"/>
    <w:rsid w:val="000F6DF3"/>
    <w:rsid w:val="001005FF"/>
    <w:rsid w:val="00101C0F"/>
    <w:rsid w:val="001062FB"/>
    <w:rsid w:val="001063E6"/>
    <w:rsid w:val="00113CF4"/>
    <w:rsid w:val="00113F26"/>
    <w:rsid w:val="001153EA"/>
    <w:rsid w:val="00115643"/>
    <w:rsid w:val="00116765"/>
    <w:rsid w:val="001219F5"/>
    <w:rsid w:val="00121A20"/>
    <w:rsid w:val="001221E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74FFD"/>
    <w:rsid w:val="0018143F"/>
    <w:rsid w:val="0018359F"/>
    <w:rsid w:val="00190AC1"/>
    <w:rsid w:val="0019341A"/>
    <w:rsid w:val="00194B79"/>
    <w:rsid w:val="00197DF9"/>
    <w:rsid w:val="001A1171"/>
    <w:rsid w:val="001A1987"/>
    <w:rsid w:val="001A2564"/>
    <w:rsid w:val="001A6173"/>
    <w:rsid w:val="001A6CBA"/>
    <w:rsid w:val="001B0D97"/>
    <w:rsid w:val="001B3203"/>
    <w:rsid w:val="001B5A5D"/>
    <w:rsid w:val="001B6441"/>
    <w:rsid w:val="001C1CE5"/>
    <w:rsid w:val="001C3D2A"/>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91A"/>
    <w:rsid w:val="00207FA3"/>
    <w:rsid w:val="00211E9D"/>
    <w:rsid w:val="00214DA8"/>
    <w:rsid w:val="00215423"/>
    <w:rsid w:val="002158FA"/>
    <w:rsid w:val="00220600"/>
    <w:rsid w:val="00220DD8"/>
    <w:rsid w:val="002224DB"/>
    <w:rsid w:val="00223FCB"/>
    <w:rsid w:val="002252C3"/>
    <w:rsid w:val="00225C54"/>
    <w:rsid w:val="00225C79"/>
    <w:rsid w:val="00230765"/>
    <w:rsid w:val="002319E4"/>
    <w:rsid w:val="00235632"/>
    <w:rsid w:val="00235872"/>
    <w:rsid w:val="002406C6"/>
    <w:rsid w:val="00241559"/>
    <w:rsid w:val="002435B3"/>
    <w:rsid w:val="002451ED"/>
    <w:rsid w:val="002458EB"/>
    <w:rsid w:val="002500C8"/>
    <w:rsid w:val="002545C5"/>
    <w:rsid w:val="00255E5C"/>
    <w:rsid w:val="00257543"/>
    <w:rsid w:val="002617E7"/>
    <w:rsid w:val="00264228"/>
    <w:rsid w:val="00264334"/>
    <w:rsid w:val="0026473E"/>
    <w:rsid w:val="00266214"/>
    <w:rsid w:val="00267C83"/>
    <w:rsid w:val="0027144F"/>
    <w:rsid w:val="00271813"/>
    <w:rsid w:val="00271F3A"/>
    <w:rsid w:val="00273278"/>
    <w:rsid w:val="002737F4"/>
    <w:rsid w:val="00273C90"/>
    <w:rsid w:val="002805F5"/>
    <w:rsid w:val="00280751"/>
    <w:rsid w:val="0028280A"/>
    <w:rsid w:val="002830DB"/>
    <w:rsid w:val="00286ACD"/>
    <w:rsid w:val="00287838"/>
    <w:rsid w:val="0028796C"/>
    <w:rsid w:val="002907B5"/>
    <w:rsid w:val="00292EB7"/>
    <w:rsid w:val="00296227"/>
    <w:rsid w:val="00296F44"/>
    <w:rsid w:val="0029777D"/>
    <w:rsid w:val="002A055E"/>
    <w:rsid w:val="002A1D4E"/>
    <w:rsid w:val="002A2869"/>
    <w:rsid w:val="002A6E99"/>
    <w:rsid w:val="002B24D6"/>
    <w:rsid w:val="002B7E37"/>
    <w:rsid w:val="002C20C1"/>
    <w:rsid w:val="002C41E6"/>
    <w:rsid w:val="002D071A"/>
    <w:rsid w:val="002D34B2"/>
    <w:rsid w:val="002D7637"/>
    <w:rsid w:val="002E17F2"/>
    <w:rsid w:val="002E7CAE"/>
    <w:rsid w:val="002F2771"/>
    <w:rsid w:val="002F37A9"/>
    <w:rsid w:val="002F5FBD"/>
    <w:rsid w:val="002F6288"/>
    <w:rsid w:val="00301CE6"/>
    <w:rsid w:val="0030256B"/>
    <w:rsid w:val="00302E9C"/>
    <w:rsid w:val="00303972"/>
    <w:rsid w:val="0030501F"/>
    <w:rsid w:val="00307BA1"/>
    <w:rsid w:val="00311702"/>
    <w:rsid w:val="00311E82"/>
    <w:rsid w:val="00313F4F"/>
    <w:rsid w:val="00313FD6"/>
    <w:rsid w:val="003143BD"/>
    <w:rsid w:val="003203ED"/>
    <w:rsid w:val="00321354"/>
    <w:rsid w:val="00322C9F"/>
    <w:rsid w:val="00324D23"/>
    <w:rsid w:val="003250F8"/>
    <w:rsid w:val="003254D2"/>
    <w:rsid w:val="00327997"/>
    <w:rsid w:val="00331751"/>
    <w:rsid w:val="00331B7B"/>
    <w:rsid w:val="00334579"/>
    <w:rsid w:val="00335858"/>
    <w:rsid w:val="00336BDA"/>
    <w:rsid w:val="00342BD7"/>
    <w:rsid w:val="00346DB5"/>
    <w:rsid w:val="003477B1"/>
    <w:rsid w:val="00357380"/>
    <w:rsid w:val="003602D9"/>
    <w:rsid w:val="003604CE"/>
    <w:rsid w:val="0036246B"/>
    <w:rsid w:val="00363067"/>
    <w:rsid w:val="00370E47"/>
    <w:rsid w:val="003742AC"/>
    <w:rsid w:val="00374ADB"/>
    <w:rsid w:val="00377509"/>
    <w:rsid w:val="00377CE1"/>
    <w:rsid w:val="00382E88"/>
    <w:rsid w:val="00385490"/>
    <w:rsid w:val="00385BF0"/>
    <w:rsid w:val="00392B1F"/>
    <w:rsid w:val="003939FF"/>
    <w:rsid w:val="00394C8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23E"/>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023"/>
    <w:rsid w:val="004A16BC"/>
    <w:rsid w:val="004A2B94"/>
    <w:rsid w:val="004A2DD6"/>
    <w:rsid w:val="004A502E"/>
    <w:rsid w:val="004B647B"/>
    <w:rsid w:val="004B7C0C"/>
    <w:rsid w:val="004C3898"/>
    <w:rsid w:val="004C3FAA"/>
    <w:rsid w:val="004C71A5"/>
    <w:rsid w:val="004D36B1"/>
    <w:rsid w:val="004D5AAD"/>
    <w:rsid w:val="004D7EBD"/>
    <w:rsid w:val="004E2680"/>
    <w:rsid w:val="004E28F9"/>
    <w:rsid w:val="004E45CD"/>
    <w:rsid w:val="004E462E"/>
    <w:rsid w:val="004E56DC"/>
    <w:rsid w:val="004E76F4"/>
    <w:rsid w:val="004F0B4E"/>
    <w:rsid w:val="004F0B6C"/>
    <w:rsid w:val="004F2078"/>
    <w:rsid w:val="004F410D"/>
    <w:rsid w:val="004F4DA3"/>
    <w:rsid w:val="00506557"/>
    <w:rsid w:val="0050677A"/>
    <w:rsid w:val="005108D8"/>
    <w:rsid w:val="005116F9"/>
    <w:rsid w:val="00512BA2"/>
    <w:rsid w:val="005153A7"/>
    <w:rsid w:val="005219CF"/>
    <w:rsid w:val="0052620F"/>
    <w:rsid w:val="00534B59"/>
    <w:rsid w:val="005365BF"/>
    <w:rsid w:val="00536759"/>
    <w:rsid w:val="00537C62"/>
    <w:rsid w:val="00546970"/>
    <w:rsid w:val="0055144D"/>
    <w:rsid w:val="00554192"/>
    <w:rsid w:val="00554E19"/>
    <w:rsid w:val="0056121F"/>
    <w:rsid w:val="0056508D"/>
    <w:rsid w:val="005657F9"/>
    <w:rsid w:val="00572505"/>
    <w:rsid w:val="00575DA6"/>
    <w:rsid w:val="00582809"/>
    <w:rsid w:val="00582A47"/>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54D5"/>
    <w:rsid w:val="005F618C"/>
    <w:rsid w:val="005F70BD"/>
    <w:rsid w:val="00602447"/>
    <w:rsid w:val="0060283C"/>
    <w:rsid w:val="00604F14"/>
    <w:rsid w:val="00611B83"/>
    <w:rsid w:val="00613257"/>
    <w:rsid w:val="0061571D"/>
    <w:rsid w:val="0061708F"/>
    <w:rsid w:val="00620A71"/>
    <w:rsid w:val="00620D80"/>
    <w:rsid w:val="00622E38"/>
    <w:rsid w:val="006234A6"/>
    <w:rsid w:val="00630001"/>
    <w:rsid w:val="006311B3"/>
    <w:rsid w:val="00631428"/>
    <w:rsid w:val="00632652"/>
    <w:rsid w:val="0063284C"/>
    <w:rsid w:val="006342A4"/>
    <w:rsid w:val="00636398"/>
    <w:rsid w:val="006368D3"/>
    <w:rsid w:val="006377EC"/>
    <w:rsid w:val="0064151F"/>
    <w:rsid w:val="00641533"/>
    <w:rsid w:val="0064208D"/>
    <w:rsid w:val="00643475"/>
    <w:rsid w:val="0064396A"/>
    <w:rsid w:val="0064624E"/>
    <w:rsid w:val="006507BE"/>
    <w:rsid w:val="00650AB9"/>
    <w:rsid w:val="00655733"/>
    <w:rsid w:val="00655ACD"/>
    <w:rsid w:val="00656A92"/>
    <w:rsid w:val="00656DDE"/>
    <w:rsid w:val="0065729A"/>
    <w:rsid w:val="0066011D"/>
    <w:rsid w:val="006607C0"/>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1003"/>
    <w:rsid w:val="006817C9"/>
    <w:rsid w:val="00683ECE"/>
    <w:rsid w:val="00695FC2"/>
    <w:rsid w:val="00696949"/>
    <w:rsid w:val="00697052"/>
    <w:rsid w:val="006A1A1B"/>
    <w:rsid w:val="006A3B4B"/>
    <w:rsid w:val="006A46FB"/>
    <w:rsid w:val="006A5E28"/>
    <w:rsid w:val="006A6585"/>
    <w:rsid w:val="006A697B"/>
    <w:rsid w:val="006A7AFF"/>
    <w:rsid w:val="006B1816"/>
    <w:rsid w:val="006B2099"/>
    <w:rsid w:val="006B50CF"/>
    <w:rsid w:val="006B5134"/>
    <w:rsid w:val="006B7AF0"/>
    <w:rsid w:val="006C03B8"/>
    <w:rsid w:val="006C05D0"/>
    <w:rsid w:val="006C526B"/>
    <w:rsid w:val="006C5EC9"/>
    <w:rsid w:val="006C6059"/>
    <w:rsid w:val="006C7522"/>
    <w:rsid w:val="006C7A59"/>
    <w:rsid w:val="006D57CE"/>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24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4EAE"/>
    <w:rsid w:val="007755F2"/>
    <w:rsid w:val="007765B5"/>
    <w:rsid w:val="00776971"/>
    <w:rsid w:val="00777D37"/>
    <w:rsid w:val="0078177E"/>
    <w:rsid w:val="0078304C"/>
    <w:rsid w:val="00783673"/>
    <w:rsid w:val="00785490"/>
    <w:rsid w:val="00790B99"/>
    <w:rsid w:val="0079166C"/>
    <w:rsid w:val="0079209F"/>
    <w:rsid w:val="007925EA"/>
    <w:rsid w:val="00793CD8"/>
    <w:rsid w:val="00795C92"/>
    <w:rsid w:val="00796231"/>
    <w:rsid w:val="007965D5"/>
    <w:rsid w:val="007A1CB3"/>
    <w:rsid w:val="007A306F"/>
    <w:rsid w:val="007A3862"/>
    <w:rsid w:val="007A43A6"/>
    <w:rsid w:val="007A58A6"/>
    <w:rsid w:val="007A6DA9"/>
    <w:rsid w:val="007B3D2D"/>
    <w:rsid w:val="007B50AE"/>
    <w:rsid w:val="007B51DF"/>
    <w:rsid w:val="007B5273"/>
    <w:rsid w:val="007B7374"/>
    <w:rsid w:val="007C05DD"/>
    <w:rsid w:val="007C3D18"/>
    <w:rsid w:val="007C60BF"/>
    <w:rsid w:val="007C6A07"/>
    <w:rsid w:val="007C75A1"/>
    <w:rsid w:val="007C77A5"/>
    <w:rsid w:val="007D04E5"/>
    <w:rsid w:val="007D3107"/>
    <w:rsid w:val="007D5901"/>
    <w:rsid w:val="007D6F22"/>
    <w:rsid w:val="007D7526"/>
    <w:rsid w:val="007E4610"/>
    <w:rsid w:val="007E4715"/>
    <w:rsid w:val="007E505B"/>
    <w:rsid w:val="007E7091"/>
    <w:rsid w:val="007F75D5"/>
    <w:rsid w:val="00800F57"/>
    <w:rsid w:val="00801BB6"/>
    <w:rsid w:val="00802B9E"/>
    <w:rsid w:val="00803FAE"/>
    <w:rsid w:val="0080605F"/>
    <w:rsid w:val="008067DC"/>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838"/>
    <w:rsid w:val="008719A4"/>
    <w:rsid w:val="00871D23"/>
    <w:rsid w:val="00874312"/>
    <w:rsid w:val="0087437C"/>
    <w:rsid w:val="00875CD7"/>
    <w:rsid w:val="00876B4D"/>
    <w:rsid w:val="00877F18"/>
    <w:rsid w:val="00880F71"/>
    <w:rsid w:val="008824A9"/>
    <w:rsid w:val="008843E1"/>
    <w:rsid w:val="00894A88"/>
    <w:rsid w:val="00895386"/>
    <w:rsid w:val="00896979"/>
    <w:rsid w:val="008A21FF"/>
    <w:rsid w:val="008A2B73"/>
    <w:rsid w:val="008A2CE2"/>
    <w:rsid w:val="008A30AC"/>
    <w:rsid w:val="008A44B8"/>
    <w:rsid w:val="008A503C"/>
    <w:rsid w:val="008A51A8"/>
    <w:rsid w:val="008A54C7"/>
    <w:rsid w:val="008A77D8"/>
    <w:rsid w:val="008A7B46"/>
    <w:rsid w:val="008B0483"/>
    <w:rsid w:val="008B120C"/>
    <w:rsid w:val="008B51A0"/>
    <w:rsid w:val="008B592A"/>
    <w:rsid w:val="008B7B5C"/>
    <w:rsid w:val="008C0C99"/>
    <w:rsid w:val="008C2017"/>
    <w:rsid w:val="008C4958"/>
    <w:rsid w:val="008C4BAA"/>
    <w:rsid w:val="008C6047"/>
    <w:rsid w:val="008C6AE8"/>
    <w:rsid w:val="008C7573"/>
    <w:rsid w:val="008D34F1"/>
    <w:rsid w:val="008D39D8"/>
    <w:rsid w:val="008D6D1A"/>
    <w:rsid w:val="008E065E"/>
    <w:rsid w:val="008E0927"/>
    <w:rsid w:val="008E1909"/>
    <w:rsid w:val="008E47AA"/>
    <w:rsid w:val="008F1EAB"/>
    <w:rsid w:val="008F33DC"/>
    <w:rsid w:val="008F477F"/>
    <w:rsid w:val="00902350"/>
    <w:rsid w:val="0090336B"/>
    <w:rsid w:val="009053AA"/>
    <w:rsid w:val="00906939"/>
    <w:rsid w:val="00910B7D"/>
    <w:rsid w:val="00910FFA"/>
    <w:rsid w:val="00911DFB"/>
    <w:rsid w:val="009139D9"/>
    <w:rsid w:val="00914AD8"/>
    <w:rsid w:val="00916079"/>
    <w:rsid w:val="00917CE9"/>
    <w:rsid w:val="00920BF2"/>
    <w:rsid w:val="00922010"/>
    <w:rsid w:val="00924B3D"/>
    <w:rsid w:val="00931BD9"/>
    <w:rsid w:val="009326F9"/>
    <w:rsid w:val="00935739"/>
    <w:rsid w:val="009368F3"/>
    <w:rsid w:val="00941636"/>
    <w:rsid w:val="009423F2"/>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9F8"/>
    <w:rsid w:val="00971F08"/>
    <w:rsid w:val="0097603D"/>
    <w:rsid w:val="009765F4"/>
    <w:rsid w:val="00976949"/>
    <w:rsid w:val="00980477"/>
    <w:rsid w:val="00982766"/>
    <w:rsid w:val="00985253"/>
    <w:rsid w:val="009853B3"/>
    <w:rsid w:val="00985BFD"/>
    <w:rsid w:val="00987756"/>
    <w:rsid w:val="00990630"/>
    <w:rsid w:val="00991761"/>
    <w:rsid w:val="00994DCA"/>
    <w:rsid w:val="009960EC"/>
    <w:rsid w:val="009970DD"/>
    <w:rsid w:val="00997CB2"/>
    <w:rsid w:val="009A0FBA"/>
    <w:rsid w:val="009A1601"/>
    <w:rsid w:val="009A18A7"/>
    <w:rsid w:val="009A462D"/>
    <w:rsid w:val="009A5CBA"/>
    <w:rsid w:val="009B1F30"/>
    <w:rsid w:val="009B3AC2"/>
    <w:rsid w:val="009B44F8"/>
    <w:rsid w:val="009B4DF4"/>
    <w:rsid w:val="009B564E"/>
    <w:rsid w:val="009B7E87"/>
    <w:rsid w:val="009C403E"/>
    <w:rsid w:val="009C6832"/>
    <w:rsid w:val="009D4FF0"/>
    <w:rsid w:val="009D703C"/>
    <w:rsid w:val="009D718F"/>
    <w:rsid w:val="009E068F"/>
    <w:rsid w:val="009E135D"/>
    <w:rsid w:val="009E14E0"/>
    <w:rsid w:val="009E35DB"/>
    <w:rsid w:val="009E47A3"/>
    <w:rsid w:val="009F08F3"/>
    <w:rsid w:val="009F344F"/>
    <w:rsid w:val="009F45AA"/>
    <w:rsid w:val="00A031D8"/>
    <w:rsid w:val="00A048A8"/>
    <w:rsid w:val="00A04F49"/>
    <w:rsid w:val="00A13E54"/>
    <w:rsid w:val="00A15745"/>
    <w:rsid w:val="00A17F63"/>
    <w:rsid w:val="00A2193B"/>
    <w:rsid w:val="00A2351A"/>
    <w:rsid w:val="00A264A9"/>
    <w:rsid w:val="00A27785"/>
    <w:rsid w:val="00A30187"/>
    <w:rsid w:val="00A33EFC"/>
    <w:rsid w:val="00A3448A"/>
    <w:rsid w:val="00A36297"/>
    <w:rsid w:val="00A41E2B"/>
    <w:rsid w:val="00A45B74"/>
    <w:rsid w:val="00A52E1D"/>
    <w:rsid w:val="00A55FD8"/>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4864"/>
    <w:rsid w:val="00AA016F"/>
    <w:rsid w:val="00AA1ED6"/>
    <w:rsid w:val="00AA3FFF"/>
    <w:rsid w:val="00AA51D6"/>
    <w:rsid w:val="00AA70D5"/>
    <w:rsid w:val="00AB0BC8"/>
    <w:rsid w:val="00AB11CA"/>
    <w:rsid w:val="00AB14D9"/>
    <w:rsid w:val="00AB170C"/>
    <w:rsid w:val="00AB2DF6"/>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7B3"/>
    <w:rsid w:val="00B05084"/>
    <w:rsid w:val="00B06A21"/>
    <w:rsid w:val="00B11F57"/>
    <w:rsid w:val="00B12D38"/>
    <w:rsid w:val="00B157F9"/>
    <w:rsid w:val="00B20256"/>
    <w:rsid w:val="00B20D09"/>
    <w:rsid w:val="00B21F12"/>
    <w:rsid w:val="00B2763F"/>
    <w:rsid w:val="00B27AAC"/>
    <w:rsid w:val="00B30929"/>
    <w:rsid w:val="00B372AA"/>
    <w:rsid w:val="00B40445"/>
    <w:rsid w:val="00B41873"/>
    <w:rsid w:val="00B41888"/>
    <w:rsid w:val="00B45A52"/>
    <w:rsid w:val="00B46175"/>
    <w:rsid w:val="00B550C7"/>
    <w:rsid w:val="00B64070"/>
    <w:rsid w:val="00B664C7"/>
    <w:rsid w:val="00B739F6"/>
    <w:rsid w:val="00B7668F"/>
    <w:rsid w:val="00B80E0E"/>
    <w:rsid w:val="00B8139D"/>
    <w:rsid w:val="00B81A6C"/>
    <w:rsid w:val="00B84A60"/>
    <w:rsid w:val="00B85DE5"/>
    <w:rsid w:val="00B90F73"/>
    <w:rsid w:val="00B93B59"/>
    <w:rsid w:val="00B9406A"/>
    <w:rsid w:val="00B96B0E"/>
    <w:rsid w:val="00BA2280"/>
    <w:rsid w:val="00BA2A08"/>
    <w:rsid w:val="00BA56D2"/>
    <w:rsid w:val="00BA76E0"/>
    <w:rsid w:val="00BB179C"/>
    <w:rsid w:val="00BB2A25"/>
    <w:rsid w:val="00BB51E9"/>
    <w:rsid w:val="00BC0FDC"/>
    <w:rsid w:val="00BC3053"/>
    <w:rsid w:val="00BC4D2E"/>
    <w:rsid w:val="00BC7FF1"/>
    <w:rsid w:val="00BD1BB8"/>
    <w:rsid w:val="00BD48AC"/>
    <w:rsid w:val="00BD5F1A"/>
    <w:rsid w:val="00BE1234"/>
    <w:rsid w:val="00BE2FA6"/>
    <w:rsid w:val="00BE333F"/>
    <w:rsid w:val="00BE7406"/>
    <w:rsid w:val="00BE7603"/>
    <w:rsid w:val="00BF064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544"/>
    <w:rsid w:val="00C279B5"/>
    <w:rsid w:val="00C27C45"/>
    <w:rsid w:val="00C31087"/>
    <w:rsid w:val="00C34CF8"/>
    <w:rsid w:val="00C3719D"/>
    <w:rsid w:val="00C416E5"/>
    <w:rsid w:val="00C54995"/>
    <w:rsid w:val="00C54D41"/>
    <w:rsid w:val="00C60783"/>
    <w:rsid w:val="00C64672"/>
    <w:rsid w:val="00C658ED"/>
    <w:rsid w:val="00C65918"/>
    <w:rsid w:val="00C6715D"/>
    <w:rsid w:val="00C70697"/>
    <w:rsid w:val="00C72EF4"/>
    <w:rsid w:val="00C753B3"/>
    <w:rsid w:val="00C75D2F"/>
    <w:rsid w:val="00C767BE"/>
    <w:rsid w:val="00C76E3C"/>
    <w:rsid w:val="00C81568"/>
    <w:rsid w:val="00C9027A"/>
    <w:rsid w:val="00C9068E"/>
    <w:rsid w:val="00C93C4B"/>
    <w:rsid w:val="00C944AB"/>
    <w:rsid w:val="00C95B40"/>
    <w:rsid w:val="00CA1068"/>
    <w:rsid w:val="00CA1ED8"/>
    <w:rsid w:val="00CA2417"/>
    <w:rsid w:val="00CA44B2"/>
    <w:rsid w:val="00CB1F63"/>
    <w:rsid w:val="00CB7170"/>
    <w:rsid w:val="00CC040E"/>
    <w:rsid w:val="00CC111F"/>
    <w:rsid w:val="00CC2011"/>
    <w:rsid w:val="00CC3EA0"/>
    <w:rsid w:val="00CC7B45"/>
    <w:rsid w:val="00CD0F70"/>
    <w:rsid w:val="00CD1188"/>
    <w:rsid w:val="00CD1AB1"/>
    <w:rsid w:val="00CD1D69"/>
    <w:rsid w:val="00CD2ED1"/>
    <w:rsid w:val="00CD337B"/>
    <w:rsid w:val="00CE0424"/>
    <w:rsid w:val="00CE66DE"/>
    <w:rsid w:val="00CE7561"/>
    <w:rsid w:val="00CF1354"/>
    <w:rsid w:val="00CF3B1F"/>
    <w:rsid w:val="00CF3BF6"/>
    <w:rsid w:val="00CF625B"/>
    <w:rsid w:val="00CF687E"/>
    <w:rsid w:val="00CF7C91"/>
    <w:rsid w:val="00D0349B"/>
    <w:rsid w:val="00D10249"/>
    <w:rsid w:val="00D1086C"/>
    <w:rsid w:val="00D115C3"/>
    <w:rsid w:val="00D11897"/>
    <w:rsid w:val="00D13135"/>
    <w:rsid w:val="00D13E4E"/>
    <w:rsid w:val="00D2249B"/>
    <w:rsid w:val="00D239A7"/>
    <w:rsid w:val="00D23F47"/>
    <w:rsid w:val="00D251DB"/>
    <w:rsid w:val="00D3226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218"/>
    <w:rsid w:val="00D86CA3"/>
    <w:rsid w:val="00D871CE"/>
    <w:rsid w:val="00D9196D"/>
    <w:rsid w:val="00D92982"/>
    <w:rsid w:val="00DA0BA2"/>
    <w:rsid w:val="00DA217B"/>
    <w:rsid w:val="00DA2E0F"/>
    <w:rsid w:val="00DA305E"/>
    <w:rsid w:val="00DA5417"/>
    <w:rsid w:val="00DA56E8"/>
    <w:rsid w:val="00DB0A9F"/>
    <w:rsid w:val="00DB377D"/>
    <w:rsid w:val="00DC1866"/>
    <w:rsid w:val="00DC2D36"/>
    <w:rsid w:val="00DC53EF"/>
    <w:rsid w:val="00DE5608"/>
    <w:rsid w:val="00DE58D0"/>
    <w:rsid w:val="00DE654F"/>
    <w:rsid w:val="00DF0B6E"/>
    <w:rsid w:val="00DF15E0"/>
    <w:rsid w:val="00DF37A0"/>
    <w:rsid w:val="00DF701D"/>
    <w:rsid w:val="00E110E7"/>
    <w:rsid w:val="00E11B20"/>
    <w:rsid w:val="00E17FA2"/>
    <w:rsid w:val="00E21369"/>
    <w:rsid w:val="00E22330"/>
    <w:rsid w:val="00E2486E"/>
    <w:rsid w:val="00E26563"/>
    <w:rsid w:val="00E272C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3E1"/>
    <w:rsid w:val="00E5689D"/>
    <w:rsid w:val="00E57565"/>
    <w:rsid w:val="00E63838"/>
    <w:rsid w:val="00E64434"/>
    <w:rsid w:val="00E67C51"/>
    <w:rsid w:val="00E72EFC"/>
    <w:rsid w:val="00E758EC"/>
    <w:rsid w:val="00E77576"/>
    <w:rsid w:val="00E8234C"/>
    <w:rsid w:val="00E82828"/>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3BF4"/>
    <w:rsid w:val="00EC4207"/>
    <w:rsid w:val="00EC5653"/>
    <w:rsid w:val="00EC71CE"/>
    <w:rsid w:val="00EC77A7"/>
    <w:rsid w:val="00ED1006"/>
    <w:rsid w:val="00EE59C8"/>
    <w:rsid w:val="00EF18FE"/>
    <w:rsid w:val="00EF5787"/>
    <w:rsid w:val="00EF60D0"/>
    <w:rsid w:val="00EF776E"/>
    <w:rsid w:val="00F00E74"/>
    <w:rsid w:val="00F02748"/>
    <w:rsid w:val="00F0528D"/>
    <w:rsid w:val="00F052F3"/>
    <w:rsid w:val="00F06C67"/>
    <w:rsid w:val="00F06DFD"/>
    <w:rsid w:val="00F071D1"/>
    <w:rsid w:val="00F07533"/>
    <w:rsid w:val="00F10629"/>
    <w:rsid w:val="00F15FA5"/>
    <w:rsid w:val="00F2016C"/>
    <w:rsid w:val="00F209B7"/>
    <w:rsid w:val="00F2150C"/>
    <w:rsid w:val="00F2376F"/>
    <w:rsid w:val="00F243D8"/>
    <w:rsid w:val="00F24B31"/>
    <w:rsid w:val="00F30828"/>
    <w:rsid w:val="00F313D6"/>
    <w:rsid w:val="00F40F0C"/>
    <w:rsid w:val="00F4766C"/>
    <w:rsid w:val="00F5060E"/>
    <w:rsid w:val="00F507D1"/>
    <w:rsid w:val="00F519CE"/>
    <w:rsid w:val="00F51ADA"/>
    <w:rsid w:val="00F537F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6A6A"/>
    <w:rsid w:val="00FC7429"/>
    <w:rsid w:val="00FD07F6"/>
    <w:rsid w:val="00FD1EC8"/>
    <w:rsid w:val="00FD47ED"/>
    <w:rsid w:val="00FD68C2"/>
    <w:rsid w:val="00FD74DB"/>
    <w:rsid w:val="00FD7660"/>
    <w:rsid w:val="00FE0655"/>
    <w:rsid w:val="00FE2099"/>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25FE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 w:type="character" w:customStyle="1" w:styleId="apple-converted-space">
    <w:name w:val="apple-converted-space"/>
    <w:basedOn w:val="DefaultParagraphFont"/>
    <w:rsid w:val="006342A4"/>
  </w:style>
  <w:style w:type="character" w:customStyle="1" w:styleId="ReferenceChar">
    <w:name w:val="Reference Char"/>
    <w:link w:val="Reference"/>
    <w:rsid w:val="00DA0BA2"/>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1041">
      <w:bodyDiv w:val="1"/>
      <w:marLeft w:val="0"/>
      <w:marRight w:val="0"/>
      <w:marTop w:val="0"/>
      <w:marBottom w:val="0"/>
      <w:divBdr>
        <w:top w:val="none" w:sz="0" w:space="0" w:color="auto"/>
        <w:left w:val="none" w:sz="0" w:space="0" w:color="auto"/>
        <w:bottom w:val="none" w:sz="0" w:space="0" w:color="auto"/>
        <w:right w:val="none" w:sz="0" w:space="0" w:color="auto"/>
      </w:divBdr>
      <w:divsChild>
        <w:div w:id="550116879">
          <w:marLeft w:val="835"/>
          <w:marRight w:val="0"/>
          <w:marTop w:val="0"/>
          <w:marBottom w:val="0"/>
          <w:divBdr>
            <w:top w:val="none" w:sz="0" w:space="0" w:color="auto"/>
            <w:left w:val="none" w:sz="0" w:space="0" w:color="auto"/>
            <w:bottom w:val="none" w:sz="0" w:space="0" w:color="auto"/>
            <w:right w:val="none" w:sz="0" w:space="0" w:color="auto"/>
          </w:divBdr>
        </w:div>
        <w:div w:id="2144805831">
          <w:marLeft w:val="1411"/>
          <w:marRight w:val="0"/>
          <w:marTop w:val="0"/>
          <w:marBottom w:val="0"/>
          <w:divBdr>
            <w:top w:val="none" w:sz="0" w:space="0" w:color="auto"/>
            <w:left w:val="none" w:sz="0" w:space="0" w:color="auto"/>
            <w:bottom w:val="none" w:sz="0" w:space="0" w:color="auto"/>
            <w:right w:val="none" w:sz="0" w:space="0" w:color="auto"/>
          </w:divBdr>
        </w:div>
        <w:div w:id="19626706">
          <w:marLeft w:val="1411"/>
          <w:marRight w:val="0"/>
          <w:marTop w:val="0"/>
          <w:marBottom w:val="0"/>
          <w:divBdr>
            <w:top w:val="none" w:sz="0" w:space="0" w:color="auto"/>
            <w:left w:val="none" w:sz="0" w:space="0" w:color="auto"/>
            <w:bottom w:val="none" w:sz="0" w:space="0" w:color="auto"/>
            <w:right w:val="none" w:sz="0" w:space="0" w:color="auto"/>
          </w:divBdr>
        </w:div>
        <w:div w:id="1152139857">
          <w:marLeft w:val="1411"/>
          <w:marRight w:val="0"/>
          <w:marTop w:val="0"/>
          <w:marBottom w:val="0"/>
          <w:divBdr>
            <w:top w:val="none" w:sz="0" w:space="0" w:color="auto"/>
            <w:left w:val="none" w:sz="0" w:space="0" w:color="auto"/>
            <w:bottom w:val="none" w:sz="0" w:space="0" w:color="auto"/>
            <w:right w:val="none" w:sz="0" w:space="0" w:color="auto"/>
          </w:divBdr>
        </w:div>
        <w:div w:id="899054986">
          <w:marLeft w:val="1411"/>
          <w:marRight w:val="0"/>
          <w:marTop w:val="0"/>
          <w:marBottom w:val="0"/>
          <w:divBdr>
            <w:top w:val="none" w:sz="0" w:space="0" w:color="auto"/>
            <w:left w:val="none" w:sz="0" w:space="0" w:color="auto"/>
            <w:bottom w:val="none" w:sz="0" w:space="0" w:color="auto"/>
            <w:right w:val="none" w:sz="0" w:space="0" w:color="auto"/>
          </w:divBdr>
        </w:div>
        <w:div w:id="1733574638">
          <w:marLeft w:val="1973"/>
          <w:marRight w:val="0"/>
          <w:marTop w:val="0"/>
          <w:marBottom w:val="0"/>
          <w:divBdr>
            <w:top w:val="none" w:sz="0" w:space="0" w:color="auto"/>
            <w:left w:val="none" w:sz="0" w:space="0" w:color="auto"/>
            <w:bottom w:val="none" w:sz="0" w:space="0" w:color="auto"/>
            <w:right w:val="none" w:sz="0" w:space="0" w:color="auto"/>
          </w:divBdr>
        </w:div>
        <w:div w:id="1468352767">
          <w:marLeft w:val="1411"/>
          <w:marRight w:val="0"/>
          <w:marTop w:val="0"/>
          <w:marBottom w:val="0"/>
          <w:divBdr>
            <w:top w:val="none" w:sz="0" w:space="0" w:color="auto"/>
            <w:left w:val="none" w:sz="0" w:space="0" w:color="auto"/>
            <w:bottom w:val="none" w:sz="0" w:space="0" w:color="auto"/>
            <w:right w:val="none" w:sz="0" w:space="0" w:color="auto"/>
          </w:divBdr>
        </w:div>
      </w:divsChild>
    </w:div>
    <w:div w:id="171796356">
      <w:bodyDiv w:val="1"/>
      <w:marLeft w:val="0"/>
      <w:marRight w:val="0"/>
      <w:marTop w:val="0"/>
      <w:marBottom w:val="0"/>
      <w:divBdr>
        <w:top w:val="none" w:sz="0" w:space="0" w:color="auto"/>
        <w:left w:val="none" w:sz="0" w:space="0" w:color="auto"/>
        <w:bottom w:val="none" w:sz="0" w:space="0" w:color="auto"/>
        <w:right w:val="none" w:sz="0" w:space="0" w:color="auto"/>
      </w:divBdr>
      <w:divsChild>
        <w:div w:id="492306706">
          <w:marLeft w:val="1411"/>
          <w:marRight w:val="0"/>
          <w:marTop w:val="0"/>
          <w:marBottom w:val="0"/>
          <w:divBdr>
            <w:top w:val="none" w:sz="0" w:space="0" w:color="auto"/>
            <w:left w:val="none" w:sz="0" w:space="0" w:color="auto"/>
            <w:bottom w:val="none" w:sz="0" w:space="0" w:color="auto"/>
            <w:right w:val="none" w:sz="0" w:space="0" w:color="auto"/>
          </w:divBdr>
        </w:div>
      </w:divsChild>
    </w:div>
    <w:div w:id="582298333">
      <w:bodyDiv w:val="1"/>
      <w:marLeft w:val="0"/>
      <w:marRight w:val="0"/>
      <w:marTop w:val="0"/>
      <w:marBottom w:val="0"/>
      <w:divBdr>
        <w:top w:val="none" w:sz="0" w:space="0" w:color="auto"/>
        <w:left w:val="none" w:sz="0" w:space="0" w:color="auto"/>
        <w:bottom w:val="none" w:sz="0" w:space="0" w:color="auto"/>
        <w:right w:val="none" w:sz="0" w:space="0" w:color="auto"/>
      </w:divBdr>
      <w:divsChild>
        <w:div w:id="1035886522">
          <w:marLeft w:val="835"/>
          <w:marRight w:val="0"/>
          <w:marTop w:val="0"/>
          <w:marBottom w:val="0"/>
          <w:divBdr>
            <w:top w:val="none" w:sz="0" w:space="0" w:color="auto"/>
            <w:left w:val="none" w:sz="0" w:space="0" w:color="auto"/>
            <w:bottom w:val="none" w:sz="0" w:space="0" w:color="auto"/>
            <w:right w:val="none" w:sz="0" w:space="0" w:color="auto"/>
          </w:divBdr>
        </w:div>
        <w:div w:id="1306355046">
          <w:marLeft w:val="835"/>
          <w:marRight w:val="0"/>
          <w:marTop w:val="0"/>
          <w:marBottom w:val="0"/>
          <w:divBdr>
            <w:top w:val="none" w:sz="0" w:space="0" w:color="auto"/>
            <w:left w:val="none" w:sz="0" w:space="0" w:color="auto"/>
            <w:bottom w:val="none" w:sz="0" w:space="0" w:color="auto"/>
            <w:right w:val="none" w:sz="0" w:space="0" w:color="auto"/>
          </w:divBdr>
        </w:div>
        <w:div w:id="741760801">
          <w:marLeft w:val="1411"/>
          <w:marRight w:val="0"/>
          <w:marTop w:val="0"/>
          <w:marBottom w:val="0"/>
          <w:divBdr>
            <w:top w:val="none" w:sz="0" w:space="0" w:color="auto"/>
            <w:left w:val="none" w:sz="0" w:space="0" w:color="auto"/>
            <w:bottom w:val="none" w:sz="0" w:space="0" w:color="auto"/>
            <w:right w:val="none" w:sz="0" w:space="0" w:color="auto"/>
          </w:divBdr>
        </w:div>
      </w:divsChild>
    </w:div>
    <w:div w:id="1423144438">
      <w:bodyDiv w:val="1"/>
      <w:marLeft w:val="0"/>
      <w:marRight w:val="0"/>
      <w:marTop w:val="0"/>
      <w:marBottom w:val="0"/>
      <w:divBdr>
        <w:top w:val="none" w:sz="0" w:space="0" w:color="auto"/>
        <w:left w:val="none" w:sz="0" w:space="0" w:color="auto"/>
        <w:bottom w:val="none" w:sz="0" w:space="0" w:color="auto"/>
        <w:right w:val="none" w:sz="0" w:space="0" w:color="auto"/>
      </w:divBdr>
      <w:divsChild>
        <w:div w:id="80299053">
          <w:marLeft w:val="835"/>
          <w:marRight w:val="0"/>
          <w:marTop w:val="0"/>
          <w:marBottom w:val="0"/>
          <w:divBdr>
            <w:top w:val="none" w:sz="0" w:space="0" w:color="auto"/>
            <w:left w:val="none" w:sz="0" w:space="0" w:color="auto"/>
            <w:bottom w:val="none" w:sz="0" w:space="0" w:color="auto"/>
            <w:right w:val="none" w:sz="0" w:space="0" w:color="auto"/>
          </w:divBdr>
        </w:div>
        <w:div w:id="832993266">
          <w:marLeft w:val="1411"/>
          <w:marRight w:val="0"/>
          <w:marTop w:val="0"/>
          <w:marBottom w:val="0"/>
          <w:divBdr>
            <w:top w:val="none" w:sz="0" w:space="0" w:color="auto"/>
            <w:left w:val="none" w:sz="0" w:space="0" w:color="auto"/>
            <w:bottom w:val="none" w:sz="0" w:space="0" w:color="auto"/>
            <w:right w:val="none" w:sz="0" w:space="0" w:color="auto"/>
          </w:divBdr>
        </w:div>
        <w:div w:id="711416820">
          <w:marLeft w:val="835"/>
          <w:marRight w:val="0"/>
          <w:marTop w:val="0"/>
          <w:marBottom w:val="0"/>
          <w:divBdr>
            <w:top w:val="none" w:sz="0" w:space="0" w:color="auto"/>
            <w:left w:val="none" w:sz="0" w:space="0" w:color="auto"/>
            <w:bottom w:val="none" w:sz="0" w:space="0" w:color="auto"/>
            <w:right w:val="none" w:sz="0" w:space="0" w:color="auto"/>
          </w:divBdr>
        </w:div>
      </w:divsChild>
    </w:div>
    <w:div w:id="1691956602">
      <w:bodyDiv w:val="1"/>
      <w:marLeft w:val="0"/>
      <w:marRight w:val="0"/>
      <w:marTop w:val="0"/>
      <w:marBottom w:val="0"/>
      <w:divBdr>
        <w:top w:val="none" w:sz="0" w:space="0" w:color="auto"/>
        <w:left w:val="none" w:sz="0" w:space="0" w:color="auto"/>
        <w:bottom w:val="none" w:sz="0" w:space="0" w:color="auto"/>
        <w:right w:val="none" w:sz="0" w:space="0" w:color="auto"/>
      </w:divBdr>
    </w:div>
    <w:div w:id="1805195064">
      <w:bodyDiv w:val="1"/>
      <w:marLeft w:val="0"/>
      <w:marRight w:val="0"/>
      <w:marTop w:val="0"/>
      <w:marBottom w:val="0"/>
      <w:divBdr>
        <w:top w:val="none" w:sz="0" w:space="0" w:color="auto"/>
        <w:left w:val="none" w:sz="0" w:space="0" w:color="auto"/>
        <w:bottom w:val="none" w:sz="0" w:space="0" w:color="auto"/>
        <w:right w:val="none" w:sz="0" w:space="0" w:color="auto"/>
      </w:divBdr>
      <w:divsChild>
        <w:div w:id="1940940877">
          <w:marLeft w:val="1411"/>
          <w:marRight w:val="0"/>
          <w:marTop w:val="0"/>
          <w:marBottom w:val="0"/>
          <w:divBdr>
            <w:top w:val="none" w:sz="0" w:space="0" w:color="auto"/>
            <w:left w:val="none" w:sz="0" w:space="0" w:color="auto"/>
            <w:bottom w:val="none" w:sz="0" w:space="0" w:color="auto"/>
            <w:right w:val="none" w:sz="0" w:space="0" w:color="auto"/>
          </w:divBdr>
        </w:div>
      </w:divsChild>
    </w:div>
    <w:div w:id="213073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5NUHHDQN7SK2-1-114900</_dlc_DocId>
    <TaxCatchAll xmlns="08b2df90-05d3-4030-90d4-c9feeb4a1cd9">
      <Value>10</Value>
      <Value>9</Value>
      <Value>8</Value>
      <Value>2</Value>
      <Value>1</Value>
    </TaxCatchAll>
    <_dlc_DocIdUrl xmlns="08b2df90-05d3-4030-90d4-c9feeb4a1cd9">
      <Url>https://ericoll.internal.ericsson.com/sites/STAR/_layouts/DocIdRedir.aspx?ID=5NUHHDQN7SK2-1-114900</Url>
      <Description>5NUHHDQN7SK2-1-114900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9438F-0C20-4DD8-9E81-77FD576DA16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98249435-468E-4142-87B8-E2D00A77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4B79C-2404-4A49-B14D-6B3F53D12B75}">
  <ds:schemaRefs>
    <ds:schemaRef ds:uri="Microsoft.SharePoint.Taxonomy.ContentTypeSync"/>
  </ds:schemaRefs>
</ds:datastoreItem>
</file>

<file path=customXml/itemProps4.xml><?xml version="1.0" encoding="utf-8"?>
<ds:datastoreItem xmlns:ds="http://schemas.openxmlformats.org/officeDocument/2006/customXml" ds:itemID="{83CA40B2-98C4-4CD2-9A67-357E72208B3B}">
  <ds:schemaRefs>
    <ds:schemaRef ds:uri="http://schemas.microsoft.com/sharepoint/events"/>
  </ds:schemaRefs>
</ds:datastoreItem>
</file>

<file path=customXml/itemProps5.xml><?xml version="1.0" encoding="utf-8"?>
<ds:datastoreItem xmlns:ds="http://schemas.openxmlformats.org/officeDocument/2006/customXml" ds:itemID="{7365A3CA-CD00-42E8-A350-6FF8CAF60466}">
  <ds:schemaRefs>
    <ds:schemaRef ds:uri="http://schemas.microsoft.com/sharepoint/v3/contenttype/forms"/>
  </ds:schemaRefs>
</ds:datastoreItem>
</file>

<file path=customXml/itemProps6.xml><?xml version="1.0" encoding="utf-8"?>
<ds:datastoreItem xmlns:ds="http://schemas.openxmlformats.org/officeDocument/2006/customXml" ds:itemID="{80EB5A7F-6786-4A73-8E73-46B1F466A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5</Pages>
  <Words>1401</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Sorour Falahati</cp:lastModifiedBy>
  <cp:revision>3</cp:revision>
  <cp:lastPrinted>2008-01-31T15:09:00Z</cp:lastPrinted>
  <dcterms:created xsi:type="dcterms:W3CDTF">2017-03-25T01:25:00Z</dcterms:created>
  <dcterms:modified xsi:type="dcterms:W3CDTF">2017-03-25T04:03:00Z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de7868c8-69ba-4599-8caa-0cb2be49acc0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