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273" w:rsidRPr="00CB7273" w:rsidRDefault="00CB7273" w:rsidP="00CB7273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CB7273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TSG RAN WG1#88 bis</w:t>
      </w:r>
      <w:r w:rsidRPr="00CB7273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CB7273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CB7273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CB7273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CB7273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  <w:t xml:space="preserve">          </w:t>
      </w:r>
      <w:r w:rsidRPr="00CB7273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  <w:t xml:space="preserve">                 </w:t>
      </w:r>
      <w:r w:rsidRPr="00CB7273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520794">
        <w:rPr>
          <w:rFonts w:ascii="Arial" w:eastAsia="SimSun" w:hAnsi="Arial" w:cs="Times New Roman"/>
          <w:b/>
          <w:bCs/>
          <w:sz w:val="24"/>
          <w:szCs w:val="20"/>
          <w:lang w:val="en-GB"/>
        </w:rPr>
        <w:t>R1-170</w:t>
      </w:r>
      <w:r w:rsidR="00520794" w:rsidRPr="00520794">
        <w:rPr>
          <w:rFonts w:ascii="Arial" w:eastAsia="SimSun" w:hAnsi="Arial" w:cs="Times New Roman"/>
          <w:b/>
          <w:bCs/>
          <w:sz w:val="24"/>
          <w:szCs w:val="20"/>
          <w:lang w:val="en-GB"/>
        </w:rPr>
        <w:t>5945</w:t>
      </w:r>
    </w:p>
    <w:p w:rsidR="00CB7273" w:rsidRPr="00CB7273" w:rsidRDefault="00CB7273" w:rsidP="00CB7273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CB7273">
        <w:rPr>
          <w:rFonts w:ascii="Arial" w:eastAsia="SimSun" w:hAnsi="Arial" w:cs="Times New Roman"/>
          <w:b/>
          <w:bCs/>
          <w:sz w:val="24"/>
          <w:szCs w:val="20"/>
          <w:lang w:val="en-GB"/>
        </w:rPr>
        <w:t>Spokane, WA, USA, 3rd - 7th April, 2017</w:t>
      </w:r>
    </w:p>
    <w:p w:rsidR="00CB7273" w:rsidRPr="00CB7273" w:rsidRDefault="00CB7273" w:rsidP="00CB7273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520794" w:rsidRDefault="00520794" w:rsidP="00520794">
      <w:pPr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550DEF">
        <w:rPr>
          <w:rFonts w:ascii="Arial" w:eastAsia="MS Mincho" w:hAnsi="Arial" w:cs="Arial"/>
          <w:b/>
          <w:bCs/>
          <w:sz w:val="24"/>
          <w:szCs w:val="20"/>
          <w:lang w:val="en-GB"/>
        </w:rPr>
        <w:t>8.1.9</w:t>
      </w:r>
    </w:p>
    <w:p w:rsidR="00520794" w:rsidRDefault="00CB7273" w:rsidP="00520794">
      <w:pPr>
        <w:spacing w:after="120" w:line="240" w:lineRule="auto"/>
        <w:rPr>
          <w:rFonts w:ascii="Arial" w:eastAsia="Calibri" w:hAnsi="Arial" w:cs="Arial"/>
          <w:b/>
          <w:bCs/>
          <w:sz w:val="24"/>
          <w:lang w:val="en-GB"/>
        </w:rPr>
      </w:pPr>
      <w:r w:rsidRPr="00CB7273">
        <w:rPr>
          <w:rFonts w:ascii="Arial" w:eastAsia="Calibri" w:hAnsi="Arial" w:cs="Arial"/>
          <w:b/>
          <w:bCs/>
          <w:sz w:val="24"/>
          <w:lang w:val="en-GB"/>
        </w:rPr>
        <w:t>Source:</w:t>
      </w:r>
      <w:bookmarkStart w:id="0" w:name="OLE_LINK1"/>
      <w:bookmarkStart w:id="1" w:name="OLE_LINK2"/>
      <w:r w:rsidR="00520794">
        <w:rPr>
          <w:rFonts w:ascii="Arial" w:eastAsia="Calibri" w:hAnsi="Arial" w:cs="Arial"/>
          <w:b/>
          <w:bCs/>
          <w:sz w:val="24"/>
          <w:lang w:val="en-GB"/>
        </w:rPr>
        <w:tab/>
      </w:r>
      <w:r w:rsidR="00520794">
        <w:rPr>
          <w:rFonts w:ascii="Arial" w:eastAsia="Calibri" w:hAnsi="Arial" w:cs="Arial"/>
          <w:b/>
          <w:bCs/>
          <w:sz w:val="24"/>
          <w:lang w:val="en-GB"/>
        </w:rPr>
        <w:tab/>
      </w:r>
      <w:r w:rsidRPr="00CB7273">
        <w:rPr>
          <w:rFonts w:ascii="Arial" w:eastAsia="Calibri" w:hAnsi="Arial" w:cs="Arial"/>
          <w:b/>
          <w:bCs/>
          <w:sz w:val="24"/>
          <w:lang w:val="en-GB"/>
        </w:rPr>
        <w:t>Nokia</w:t>
      </w:r>
      <w:bookmarkEnd w:id="0"/>
      <w:bookmarkEnd w:id="1"/>
      <w:r w:rsidRPr="00CB7273">
        <w:rPr>
          <w:rFonts w:ascii="Arial" w:eastAsia="Calibri" w:hAnsi="Arial" w:cs="Arial"/>
          <w:b/>
          <w:bCs/>
          <w:sz w:val="24"/>
          <w:lang w:val="en-GB"/>
        </w:rPr>
        <w:t xml:space="preserve">, Alcatel-Lucent Shanghai Bell </w:t>
      </w:r>
    </w:p>
    <w:p w:rsidR="00CB7273" w:rsidRPr="00CB7273" w:rsidRDefault="00CB7273" w:rsidP="00520794">
      <w:pPr>
        <w:spacing w:after="120" w:line="240" w:lineRule="auto"/>
        <w:rPr>
          <w:rFonts w:ascii="Arial" w:eastAsia="Calibri" w:hAnsi="Arial" w:cs="Arial"/>
          <w:b/>
          <w:bCs/>
          <w:sz w:val="24"/>
          <w:lang w:val="en-GB"/>
        </w:rPr>
      </w:pPr>
      <w:r w:rsidRPr="00CB7273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CB7273">
        <w:rPr>
          <w:rFonts w:ascii="Arial" w:eastAsia="Calibri" w:hAnsi="Arial" w:cs="Arial"/>
          <w:b/>
          <w:bCs/>
          <w:sz w:val="24"/>
          <w:lang w:val="en-GB"/>
        </w:rPr>
        <w:tab/>
      </w:r>
      <w:r w:rsidR="00520794">
        <w:rPr>
          <w:rFonts w:ascii="Arial" w:eastAsia="Calibri" w:hAnsi="Arial" w:cs="Arial"/>
          <w:b/>
          <w:bCs/>
          <w:sz w:val="24"/>
          <w:lang w:val="en-GB"/>
        </w:rPr>
        <w:tab/>
      </w:r>
      <w:r w:rsidR="00520794">
        <w:rPr>
          <w:rFonts w:ascii="Arial" w:eastAsia="Calibri" w:hAnsi="Arial" w:cs="Arial"/>
          <w:b/>
          <w:bCs/>
          <w:sz w:val="24"/>
          <w:lang w:val="en-GB"/>
        </w:rPr>
        <w:tab/>
      </w:r>
      <w:r w:rsidRPr="00CB7273">
        <w:rPr>
          <w:rFonts w:ascii="Arial" w:eastAsia="Calibri" w:hAnsi="Arial" w:cs="Arial"/>
          <w:b/>
          <w:bCs/>
          <w:sz w:val="24"/>
          <w:lang w:val="en-GB"/>
        </w:rPr>
        <w:t>Investigation of mobility model A</w:t>
      </w:r>
    </w:p>
    <w:p w:rsidR="00CB7273" w:rsidRDefault="00CB7273" w:rsidP="00CB7273">
      <w:pPr>
        <w:rPr>
          <w:rFonts w:ascii="Arial" w:eastAsia="Calibri" w:hAnsi="Arial" w:cs="Arial"/>
          <w:b/>
          <w:bCs/>
          <w:sz w:val="24"/>
          <w:lang w:val="en-GB"/>
        </w:rPr>
      </w:pPr>
      <w:r w:rsidRPr="00CB7273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CB7273">
        <w:rPr>
          <w:rFonts w:ascii="Arial" w:eastAsia="Calibri" w:hAnsi="Arial" w:cs="Arial"/>
          <w:b/>
          <w:bCs/>
          <w:sz w:val="24"/>
          <w:lang w:val="en-GB"/>
        </w:rPr>
        <w:tab/>
        <w:t>Discussion and Decision</w:t>
      </w:r>
    </w:p>
    <w:p w:rsidR="00520794" w:rsidRPr="00CB7273" w:rsidRDefault="00520794" w:rsidP="00CB7273">
      <w:pPr>
        <w:rPr>
          <w:rFonts w:ascii="Arial" w:eastAsia="Calibri" w:hAnsi="Arial" w:cs="Arial"/>
          <w:b/>
          <w:bCs/>
          <w:sz w:val="24"/>
          <w:lang w:val="en-GB"/>
        </w:rPr>
      </w:pPr>
    </w:p>
    <w:p w:rsidR="00CB7273" w:rsidRPr="00CB7273" w:rsidRDefault="00CB7273" w:rsidP="0022695C">
      <w:pPr>
        <w:pStyle w:val="Heading1"/>
        <w:rPr>
          <w:rFonts w:eastAsia="SimSun"/>
        </w:rPr>
      </w:pPr>
      <w:r w:rsidRPr="00CB7273">
        <w:rPr>
          <w:rFonts w:eastAsia="SimSun"/>
        </w:rPr>
        <w:t>Introduction</w:t>
      </w:r>
    </w:p>
    <w:p w:rsidR="0022695C" w:rsidRDefault="0022695C">
      <w:r>
        <w:t>Continuous evolution of the channel is essential in mobility simulations. For that purpose, spatial consistency is defined in TR38.901</w:t>
      </w:r>
      <w:r w:rsidR="00DF3FBB">
        <w:t xml:space="preserve"> </w:t>
      </w:r>
      <w:r w:rsidR="00DF3FBB">
        <w:fldChar w:fldCharType="begin"/>
      </w:r>
      <w:r w:rsidR="00DF3FBB">
        <w:instrText xml:space="preserve"> REF _Ref478105696 \n \h </w:instrText>
      </w:r>
      <w:r w:rsidR="00DF3FBB">
        <w:fldChar w:fldCharType="separate"/>
      </w:r>
      <w:r w:rsidR="00DF3FBB">
        <w:t>[1]</w:t>
      </w:r>
      <w:r w:rsidR="00DF3FBB">
        <w:fldChar w:fldCharType="end"/>
      </w:r>
      <w:r>
        <w:t>. There are two alternative solutions, Procedure A and Proced</w:t>
      </w:r>
      <w:r w:rsidR="00247ACE">
        <w:t>ure B. As was pointed out in</w:t>
      </w:r>
      <w:r w:rsidR="00DF3FBB">
        <w:t xml:space="preserve"> </w:t>
      </w:r>
      <w:r w:rsidR="00DF3FBB">
        <w:fldChar w:fldCharType="begin"/>
      </w:r>
      <w:r w:rsidR="00DF3FBB">
        <w:instrText xml:space="preserve"> REF _Ref478105726 \n \h </w:instrText>
      </w:r>
      <w:r w:rsidR="00DF3FBB">
        <w:fldChar w:fldCharType="separate"/>
      </w:r>
      <w:r w:rsidR="00DF3FBB">
        <w:t>[2]</w:t>
      </w:r>
      <w:r w:rsidR="00DF3FBB">
        <w:fldChar w:fldCharType="end"/>
      </w:r>
      <w:r w:rsidR="00175C0D">
        <w:t>, the s</w:t>
      </w:r>
      <w:r>
        <w:t>patial consistency procedure A has some problems. In RAN1#88 companies were encouraged to investigate this behavior</w:t>
      </w:r>
      <w:r w:rsidR="001F68D1">
        <w:t xml:space="preserve"> </w:t>
      </w:r>
      <w:r w:rsidR="001F68D1">
        <w:fldChar w:fldCharType="begin"/>
      </w:r>
      <w:r w:rsidR="001F68D1">
        <w:instrText xml:space="preserve"> REF _Ref478105883 \n \h </w:instrText>
      </w:r>
      <w:r w:rsidR="001F68D1">
        <w:fldChar w:fldCharType="separate"/>
      </w:r>
      <w:r w:rsidR="001F68D1">
        <w:t>[3]</w:t>
      </w:r>
      <w:r w:rsidR="001F68D1">
        <w:fldChar w:fldCharType="end"/>
      </w:r>
      <w:r>
        <w:t>.</w:t>
      </w:r>
    </w:p>
    <w:p w:rsidR="00DC533E" w:rsidRDefault="00DC533E" w:rsidP="0022695C">
      <w:pPr>
        <w:pStyle w:val="Heading1"/>
      </w:pPr>
      <w:r>
        <w:t>Analysis</w:t>
      </w:r>
    </w:p>
    <w:p w:rsidR="00DC533E" w:rsidRDefault="00DF3FBB">
      <w:r>
        <w:t xml:space="preserve">In </w:t>
      </w:r>
      <w:r w:rsidR="001F68D1">
        <w:t>spatial consistency procedure A the behavior of clusters is defined b</w:t>
      </w:r>
      <w:r w:rsidR="00175C0D">
        <w:t>y equations like this (O</w:t>
      </w:r>
      <w:r w:rsidR="001F68D1">
        <w:t xml:space="preserve">nly </w:t>
      </w:r>
      <w:r w:rsidR="001024BD">
        <w:t xml:space="preserve">Eq. </w:t>
      </w:r>
      <w:r w:rsidR="001024BD" w:rsidRPr="001024BD">
        <w:t>(7.6-11)</w:t>
      </w:r>
      <w:r w:rsidR="001024BD">
        <w:t xml:space="preserve"> </w:t>
      </w:r>
      <w:r w:rsidR="001D54E4">
        <w:t xml:space="preserve">in </w:t>
      </w:r>
      <w:r w:rsidR="001D54E4">
        <w:fldChar w:fldCharType="begin"/>
      </w:r>
      <w:r w:rsidR="001D54E4">
        <w:instrText xml:space="preserve"> REF _Ref478105696 \n \h </w:instrText>
      </w:r>
      <w:r w:rsidR="001D54E4">
        <w:fldChar w:fldCharType="separate"/>
      </w:r>
      <w:r w:rsidR="001D54E4">
        <w:t>[1]</w:t>
      </w:r>
      <w:r w:rsidR="001D54E4">
        <w:fldChar w:fldCharType="end"/>
      </w:r>
      <w:r w:rsidR="001D54E4">
        <w:t xml:space="preserve"> </w:t>
      </w:r>
      <w:r w:rsidR="001024BD">
        <w:t xml:space="preserve">for </w:t>
      </w:r>
      <w:r w:rsidR="001F68D1">
        <w:t xml:space="preserve">AoD </w:t>
      </w:r>
      <w:r w:rsidR="00175C0D">
        <w:t>is presented here</w:t>
      </w:r>
      <w:r w:rsidR="001F68D1">
        <w:t xml:space="preserve"> as an example, similar equations exist</w:t>
      </w:r>
      <w:r w:rsidR="00175C0D">
        <w:t xml:space="preserve"> also</w:t>
      </w:r>
      <w:r w:rsidR="001F68D1">
        <w:t xml:space="preserve"> for AoA, ZoA and ZoD</w:t>
      </w:r>
      <w:r w:rsidR="001D54E4">
        <w:t xml:space="preserve"> </w:t>
      </w:r>
      <w:r w:rsidR="001F68D1">
        <w:t>):</w:t>
      </w:r>
    </w:p>
    <w:p w:rsidR="00E43052" w:rsidRDefault="00E43052"/>
    <w:p w:rsidR="001F68D1" w:rsidRDefault="001F68D1" w:rsidP="001024BD">
      <w:pPr>
        <w:jc w:val="center"/>
        <w:rPr>
          <w:rFonts w:ascii="Times New Roman" w:eastAsia="Malgun Gothic" w:hAnsi="Times New Roman" w:cs="Times New Roman"/>
          <w:sz w:val="20"/>
          <w:szCs w:val="20"/>
          <w:lang w:val="en-GB" w:eastAsia="zh-CN"/>
        </w:rPr>
      </w:pPr>
      <w:r w:rsidRPr="001F68D1">
        <w:rPr>
          <w:rFonts w:ascii="Times New Roman" w:eastAsia="Malgun Gothic" w:hAnsi="Times New Roman" w:cs="Times New Roman"/>
          <w:position w:val="-30"/>
          <w:sz w:val="20"/>
          <w:szCs w:val="20"/>
          <w:lang w:val="en-GB" w:eastAsia="zh-CN"/>
        </w:rPr>
        <w:object w:dxaOrig="6039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1.5pt;height:35.25pt" o:ole="">
            <v:imagedata r:id="rId6" o:title=""/>
          </v:shape>
          <o:OLEObject Type="Embed" ProgID="Equation.3" ShapeID="_x0000_i1025" DrawAspect="Content" ObjectID="_1551902291" r:id="rId7"/>
        </w:object>
      </w:r>
    </w:p>
    <w:p w:rsidR="00E43052" w:rsidRDefault="00E43052" w:rsidP="001024BD">
      <w:pPr>
        <w:jc w:val="center"/>
      </w:pPr>
    </w:p>
    <w:p w:rsidR="00947960" w:rsidRDefault="00947960">
      <w:r>
        <w:t xml:space="preserve">To make it simple, it says: </w:t>
      </w:r>
      <w:r w:rsidRPr="00947960">
        <w:t xml:space="preserve">Change of angle = v * t * </w:t>
      </w:r>
      <w:r w:rsidR="000649F8">
        <w:t>sin</w:t>
      </w:r>
      <w:r w:rsidR="000649F8" w:rsidRPr="00947960">
        <w:t>(</w:t>
      </w:r>
      <w:r w:rsidRPr="00947960">
        <w:t>constant + variable) * constant</w:t>
      </w:r>
      <w:r>
        <w:t>.</w:t>
      </w:r>
    </w:p>
    <w:p w:rsidR="000649F8" w:rsidRDefault="000649F8">
      <w:r w:rsidRPr="00277D0F">
        <w:rPr>
          <w:position w:val="-14"/>
        </w:rPr>
        <w:object w:dxaOrig="620" w:dyaOrig="380">
          <v:shape id="_x0000_i1026" type="#_x0000_t75" style="width:30.75pt;height:18.75pt" o:ole="">
            <v:imagedata r:id="rId8" o:title=""/>
          </v:shape>
          <o:OLEObject Type="Embed" ProgID="Equation.3" ShapeID="_x0000_i1026" DrawAspect="Content" ObjectID="_1551902292" r:id="rId9"/>
        </w:object>
      </w:r>
      <w:r>
        <w:t xml:space="preserve"> is the </w:t>
      </w:r>
      <w:r w:rsidRPr="000649F8">
        <w:t>cluster specific reflection surface angle</w:t>
      </w:r>
      <w:r>
        <w:t xml:space="preserve">, which depends on location. Because the sine function is multiplied with coefficient </w:t>
      </w:r>
      <m:oMath>
        <m:r>
          <w:rPr>
            <w:rFonts w:ascii="Cambria Math" w:hAnsi="Cambria Math"/>
          </w:rPr>
          <m:t>vt</m:t>
        </m:r>
      </m:oMath>
      <w:r>
        <w:t>, this equation creates periodic oscillations for the cluster angles, and the ampl</w:t>
      </w:r>
      <w:r w:rsidR="001D54E4">
        <w:t>itude of those oscillations</w:t>
      </w:r>
      <w:r>
        <w:t xml:space="preserve"> increase</w:t>
      </w:r>
      <w:r w:rsidR="001D54E4">
        <w:t>s</w:t>
      </w:r>
      <w:r>
        <w:t xml:space="preserve"> with time. The behavior is plo</w:t>
      </w:r>
      <w:r w:rsidR="00531097">
        <w:t>tted in Figure 1</w:t>
      </w:r>
      <w:r>
        <w:t>.</w:t>
      </w:r>
    </w:p>
    <w:p w:rsidR="00531097" w:rsidRDefault="00531097"/>
    <w:p w:rsidR="00531097" w:rsidRDefault="00FB1481" w:rsidP="00531097">
      <w:pPr>
        <w:keepNext/>
      </w:pPr>
      <w:r>
        <w:rPr>
          <w:noProof/>
        </w:rPr>
        <w:lastRenderedPageBreak/>
        <w:drawing>
          <wp:inline distT="0" distB="0" distL="0" distR="0">
            <wp:extent cx="4221858" cy="3171825"/>
            <wp:effectExtent l="0" t="0" r="762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rocA1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6980" cy="3175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1097" w:rsidRPr="00531097" w:rsidRDefault="00531097" w:rsidP="00531097">
      <w:pPr>
        <w:pStyle w:val="Caption"/>
        <w:rPr>
          <w:b/>
          <w:i w:val="0"/>
          <w:sz w:val="20"/>
          <w:szCs w:val="20"/>
        </w:rPr>
      </w:pPr>
      <w:r w:rsidRPr="00531097">
        <w:rPr>
          <w:b/>
          <w:i w:val="0"/>
          <w:sz w:val="20"/>
          <w:szCs w:val="20"/>
        </w:rPr>
        <w:t xml:space="preserve">Figure </w:t>
      </w:r>
      <w:r w:rsidRPr="00531097">
        <w:rPr>
          <w:b/>
          <w:i w:val="0"/>
          <w:sz w:val="20"/>
          <w:szCs w:val="20"/>
        </w:rPr>
        <w:fldChar w:fldCharType="begin"/>
      </w:r>
      <w:r w:rsidRPr="00531097">
        <w:rPr>
          <w:b/>
          <w:i w:val="0"/>
          <w:sz w:val="20"/>
          <w:szCs w:val="20"/>
        </w:rPr>
        <w:instrText xml:space="preserve"> SEQ Figure \* ARABIC </w:instrText>
      </w:r>
      <w:r w:rsidRPr="00531097">
        <w:rPr>
          <w:b/>
          <w:i w:val="0"/>
          <w:sz w:val="20"/>
          <w:szCs w:val="20"/>
        </w:rPr>
        <w:fldChar w:fldCharType="separate"/>
      </w:r>
      <w:r w:rsidRPr="00531097">
        <w:rPr>
          <w:b/>
          <w:i w:val="0"/>
          <w:noProof/>
          <w:sz w:val="20"/>
          <w:szCs w:val="20"/>
        </w:rPr>
        <w:t>1</w:t>
      </w:r>
      <w:r w:rsidRPr="00531097">
        <w:rPr>
          <w:b/>
          <w:i w:val="0"/>
          <w:sz w:val="20"/>
          <w:szCs w:val="20"/>
        </w:rPr>
        <w:fldChar w:fldCharType="end"/>
      </w:r>
      <w:r>
        <w:rPr>
          <w:b/>
          <w:i w:val="0"/>
          <w:sz w:val="20"/>
          <w:szCs w:val="20"/>
        </w:rPr>
        <w:t xml:space="preserve"> </w:t>
      </w:r>
      <w:r w:rsidR="00C948F5">
        <w:rPr>
          <w:b/>
          <w:i w:val="0"/>
          <w:sz w:val="20"/>
          <w:szCs w:val="20"/>
        </w:rPr>
        <w:t>Example of how the clusters’ angles vary as a function of the travelled distance.</w:t>
      </w:r>
      <w:r>
        <w:rPr>
          <w:b/>
          <w:i w:val="0"/>
          <w:sz w:val="20"/>
          <w:szCs w:val="20"/>
        </w:rPr>
        <w:t xml:space="preserve"> </w:t>
      </w:r>
    </w:p>
    <w:p w:rsidR="000649F8" w:rsidRDefault="000649F8"/>
    <w:p w:rsidR="00A7320D" w:rsidRDefault="00FB1481">
      <w:r>
        <w:t xml:space="preserve">As seen, the angles </w:t>
      </w:r>
      <w:r w:rsidR="006D3CD7">
        <w:t xml:space="preserve">of the clusters start to vary more and more rapidly when the distance increases. </w:t>
      </w:r>
      <w:r w:rsidR="001D54E4">
        <w:t>This is also obvious when looking at the above equation. From Figure 1 it looks like</w:t>
      </w:r>
      <w:r w:rsidR="006D3CD7">
        <w:t xml:space="preserve"> the model could still be used for the distances of a few meters. </w:t>
      </w:r>
    </w:p>
    <w:p w:rsidR="000649F8" w:rsidRDefault="000649F8">
      <w:r>
        <w:t xml:space="preserve">Similar behavior was also seen in </w:t>
      </w:r>
      <w:r>
        <w:fldChar w:fldCharType="begin"/>
      </w:r>
      <w:r>
        <w:instrText xml:space="preserve"> REF _Ref478105726 \n \h </w:instrText>
      </w:r>
      <w:r>
        <w:fldChar w:fldCharType="separate"/>
      </w:r>
      <w:r>
        <w:t>[2]</w:t>
      </w:r>
      <w:r>
        <w:fldChar w:fldCharType="end"/>
      </w:r>
      <w:r>
        <w:t xml:space="preserve">. It was proposed in </w:t>
      </w:r>
      <w:r>
        <w:fldChar w:fldCharType="begin"/>
      </w:r>
      <w:r>
        <w:instrText xml:space="preserve"> REF _Ref478107137 \n \h </w:instrText>
      </w:r>
      <w:r>
        <w:fldChar w:fldCharType="separate"/>
      </w:r>
      <w:r>
        <w:t>[4]</w:t>
      </w:r>
      <w:r>
        <w:fldChar w:fldCharType="end"/>
      </w:r>
      <w:r>
        <w:t xml:space="preserve"> to limit the use of spatial consistency procedure A to distances of only 1m. However, for such small distances no real movement of the clusters is even needed, but clusters could have static angles </w:t>
      </w:r>
      <w:r w:rsidR="00520794">
        <w:t xml:space="preserve">and delays </w:t>
      </w:r>
      <w:r>
        <w:t>as well. On the other hand, spatial consistency procedure B seems to be working well</w:t>
      </w:r>
      <w:r w:rsidR="005B40C1">
        <w:t xml:space="preserve"> also in dynamic simulations. </w:t>
      </w:r>
      <w:r w:rsidR="006D3CD7">
        <w:t>T</w:t>
      </w:r>
      <w:r w:rsidR="00DD1E11">
        <w:t>hus,</w:t>
      </w:r>
      <w:r>
        <w:t xml:space="preserve"> the use of spatial consistency procedure A is very limited</w:t>
      </w:r>
      <w:r w:rsidR="005B40C1">
        <w:t>, and it seems to be creating only confusion, because of the unphysical behavior of the channel.</w:t>
      </w:r>
      <w:r w:rsidR="00D8538D">
        <w:t xml:space="preserve"> Removing it would make the TR38.901 more usable. </w:t>
      </w:r>
    </w:p>
    <w:p w:rsidR="005B40C1" w:rsidRDefault="005B40C1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7937"/>
      </w:tblGrid>
      <w:tr w:rsidR="005B40C1" w:rsidTr="00175133">
        <w:tc>
          <w:tcPr>
            <w:tcW w:w="1413" w:type="dxa"/>
          </w:tcPr>
          <w:p w:rsidR="005B40C1" w:rsidRDefault="005B40C1" w:rsidP="00175133">
            <w:pPr>
              <w:rPr>
                <w:b/>
              </w:rPr>
            </w:pPr>
            <w:r w:rsidRPr="008F6164">
              <w:rPr>
                <w:b/>
              </w:rPr>
              <w:t>Observation</w:t>
            </w:r>
          </w:p>
        </w:tc>
        <w:tc>
          <w:tcPr>
            <w:tcW w:w="7937" w:type="dxa"/>
          </w:tcPr>
          <w:p w:rsidR="005B40C1" w:rsidRDefault="00A7320D" w:rsidP="00175133">
            <w:pPr>
              <w:rPr>
                <w:b/>
              </w:rPr>
            </w:pPr>
            <w:r>
              <w:rPr>
                <w:b/>
              </w:rPr>
              <w:t>The behavior of spatial consistency p</w:t>
            </w:r>
            <w:r w:rsidR="005B40C1" w:rsidRPr="005B40C1">
              <w:rPr>
                <w:b/>
              </w:rPr>
              <w:t xml:space="preserve">rocedure A is unstable and the model becomes </w:t>
            </w:r>
            <w:r w:rsidR="00550DEF">
              <w:rPr>
                <w:b/>
              </w:rPr>
              <w:t>inaccurate</w:t>
            </w:r>
            <w:r w:rsidR="00550DEF" w:rsidRPr="005B40C1">
              <w:rPr>
                <w:b/>
              </w:rPr>
              <w:t xml:space="preserve"> </w:t>
            </w:r>
            <w:r w:rsidR="005B40C1" w:rsidRPr="005B40C1">
              <w:rPr>
                <w:b/>
              </w:rPr>
              <w:t xml:space="preserve">after moving a few meters. Since for mobility of few meters the dynamic behavior of the channel is not needed, there is </w:t>
            </w:r>
            <w:r w:rsidR="00550DEF">
              <w:rPr>
                <w:b/>
              </w:rPr>
              <w:t>very limited</w:t>
            </w:r>
            <w:r w:rsidR="00550DEF" w:rsidRPr="005B40C1">
              <w:rPr>
                <w:b/>
              </w:rPr>
              <w:t xml:space="preserve"> </w:t>
            </w:r>
            <w:r w:rsidR="005B40C1" w:rsidRPr="005B40C1">
              <w:rPr>
                <w:b/>
              </w:rPr>
              <w:t>use for Procedure A.</w:t>
            </w:r>
          </w:p>
        </w:tc>
      </w:tr>
    </w:tbl>
    <w:p w:rsidR="0022695C" w:rsidRDefault="0022695C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7937"/>
      </w:tblGrid>
      <w:tr w:rsidR="00DD1E11" w:rsidTr="00175133">
        <w:tc>
          <w:tcPr>
            <w:tcW w:w="1413" w:type="dxa"/>
          </w:tcPr>
          <w:p w:rsidR="00DD1E11" w:rsidRPr="00DD1E11" w:rsidRDefault="00DD1E11" w:rsidP="00DD1E11">
            <w:pPr>
              <w:rPr>
                <w:b/>
              </w:rPr>
            </w:pPr>
            <w:r w:rsidRPr="00DD1E11">
              <w:rPr>
                <w:b/>
              </w:rPr>
              <w:t>Proposal</w:t>
            </w:r>
            <w:bookmarkStart w:id="2" w:name="_GoBack"/>
            <w:bookmarkEnd w:id="2"/>
          </w:p>
          <w:p w:rsidR="00DD1E11" w:rsidRDefault="00DD1E11" w:rsidP="00175133">
            <w:pPr>
              <w:rPr>
                <w:b/>
              </w:rPr>
            </w:pPr>
          </w:p>
        </w:tc>
        <w:tc>
          <w:tcPr>
            <w:tcW w:w="7937" w:type="dxa"/>
          </w:tcPr>
          <w:p w:rsidR="00DD1E11" w:rsidRDefault="00A7320D" w:rsidP="00175133">
            <w:pPr>
              <w:rPr>
                <w:b/>
              </w:rPr>
            </w:pPr>
            <w:r>
              <w:rPr>
                <w:b/>
              </w:rPr>
              <w:t xml:space="preserve">Remove spatial consistency procedure A from TR38.901. </w:t>
            </w:r>
          </w:p>
        </w:tc>
      </w:tr>
      <w:tr w:rsidR="00044730" w:rsidTr="00175133">
        <w:tc>
          <w:tcPr>
            <w:tcW w:w="1413" w:type="dxa"/>
          </w:tcPr>
          <w:p w:rsidR="00044730" w:rsidRDefault="00044730" w:rsidP="00520794">
            <w:pPr>
              <w:rPr>
                <w:b/>
              </w:rPr>
            </w:pPr>
          </w:p>
        </w:tc>
        <w:tc>
          <w:tcPr>
            <w:tcW w:w="7937" w:type="dxa"/>
          </w:tcPr>
          <w:p w:rsidR="00EA7EB4" w:rsidRDefault="00EA7EB4" w:rsidP="00175133">
            <w:pPr>
              <w:rPr>
                <w:b/>
              </w:rPr>
            </w:pPr>
          </w:p>
          <w:p w:rsidR="006D3CD7" w:rsidRDefault="006D3CD7" w:rsidP="00175133">
            <w:pPr>
              <w:rPr>
                <w:b/>
              </w:rPr>
            </w:pPr>
          </w:p>
        </w:tc>
      </w:tr>
    </w:tbl>
    <w:p w:rsidR="0022695C" w:rsidRDefault="0022695C" w:rsidP="0022695C">
      <w:pPr>
        <w:pStyle w:val="Heading1"/>
      </w:pPr>
      <w:r>
        <w:lastRenderedPageBreak/>
        <w:t>Conclusions</w:t>
      </w:r>
    </w:p>
    <w:p w:rsidR="00247ACE" w:rsidRDefault="00EA7EB4" w:rsidP="00247ACE">
      <w:pPr>
        <w:rPr>
          <w:lang w:val="en-GB" w:eastAsia="zh-CN"/>
        </w:rPr>
      </w:pPr>
      <w:r>
        <w:rPr>
          <w:lang w:val="en-GB" w:eastAsia="zh-CN"/>
        </w:rPr>
        <w:t>The spatial consistency procedure A shows unrealistic behaviour, and the use of it should be restricted to only very</w:t>
      </w:r>
      <w:r w:rsidR="00534424">
        <w:rPr>
          <w:lang w:val="en-GB" w:eastAsia="zh-CN"/>
        </w:rPr>
        <w:t xml:space="preserve"> short distances, in the order of 1m. However, for such short distances a spatial consistency model is not even needed, but the clusters’ angles and delays can be assumed constant. </w:t>
      </w:r>
    </w:p>
    <w:p w:rsidR="006574B8" w:rsidRDefault="006574B8" w:rsidP="00247ACE">
      <w:pPr>
        <w:rPr>
          <w:lang w:val="en-GB"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7937"/>
      </w:tblGrid>
      <w:tr w:rsidR="00A7320D" w:rsidTr="00175133">
        <w:tc>
          <w:tcPr>
            <w:tcW w:w="1413" w:type="dxa"/>
          </w:tcPr>
          <w:p w:rsidR="00A7320D" w:rsidRDefault="00A7320D" w:rsidP="00175133">
            <w:pPr>
              <w:rPr>
                <w:b/>
              </w:rPr>
            </w:pPr>
            <w:r w:rsidRPr="008F6164">
              <w:rPr>
                <w:b/>
              </w:rPr>
              <w:t>Observation</w:t>
            </w:r>
          </w:p>
        </w:tc>
        <w:tc>
          <w:tcPr>
            <w:tcW w:w="7937" w:type="dxa"/>
          </w:tcPr>
          <w:p w:rsidR="00A7320D" w:rsidRDefault="00A7320D" w:rsidP="00175133">
            <w:pPr>
              <w:rPr>
                <w:b/>
              </w:rPr>
            </w:pPr>
            <w:r>
              <w:rPr>
                <w:b/>
              </w:rPr>
              <w:t>The behavior of spatial consistency p</w:t>
            </w:r>
            <w:r w:rsidRPr="005B40C1">
              <w:rPr>
                <w:b/>
              </w:rPr>
              <w:t xml:space="preserve">rocedure A is unstable and the model becomes </w:t>
            </w:r>
            <w:r w:rsidR="00550DEF">
              <w:rPr>
                <w:b/>
              </w:rPr>
              <w:t>inaccurate</w:t>
            </w:r>
            <w:r w:rsidR="00550DEF" w:rsidRPr="005B40C1">
              <w:rPr>
                <w:b/>
              </w:rPr>
              <w:t xml:space="preserve"> </w:t>
            </w:r>
            <w:r w:rsidRPr="005B40C1">
              <w:rPr>
                <w:b/>
              </w:rPr>
              <w:t xml:space="preserve">after moving a few meters. Since for mobility of few meters the dynamic behavior of the channel is not needed, there is </w:t>
            </w:r>
            <w:r w:rsidR="00550DEF">
              <w:rPr>
                <w:b/>
              </w:rPr>
              <w:t>very limited</w:t>
            </w:r>
            <w:r w:rsidR="00550DEF" w:rsidRPr="005B40C1">
              <w:rPr>
                <w:b/>
              </w:rPr>
              <w:t xml:space="preserve"> </w:t>
            </w:r>
            <w:r w:rsidRPr="005B40C1">
              <w:rPr>
                <w:b/>
              </w:rPr>
              <w:t>use for Procedure A.</w:t>
            </w:r>
          </w:p>
        </w:tc>
      </w:tr>
    </w:tbl>
    <w:p w:rsidR="00A7320D" w:rsidRDefault="00A7320D" w:rsidP="00A7320D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7937"/>
      </w:tblGrid>
      <w:tr w:rsidR="00A7320D" w:rsidTr="00175133">
        <w:tc>
          <w:tcPr>
            <w:tcW w:w="1413" w:type="dxa"/>
          </w:tcPr>
          <w:p w:rsidR="00A7320D" w:rsidRPr="00DD1E11" w:rsidRDefault="00A7320D" w:rsidP="00175133">
            <w:pPr>
              <w:rPr>
                <w:b/>
              </w:rPr>
            </w:pPr>
            <w:r w:rsidRPr="00DD1E11">
              <w:rPr>
                <w:b/>
              </w:rPr>
              <w:t>Proposal</w:t>
            </w:r>
          </w:p>
          <w:p w:rsidR="00A7320D" w:rsidRDefault="00A7320D" w:rsidP="00175133">
            <w:pPr>
              <w:rPr>
                <w:b/>
              </w:rPr>
            </w:pPr>
          </w:p>
        </w:tc>
        <w:tc>
          <w:tcPr>
            <w:tcW w:w="7937" w:type="dxa"/>
          </w:tcPr>
          <w:p w:rsidR="00A7320D" w:rsidRDefault="00A7320D" w:rsidP="00175133">
            <w:pPr>
              <w:rPr>
                <w:b/>
              </w:rPr>
            </w:pPr>
            <w:r>
              <w:rPr>
                <w:b/>
              </w:rPr>
              <w:t xml:space="preserve">Remove spatial consistency procedure A from TR38.901. </w:t>
            </w:r>
          </w:p>
          <w:p w:rsidR="00520794" w:rsidRDefault="00520794" w:rsidP="00175133">
            <w:pPr>
              <w:rPr>
                <w:b/>
              </w:rPr>
            </w:pPr>
          </w:p>
        </w:tc>
      </w:tr>
      <w:tr w:rsidR="00520794" w:rsidTr="00175133">
        <w:tc>
          <w:tcPr>
            <w:tcW w:w="1413" w:type="dxa"/>
          </w:tcPr>
          <w:p w:rsidR="00520794" w:rsidRPr="00DD1E11" w:rsidRDefault="00520794" w:rsidP="00175133">
            <w:pPr>
              <w:rPr>
                <w:b/>
              </w:rPr>
            </w:pPr>
          </w:p>
        </w:tc>
        <w:tc>
          <w:tcPr>
            <w:tcW w:w="7937" w:type="dxa"/>
          </w:tcPr>
          <w:p w:rsidR="00520794" w:rsidRDefault="00520794" w:rsidP="00175133">
            <w:pPr>
              <w:rPr>
                <w:b/>
              </w:rPr>
            </w:pPr>
          </w:p>
        </w:tc>
      </w:tr>
    </w:tbl>
    <w:p w:rsidR="00247ACE" w:rsidRDefault="00247ACE" w:rsidP="00247ACE">
      <w:pPr>
        <w:pStyle w:val="Heading1"/>
      </w:pPr>
      <w:r>
        <w:t>References</w:t>
      </w:r>
    </w:p>
    <w:p w:rsidR="00DF3FBB" w:rsidRDefault="00DF3FBB" w:rsidP="00DF3FBB">
      <w:pPr>
        <w:pStyle w:val="Reference"/>
      </w:pPr>
      <w:bookmarkStart w:id="3" w:name="_Ref478105696"/>
      <w:bookmarkStart w:id="4" w:name="_Ref471730474"/>
      <w:bookmarkStart w:id="5" w:name="_Ref471730645"/>
      <w:r>
        <w:t>3GPP TR 38.901 V14.0</w:t>
      </w:r>
      <w:r w:rsidRPr="00DF3FBB">
        <w:t>.0, Study on channel model for frequencies from 0.5 to 100 GHz (Release 14)</w:t>
      </w:r>
      <w:bookmarkEnd w:id="3"/>
    </w:p>
    <w:p w:rsidR="00247ACE" w:rsidRDefault="00247ACE" w:rsidP="00FB625E">
      <w:pPr>
        <w:pStyle w:val="Reference"/>
      </w:pPr>
      <w:bookmarkStart w:id="6" w:name="_Ref478105726"/>
      <w:r w:rsidRPr="00B27A83">
        <w:t>R1-170</w:t>
      </w:r>
      <w:bookmarkEnd w:id="4"/>
      <w:r w:rsidR="00FB625E">
        <w:t>2699</w:t>
      </w:r>
      <w:r>
        <w:t>, “</w:t>
      </w:r>
      <w:r w:rsidR="00FB625E" w:rsidRPr="00FB625E">
        <w:rPr>
          <w:noProof/>
        </w:rPr>
        <w:t>Investigation of mobility model A</w:t>
      </w:r>
      <w:r>
        <w:t>”, Ericsson, Athens</w:t>
      </w:r>
      <w:r w:rsidRPr="008D74B5">
        <w:t xml:space="preserve">, </w:t>
      </w:r>
      <w:r>
        <w:t>Greece</w:t>
      </w:r>
      <w:r w:rsidRPr="008D74B5">
        <w:t xml:space="preserve">, </w:t>
      </w:r>
      <w:r>
        <w:t>February</w:t>
      </w:r>
      <w:r w:rsidRPr="008D74B5">
        <w:t>, 2017</w:t>
      </w:r>
      <w:r>
        <w:t>.</w:t>
      </w:r>
      <w:bookmarkEnd w:id="5"/>
      <w:bookmarkEnd w:id="6"/>
    </w:p>
    <w:p w:rsidR="00DC6473" w:rsidRDefault="001F68D1" w:rsidP="00FB625E">
      <w:pPr>
        <w:pStyle w:val="Reference"/>
      </w:pPr>
      <w:bookmarkStart w:id="7" w:name="_Ref478105883"/>
      <w:r>
        <w:t>Chairman’s notes RAN1#88 Athens, Greece, February, 2017.</w:t>
      </w:r>
      <w:bookmarkEnd w:id="7"/>
    </w:p>
    <w:p w:rsidR="000649F8" w:rsidRDefault="000649F8" w:rsidP="000649F8">
      <w:pPr>
        <w:pStyle w:val="Reference"/>
      </w:pPr>
      <w:bookmarkStart w:id="8" w:name="_Ref478107137"/>
      <w:r w:rsidRPr="000649F8">
        <w:t>R1-1702700, “Correction for mobility model A”, Ericsson, Athens, Greece, February, 2017.</w:t>
      </w:r>
      <w:bookmarkEnd w:id="8"/>
    </w:p>
    <w:p w:rsidR="000649F8" w:rsidRPr="00CE0424" w:rsidRDefault="000649F8" w:rsidP="00EA7EB4">
      <w:pPr>
        <w:pStyle w:val="Reference"/>
        <w:numPr>
          <w:ilvl w:val="0"/>
          <w:numId w:val="0"/>
        </w:numPr>
      </w:pPr>
    </w:p>
    <w:p w:rsidR="00247ACE" w:rsidRPr="00247ACE" w:rsidRDefault="00247ACE" w:rsidP="00247ACE">
      <w:pPr>
        <w:rPr>
          <w:lang w:val="en-GB" w:eastAsia="zh-CN"/>
        </w:rPr>
      </w:pPr>
    </w:p>
    <w:sectPr w:rsidR="00247ACE" w:rsidRPr="00247ACE">
      <w:pgSz w:w="12240" w:h="15840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33E"/>
    <w:rsid w:val="00044730"/>
    <w:rsid w:val="000649F8"/>
    <w:rsid w:val="001024BD"/>
    <w:rsid w:val="00134671"/>
    <w:rsid w:val="00175C0D"/>
    <w:rsid w:val="001B134E"/>
    <w:rsid w:val="001D54E4"/>
    <w:rsid w:val="001F68D1"/>
    <w:rsid w:val="0022695C"/>
    <w:rsid w:val="00247ACE"/>
    <w:rsid w:val="00253CFA"/>
    <w:rsid w:val="002D16B0"/>
    <w:rsid w:val="0035236C"/>
    <w:rsid w:val="003B3D67"/>
    <w:rsid w:val="00411AE2"/>
    <w:rsid w:val="00520794"/>
    <w:rsid w:val="0052337C"/>
    <w:rsid w:val="00531097"/>
    <w:rsid w:val="00534424"/>
    <w:rsid w:val="00550DEF"/>
    <w:rsid w:val="005B40C1"/>
    <w:rsid w:val="006574B8"/>
    <w:rsid w:val="006D3CD7"/>
    <w:rsid w:val="00873608"/>
    <w:rsid w:val="00947960"/>
    <w:rsid w:val="00993605"/>
    <w:rsid w:val="009B7C2A"/>
    <w:rsid w:val="00A62062"/>
    <w:rsid w:val="00A7320D"/>
    <w:rsid w:val="00AE05DE"/>
    <w:rsid w:val="00AF2D3C"/>
    <w:rsid w:val="00C948F5"/>
    <w:rsid w:val="00CB7273"/>
    <w:rsid w:val="00D8538D"/>
    <w:rsid w:val="00DC533E"/>
    <w:rsid w:val="00DC6473"/>
    <w:rsid w:val="00DD1E11"/>
    <w:rsid w:val="00DF3FBB"/>
    <w:rsid w:val="00E43052"/>
    <w:rsid w:val="00E62987"/>
    <w:rsid w:val="00E94A66"/>
    <w:rsid w:val="00EA7EB4"/>
    <w:rsid w:val="00F4083A"/>
    <w:rsid w:val="00F565C0"/>
    <w:rsid w:val="00FB1481"/>
    <w:rsid w:val="00FB625E"/>
    <w:rsid w:val="00FD4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82728"/>
  <w15:chartTrackingRefBased/>
  <w15:docId w15:val="{2C9E4396-0D70-4192-A0C2-5DE41DCBB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44730"/>
  </w:style>
  <w:style w:type="paragraph" w:styleId="Heading1">
    <w:name w:val="heading 1"/>
    <w:next w:val="Normal"/>
    <w:link w:val="Heading1Char"/>
    <w:qFormat/>
    <w:rsid w:val="00CB727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CB727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CB7273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CB7273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CB727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CB727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Times New Roman" w:eastAsia="Times New Roman" w:hAnsi="Times New Roman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CB727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Times New Roman" w:eastAsia="Times New Roman" w:hAnsi="Times New Roman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CB727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B727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7273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CB7273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CB7273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CB727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CB727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CB7273"/>
    <w:rPr>
      <w:rFonts w:ascii="Times New Roman" w:eastAsia="Times New Roman" w:hAnsi="Times New Roman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CB7273"/>
    <w:rPr>
      <w:rFonts w:ascii="Times New Roman" w:eastAsia="Times New Roman" w:hAnsi="Times New Roman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CB7273"/>
    <w:rPr>
      <w:rFonts w:ascii="Times New Roman" w:eastAsia="Times New Roman" w:hAnsi="Times New Roman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CB7273"/>
    <w:rPr>
      <w:rFonts w:ascii="Times New Roman" w:eastAsia="Times New Roman" w:hAnsi="Times New Roman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CB7273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sz w:val="20"/>
      <w:szCs w:val="20"/>
      <w:lang w:val="en-GB" w:eastAsia="zh-CN"/>
    </w:rPr>
  </w:style>
  <w:style w:type="paragraph" w:customStyle="1" w:styleId="Reference">
    <w:name w:val="Reference"/>
    <w:basedOn w:val="Normal"/>
    <w:qFormat/>
    <w:rsid w:val="00247ACE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947960"/>
    <w:rPr>
      <w:color w:val="808080"/>
    </w:rPr>
  </w:style>
  <w:style w:type="table" w:styleId="TableGrid">
    <w:name w:val="Table Grid"/>
    <w:basedOn w:val="TableNormal"/>
    <w:rsid w:val="005B40C1"/>
    <w:pPr>
      <w:spacing w:after="0" w:line="240" w:lineRule="auto"/>
    </w:pPr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53109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07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07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F8CBD-3E8F-4AFF-95AA-5ADD6533B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Nurmela, Vuokko (Nokia - FI/Espoo)</dc:creator>
  <cp:keywords/>
  <dc:description/>
  <cp:lastModifiedBy>Nokia</cp:lastModifiedBy>
  <cp:revision>3</cp:revision>
  <dcterms:created xsi:type="dcterms:W3CDTF">2017-03-24T17:01:00Z</dcterms:created>
  <dcterms:modified xsi:type="dcterms:W3CDTF">2017-03-24T21:12:00Z</dcterms:modified>
</cp:coreProperties>
</file>