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16BF7" w14:textId="31CB6E90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>TSG-RAN WG1</w:t>
      </w:r>
      <w:r w:rsidR="00244D40">
        <w:t xml:space="preserve"> Meeting</w:t>
      </w:r>
      <w:r w:rsidR="006556BF">
        <w:t>#88bis</w:t>
      </w:r>
      <w:r w:rsidRPr="00446F9D">
        <w:tab/>
      </w:r>
      <w:r w:rsidR="006556BF">
        <w:t>R1-17</w:t>
      </w:r>
      <w:r w:rsidR="00244D40">
        <w:t>06154</w:t>
      </w:r>
    </w:p>
    <w:p w14:paraId="4587AF62" w14:textId="2740D6E7" w:rsidR="00A85E54" w:rsidRPr="000833FA" w:rsidRDefault="00543494" w:rsidP="00A85E54">
      <w:pPr>
        <w:pStyle w:val="Header"/>
        <w:rPr>
          <w:color w:val="000000"/>
        </w:rPr>
      </w:pPr>
      <w:r>
        <w:t>Spokane, WA</w:t>
      </w:r>
      <w:r w:rsidR="00D11960">
        <w:t>, USA</w:t>
      </w:r>
      <w:r w:rsidR="0056282E">
        <w:t xml:space="preserve">, </w:t>
      </w:r>
      <w:r w:rsidR="006556BF">
        <w:t>April 3 – 7, 2017</w:t>
      </w:r>
    </w:p>
    <w:p w14:paraId="0160157A" w14:textId="77777777" w:rsidR="00A85E54" w:rsidRPr="000833FA" w:rsidRDefault="00A85E54" w:rsidP="00A85E54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3B80222B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44D40">
        <w:rPr>
          <w:iCs/>
          <w:lang w:eastAsia="ja-JP"/>
        </w:rPr>
        <w:t>On Resource A</w:t>
      </w:r>
      <w:r w:rsidR="00D4461D" w:rsidRPr="00D4461D">
        <w:rPr>
          <w:iCs/>
          <w:lang w:eastAsia="ja-JP"/>
        </w:rPr>
        <w:t xml:space="preserve">llocation </w:t>
      </w:r>
      <w:r w:rsidR="00244D40">
        <w:rPr>
          <w:iCs/>
          <w:lang w:eastAsia="ja-JP"/>
        </w:rPr>
        <w:t>S</w:t>
      </w:r>
      <w:r w:rsidR="00646C65">
        <w:rPr>
          <w:iCs/>
          <w:lang w:eastAsia="ja-JP"/>
        </w:rPr>
        <w:t>chemes</w:t>
      </w:r>
    </w:p>
    <w:p w14:paraId="7DAFFA69" w14:textId="62535D54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113113">
        <w:t>8.1.3.</w:t>
      </w:r>
      <w:r w:rsidR="00D4461D">
        <w:t>3</w:t>
      </w:r>
      <w:r w:rsidR="00C928DF">
        <w:t>.1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17C0232" w14:textId="6E32163D" w:rsidR="00113113" w:rsidRDefault="0056282E" w:rsidP="00113113">
      <w:pPr>
        <w:pStyle w:val="Heading1"/>
        <w:spacing w:before="180"/>
        <w:ind w:left="562" w:hanging="562"/>
      </w:pPr>
      <w:r>
        <w:t>Introduction</w:t>
      </w:r>
    </w:p>
    <w:p w14:paraId="234BCFEA" w14:textId="77777777" w:rsidR="003C197F" w:rsidRDefault="003C197F" w:rsidP="003C197F">
      <w:pPr>
        <w:pStyle w:val="BodyText"/>
      </w:pPr>
      <w:r>
        <w:t xml:space="preserve">In this contribution we discuss resource allocation schemes for NR and further outline the applicable operational mode considering the learnings from LTE. </w:t>
      </w:r>
      <w:bookmarkStart w:id="3" w:name="_GoBack"/>
      <w:bookmarkEnd w:id="3"/>
    </w:p>
    <w:p w14:paraId="7941BE12" w14:textId="19BFB98E" w:rsidR="00BA533E" w:rsidRPr="00BA533E" w:rsidRDefault="00BA533E" w:rsidP="00BA533E">
      <w:pPr>
        <w:pStyle w:val="BodyText"/>
      </w:pPr>
      <w:r w:rsidRPr="00CC3D06">
        <w:t xml:space="preserve">The most flexible way of indicating the set of resource blocks the </w:t>
      </w:r>
      <w:r>
        <w:t>device</w:t>
      </w:r>
      <w:r w:rsidRPr="00CC3D06">
        <w:t xml:space="preserve"> is supposed to receive </w:t>
      </w:r>
      <w:r w:rsidR="0027640A">
        <w:t>or transmit</w:t>
      </w:r>
      <w:r w:rsidRPr="00CC3D06">
        <w:t xml:space="preserve"> upon is to include a bitmap with size equal to the number of resource blocks in the cell bandwidth. </w:t>
      </w:r>
      <w:r w:rsidR="003C197F">
        <w:t xml:space="preserve">Although this would provide the highest degree of flexibility, it would also result in a </w:t>
      </w:r>
      <w:r w:rsidRPr="00CC3D06">
        <w:t>very large bitmap for the larger cell bandwidths.</w:t>
      </w:r>
      <w:r w:rsidR="003C197F">
        <w:t xml:space="preserve"> To reduce the size of the bitmap, LTE provides </w:t>
      </w:r>
      <w:r w:rsidRPr="00BA533E">
        <w:t>three different resource block allocation types, 0, 1, or 2.</w:t>
      </w:r>
    </w:p>
    <w:p w14:paraId="6A25A841" w14:textId="1801580E" w:rsidR="00BA533E" w:rsidRDefault="00BA533E" w:rsidP="003C197F">
      <w:pPr>
        <w:pStyle w:val="BodyText"/>
        <w:numPr>
          <w:ilvl w:val="0"/>
          <w:numId w:val="13"/>
        </w:numPr>
      </w:pPr>
      <w:r w:rsidRPr="00CC3D06">
        <w:t>In resource allocation type 0, the size of the bitmap has been reduced by pointing not to individual resource blocks in the frequency domain, but to groups of contiguous resource blocks</w:t>
      </w:r>
      <w:r w:rsidR="003C197F">
        <w:t>.</w:t>
      </w:r>
      <w:r w:rsidRPr="00CC3D06">
        <w:t xml:space="preserve"> </w:t>
      </w:r>
    </w:p>
    <w:p w14:paraId="1385D8CE" w14:textId="1FB8B2C3" w:rsidR="003C197F" w:rsidRDefault="00BA533E" w:rsidP="003C197F">
      <w:pPr>
        <w:pStyle w:val="BodyText"/>
        <w:numPr>
          <w:ilvl w:val="0"/>
          <w:numId w:val="13"/>
        </w:numPr>
      </w:pPr>
      <w:r w:rsidRPr="00CC3D06">
        <w:t xml:space="preserve">Resource allocation type 1 address </w:t>
      </w:r>
      <w:r>
        <w:t>the limited scheduling granularity</w:t>
      </w:r>
      <w:r w:rsidRPr="00CC3D06">
        <w:t xml:space="preserve"> by dividing the total number of resource blocks in the frequency domain into dispersed subsets</w:t>
      </w:r>
      <w:r w:rsidR="003C197F">
        <w:t xml:space="preserve">. </w:t>
      </w:r>
    </w:p>
    <w:p w14:paraId="4E18BFFA" w14:textId="450884BE" w:rsidR="00BA533E" w:rsidRDefault="00BA533E" w:rsidP="003C197F">
      <w:pPr>
        <w:pStyle w:val="BodyText"/>
        <w:numPr>
          <w:ilvl w:val="0"/>
          <w:numId w:val="13"/>
        </w:numPr>
      </w:pPr>
      <w:r>
        <w:t xml:space="preserve">Resource allocation type </w:t>
      </w:r>
      <w:r w:rsidRPr="00CC3D06">
        <w:t xml:space="preserve">2 encodes the resource allocation as a start position and length of the resource-block allocation. </w:t>
      </w:r>
    </w:p>
    <w:p w14:paraId="78E1214D" w14:textId="7C995DEA" w:rsidR="00BA533E" w:rsidRDefault="00BA533E" w:rsidP="007A018A">
      <w:pPr>
        <w:pStyle w:val="Heading1"/>
      </w:pPr>
      <w:r>
        <w:t>Discussion</w:t>
      </w:r>
    </w:p>
    <w:p w14:paraId="4F23FFE8" w14:textId="4339FFDF" w:rsidR="005E3DC3" w:rsidRDefault="005E3DC3" w:rsidP="00BA533E">
      <w:pPr>
        <w:pStyle w:val="BodyText"/>
      </w:pPr>
      <w:r>
        <w:t>A start/length allocation scheme (</w:t>
      </w:r>
      <w:proofErr w:type="gramStart"/>
      <w:r>
        <w:t>similar to</w:t>
      </w:r>
      <w:proofErr w:type="gramEnd"/>
      <w:r>
        <w:t xml:space="preserve"> type 2 in LTE) is useful. Assuming a maximum of 3300 carriers (275 RBs), the number of bits required is in the order of 16 bits, which is reasonable.</w:t>
      </w:r>
    </w:p>
    <w:p w14:paraId="3E6DFA5D" w14:textId="5D648ACC" w:rsidR="005E3DC3" w:rsidRDefault="005E3DC3" w:rsidP="00BA533E">
      <w:pPr>
        <w:pStyle w:val="BodyText"/>
      </w:pPr>
      <w:r>
        <w:t>In addition, some form of bitmap approach is useful to allow for various forms of non-contiguous allocations. In principle, the type 0/1 in LTE could be reused. However, it would be beneficial to reduce the number of different schemes to simplify the implementation. For example, resource allocation type 1 in LTE is subject to an FGI bit and its usefulness is therefore limited. Hence, a unified scheme having similar properties as type 0/1 is of interest.</w:t>
      </w:r>
    </w:p>
    <w:p w14:paraId="0CB22968" w14:textId="5C99D781" w:rsidR="00BA533E" w:rsidRDefault="00BA533E" w:rsidP="00BA533E">
      <w:pPr>
        <w:pStyle w:val="BodyText"/>
      </w:pPr>
      <w:r>
        <w:t xml:space="preserve">For large </w:t>
      </w:r>
      <w:r w:rsidR="005E3DC3">
        <w:t>resource</w:t>
      </w:r>
      <w:r>
        <w:t xml:space="preserve"> </w:t>
      </w:r>
      <w:r w:rsidR="005E3DC3">
        <w:t>allocations</w:t>
      </w:r>
      <w:r>
        <w:t xml:space="preserve">, a limited granularity is less of an issue while for small allocations it is beneficial to have a better granularity. One possibility to achieve this in a unified manner is </w:t>
      </w:r>
      <w:r w:rsidR="0027640A">
        <w:t xml:space="preserve">to </w:t>
      </w:r>
      <w:r w:rsidR="00CF0F32">
        <w:t>use resource block groups with a size depending on the total bandwidth assigned. An example is given below:</w:t>
      </w:r>
    </w:p>
    <w:p w14:paraId="370A5CA5" w14:textId="0A520E7D" w:rsidR="0028793B" w:rsidRDefault="00CF0F32" w:rsidP="00BA533E">
      <w:pPr>
        <w:pStyle w:val="BodyText"/>
      </w:pPr>
      <w:r>
        <w:t xml:space="preserve">Assume a total bandwidth (which the UE is capable of </w:t>
      </w:r>
      <w:r w:rsidR="0027640A">
        <w:t xml:space="preserve">or configured to </w:t>
      </w:r>
      <w:r>
        <w:t>receiv</w:t>
      </w:r>
      <w:r w:rsidR="0027640A">
        <w:t>e</w:t>
      </w:r>
      <w:r>
        <w:t xml:space="preserve"> or transmit</w:t>
      </w:r>
      <w:r w:rsidR="0027640A">
        <w:t xml:space="preserve"> upon</w:t>
      </w:r>
      <w:r>
        <w:t xml:space="preserve">) of </w:t>
      </w:r>
      <w:r>
        <w:rPr>
          <w:i/>
        </w:rPr>
        <w:t>N</w:t>
      </w:r>
      <w:r>
        <w:t xml:space="preserve"> RBs and a RBG size of </w:t>
      </w:r>
      <w:r>
        <w:rPr>
          <w:i/>
        </w:rPr>
        <w:t>R</w:t>
      </w:r>
      <w:r>
        <w:t xml:space="preserve"> (preferably a power of two). To schedule the full bandwidth (with a resolution of </w:t>
      </w:r>
      <w:r>
        <w:rPr>
          <w:i/>
        </w:rPr>
        <w:t>R</w:t>
      </w:r>
      <w:r>
        <w:t>) a bitmap of ceil(</w:t>
      </w:r>
      <w:r>
        <w:rPr>
          <w:i/>
        </w:rPr>
        <w:t>N</w:t>
      </w:r>
      <w:r>
        <w:t>/</w:t>
      </w:r>
      <w:r>
        <w:rPr>
          <w:i/>
        </w:rPr>
        <w:t>R</w:t>
      </w:r>
      <w:r>
        <w:t xml:space="preserve">) is needed. </w:t>
      </w:r>
      <w:r w:rsidR="0028793B">
        <w:t xml:space="preserve">To improve the resolution for smaller allocations, </w:t>
      </w:r>
      <w:r w:rsidR="0027640A">
        <w:t xml:space="preserve">a </w:t>
      </w:r>
      <w:r>
        <w:t xml:space="preserve">small header of </w:t>
      </w:r>
      <w:r>
        <w:rPr>
          <w:i/>
        </w:rPr>
        <w:t>M</w:t>
      </w:r>
      <w:r>
        <w:t xml:space="preserve"> bits could also point to RBGs of size </w:t>
      </w:r>
      <w:r>
        <w:rPr>
          <w:i/>
        </w:rPr>
        <w:t>R</w:t>
      </w:r>
      <w:r>
        <w:t xml:space="preserve">/2 across half the bandwidth, RBGs of size </w:t>
      </w:r>
      <w:r>
        <w:rPr>
          <w:i/>
        </w:rPr>
        <w:t>R</w:t>
      </w:r>
      <w:r>
        <w:t xml:space="preserve">/4 across one quarter of the </w:t>
      </w:r>
      <w:r w:rsidR="0028793B">
        <w:t>bandwidth</w:t>
      </w:r>
      <w:r>
        <w:t>, etc.</w:t>
      </w:r>
      <w:r w:rsidR="0028793B">
        <w:t xml:space="preserve"> The header could also contain information on where in the total bandwidth the half bandwidth region (quarter-part region, </w:t>
      </w:r>
      <w:proofErr w:type="spellStart"/>
      <w:r w:rsidR="0028793B">
        <w:t>etc</w:t>
      </w:r>
      <w:proofErr w:type="spellEnd"/>
      <w:r w:rsidR="0028793B">
        <w:t xml:space="preserve">) is located. </w:t>
      </w:r>
      <w:r w:rsidR="00914C24">
        <w:t xml:space="preserve">An example illustrating the principle is given in </w:t>
      </w:r>
      <w:r w:rsidR="000807F9">
        <w:fldChar w:fldCharType="begin"/>
      </w:r>
      <w:r w:rsidR="000807F9">
        <w:instrText xml:space="preserve"> REF _Ref478121541 \h </w:instrText>
      </w:r>
      <w:r w:rsidR="000807F9">
        <w:fldChar w:fldCharType="separate"/>
      </w:r>
      <w:r w:rsidR="000807F9">
        <w:t xml:space="preserve">Figure </w:t>
      </w:r>
      <w:r w:rsidR="000807F9">
        <w:rPr>
          <w:noProof/>
        </w:rPr>
        <w:t>2</w:t>
      </w:r>
      <w:r w:rsidR="000807F9">
        <w:fldChar w:fldCharType="end"/>
      </w:r>
      <w:r w:rsidR="000807F9">
        <w:t xml:space="preserve"> where (for illustrative purposes) a bitmap size of two is used. </w:t>
      </w:r>
    </w:p>
    <w:p w14:paraId="3A0C1F7E" w14:textId="37067B5E" w:rsidR="000807F9" w:rsidRDefault="000807F9" w:rsidP="000807F9">
      <w:pPr>
        <w:pStyle w:val="BodyText"/>
        <w:keepNext/>
      </w:pPr>
      <w:r w:rsidRPr="000807F9">
        <w:rPr>
          <w:noProof/>
          <w:lang w:val="sv-SE" w:eastAsia="sv-SE"/>
        </w:rPr>
        <w:lastRenderedPageBreak/>
        <w:drawing>
          <wp:inline distT="0" distB="0" distL="0" distR="0" wp14:anchorId="098BD029" wp14:editId="1679522A">
            <wp:extent cx="5760720" cy="26363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3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3CD6B" w14:textId="121A0203" w:rsidR="00914C24" w:rsidRDefault="000807F9" w:rsidP="000807F9">
      <w:pPr>
        <w:pStyle w:val="Caption"/>
        <w:jc w:val="both"/>
      </w:pPr>
      <w:bookmarkStart w:id="4" w:name="_Ref478121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>: Example of RB allocation signaling.</w:t>
      </w:r>
    </w:p>
    <w:p w14:paraId="0ACBF1E1" w14:textId="6E515CAE" w:rsidR="005E3DC3" w:rsidRDefault="005E3DC3" w:rsidP="005E3DC3">
      <w:r>
        <w:t xml:space="preserve">In </w:t>
      </w:r>
      <w:r w:rsidR="00D55E9A">
        <w:fldChar w:fldCharType="begin"/>
      </w:r>
      <w:r w:rsidR="00D55E9A">
        <w:instrText xml:space="preserve"> REF _Ref478123365 \h </w:instrText>
      </w:r>
      <w:r w:rsidR="00D55E9A">
        <w:fldChar w:fldCharType="separate"/>
      </w:r>
      <w:r w:rsidR="00D55E9A">
        <w:t xml:space="preserve">Table </w:t>
      </w:r>
      <w:r w:rsidR="00D55E9A">
        <w:rPr>
          <w:noProof/>
        </w:rPr>
        <w:t>1</w:t>
      </w:r>
      <w:r w:rsidR="00D55E9A">
        <w:fldChar w:fldCharType="end"/>
      </w:r>
      <w:r>
        <w:t>, the number of bits for the ‘header’ is illustrated, showing that 4 bits is sufficient to provide a granularity from 1 to 8 RBs. This header size is small compared to a bitmap of (for example) 35 bits (assuming a</w:t>
      </w:r>
      <w:r w:rsidR="0027640A">
        <w:t xml:space="preserve"> maximum number of used subcarriers </w:t>
      </w:r>
      <w:r>
        <w:t>of 3300 = 275 RBs and an RBG size of 8).</w:t>
      </w:r>
    </w:p>
    <w:p w14:paraId="75372F12" w14:textId="77777777" w:rsidR="005E3DC3" w:rsidRPr="005E3DC3" w:rsidRDefault="005E3DC3" w:rsidP="005E3DC3"/>
    <w:p w14:paraId="235D5E0A" w14:textId="6F1CC064" w:rsidR="00D55E9A" w:rsidRDefault="00D55E9A" w:rsidP="00D55E9A">
      <w:pPr>
        <w:pStyle w:val="Caption"/>
        <w:keepNext/>
      </w:pPr>
      <w:bookmarkStart w:id="5" w:name="_Ref4781233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Number of bits required for the header.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1134"/>
        <w:gridCol w:w="2552"/>
        <w:gridCol w:w="2404"/>
      </w:tblGrid>
      <w:tr w:rsidR="000807F9" w14:paraId="4FD2C4FE" w14:textId="77777777" w:rsidTr="005E3DC3">
        <w:tc>
          <w:tcPr>
            <w:tcW w:w="846" w:type="dxa"/>
            <w:shd w:val="clear" w:color="auto" w:fill="F2F2F2" w:themeFill="background1" w:themeFillShade="F2"/>
          </w:tcPr>
          <w:p w14:paraId="449EFF76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22BB396C" w14:textId="77777777" w:rsidR="000807F9" w:rsidRPr="005E3DC3" w:rsidRDefault="000807F9" w:rsidP="001006CD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Number of combinations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39698C3" w14:textId="77777777" w:rsidR="000807F9" w:rsidRPr="005E3DC3" w:rsidRDefault="000807F9" w:rsidP="001006CD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RBG size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436F30FB" w14:textId="3CD4A7FB" w:rsidR="000807F9" w:rsidRPr="005E3DC3" w:rsidRDefault="005E3DC3" w:rsidP="001006CD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Number of bitmap locations</w:t>
            </w:r>
          </w:p>
        </w:tc>
        <w:tc>
          <w:tcPr>
            <w:tcW w:w="2404" w:type="dxa"/>
            <w:shd w:val="clear" w:color="auto" w:fill="F2F2F2" w:themeFill="background1" w:themeFillShade="F2"/>
          </w:tcPr>
          <w:p w14:paraId="1BB6D33E" w14:textId="77777777" w:rsidR="000807F9" w:rsidRPr="005E3DC3" w:rsidRDefault="000807F9" w:rsidP="001006CD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Resolution</w:t>
            </w:r>
          </w:p>
        </w:tc>
      </w:tr>
      <w:tr w:rsidR="000807F9" w14:paraId="221766F1" w14:textId="77777777" w:rsidTr="005E3DC3">
        <w:tc>
          <w:tcPr>
            <w:tcW w:w="846" w:type="dxa"/>
          </w:tcPr>
          <w:p w14:paraId="63DC2B73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107BB931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</w:t>
            </w:r>
          </w:p>
        </w:tc>
        <w:tc>
          <w:tcPr>
            <w:tcW w:w="1134" w:type="dxa"/>
          </w:tcPr>
          <w:p w14:paraId="757C3B2E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</w:t>
            </w:r>
          </w:p>
        </w:tc>
        <w:tc>
          <w:tcPr>
            <w:tcW w:w="2552" w:type="dxa"/>
          </w:tcPr>
          <w:p w14:paraId="39F73E42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</w:t>
            </w:r>
          </w:p>
        </w:tc>
        <w:tc>
          <w:tcPr>
            <w:tcW w:w="2404" w:type="dxa"/>
          </w:tcPr>
          <w:p w14:paraId="5D1C4F34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 RBs</w:t>
            </w:r>
          </w:p>
        </w:tc>
      </w:tr>
      <w:tr w:rsidR="000807F9" w14:paraId="2903A8AE" w14:textId="77777777" w:rsidTr="005E3DC3">
        <w:tc>
          <w:tcPr>
            <w:tcW w:w="846" w:type="dxa"/>
          </w:tcPr>
          <w:p w14:paraId="76D4F859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63487580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</w:t>
            </w:r>
          </w:p>
        </w:tc>
        <w:tc>
          <w:tcPr>
            <w:tcW w:w="1134" w:type="dxa"/>
          </w:tcPr>
          <w:p w14:paraId="6DD0A369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</w:t>
            </w:r>
          </w:p>
        </w:tc>
        <w:tc>
          <w:tcPr>
            <w:tcW w:w="2552" w:type="dxa"/>
          </w:tcPr>
          <w:p w14:paraId="7819F345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</w:t>
            </w:r>
          </w:p>
        </w:tc>
        <w:tc>
          <w:tcPr>
            <w:tcW w:w="2404" w:type="dxa"/>
          </w:tcPr>
          <w:p w14:paraId="16968F49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 RBs</w:t>
            </w:r>
          </w:p>
        </w:tc>
      </w:tr>
      <w:tr w:rsidR="000807F9" w14:paraId="35781BC0" w14:textId="77777777" w:rsidTr="005E3DC3">
        <w:tc>
          <w:tcPr>
            <w:tcW w:w="846" w:type="dxa"/>
          </w:tcPr>
          <w:p w14:paraId="0C6AE7CB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7C4AFC48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</w:t>
            </w:r>
          </w:p>
        </w:tc>
        <w:tc>
          <w:tcPr>
            <w:tcW w:w="1134" w:type="dxa"/>
          </w:tcPr>
          <w:p w14:paraId="63BD566E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</w:t>
            </w:r>
          </w:p>
        </w:tc>
        <w:tc>
          <w:tcPr>
            <w:tcW w:w="2552" w:type="dxa"/>
          </w:tcPr>
          <w:p w14:paraId="71A9B8F6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</w:t>
            </w:r>
          </w:p>
        </w:tc>
        <w:tc>
          <w:tcPr>
            <w:tcW w:w="2404" w:type="dxa"/>
          </w:tcPr>
          <w:p w14:paraId="1729B100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 RBs</w:t>
            </w:r>
          </w:p>
        </w:tc>
      </w:tr>
      <w:tr w:rsidR="000807F9" w14:paraId="5DD44C40" w14:textId="77777777" w:rsidTr="005E3DC3">
        <w:tc>
          <w:tcPr>
            <w:tcW w:w="846" w:type="dxa"/>
          </w:tcPr>
          <w:p w14:paraId="5BCD6AEB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728B8EDD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</w:t>
            </w:r>
          </w:p>
        </w:tc>
        <w:tc>
          <w:tcPr>
            <w:tcW w:w="1134" w:type="dxa"/>
          </w:tcPr>
          <w:p w14:paraId="6EF497CA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</w:t>
            </w:r>
          </w:p>
        </w:tc>
        <w:tc>
          <w:tcPr>
            <w:tcW w:w="2552" w:type="dxa"/>
          </w:tcPr>
          <w:p w14:paraId="3870029D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</w:t>
            </w:r>
          </w:p>
        </w:tc>
        <w:tc>
          <w:tcPr>
            <w:tcW w:w="2404" w:type="dxa"/>
          </w:tcPr>
          <w:p w14:paraId="3C211FF8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 RB</w:t>
            </w:r>
          </w:p>
        </w:tc>
      </w:tr>
      <w:tr w:rsidR="000807F9" w14:paraId="401C708D" w14:textId="77777777" w:rsidTr="005E3DC3">
        <w:tc>
          <w:tcPr>
            <w:tcW w:w="846" w:type="dxa"/>
          </w:tcPr>
          <w:p w14:paraId="347E2751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Total</w:t>
            </w:r>
          </w:p>
        </w:tc>
        <w:tc>
          <w:tcPr>
            <w:tcW w:w="2126" w:type="dxa"/>
          </w:tcPr>
          <w:p w14:paraId="66B70FC3" w14:textId="29F47C0E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 xml:space="preserve">15 </w:t>
            </w:r>
            <w:r w:rsidR="00574BAB">
              <w:rPr>
                <w:i/>
                <w:sz w:val="18"/>
              </w:rPr>
              <w:t xml:space="preserve">combinations </w:t>
            </w:r>
            <w:r w:rsidRPr="005E3DC3">
              <w:rPr>
                <w:i/>
                <w:sz w:val="18"/>
              </w:rPr>
              <w:t>(4 bits)</w:t>
            </w:r>
          </w:p>
        </w:tc>
        <w:tc>
          <w:tcPr>
            <w:tcW w:w="1134" w:type="dxa"/>
          </w:tcPr>
          <w:p w14:paraId="17E494AB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552" w:type="dxa"/>
          </w:tcPr>
          <w:p w14:paraId="37281C05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404" w:type="dxa"/>
          </w:tcPr>
          <w:p w14:paraId="18C7B2A0" w14:textId="77777777" w:rsidR="000807F9" w:rsidRPr="005E3DC3" w:rsidRDefault="000807F9" w:rsidP="001006CD">
            <w:pPr>
              <w:pStyle w:val="BodyText"/>
              <w:rPr>
                <w:i/>
                <w:sz w:val="18"/>
              </w:rPr>
            </w:pPr>
          </w:p>
        </w:tc>
      </w:tr>
    </w:tbl>
    <w:p w14:paraId="2F6ECE82" w14:textId="7E8A681F" w:rsidR="00CF0F32" w:rsidRPr="00CF0F32" w:rsidRDefault="00CF0F32" w:rsidP="00BA533E">
      <w:pPr>
        <w:pStyle w:val="BodyText"/>
      </w:pPr>
    </w:p>
    <w:p w14:paraId="28284343" w14:textId="11E441D6" w:rsidR="007A018A" w:rsidRDefault="007A018A" w:rsidP="007A018A">
      <w:pPr>
        <w:pStyle w:val="Heading1"/>
      </w:pPr>
      <w:r>
        <w:t>Conclusion</w:t>
      </w:r>
    </w:p>
    <w:p w14:paraId="7CBE6CC8" w14:textId="1CBC435A" w:rsidR="005E3DC3" w:rsidRPr="005E3DC3" w:rsidRDefault="005E3DC3" w:rsidP="005E3DC3">
      <w:pPr>
        <w:pStyle w:val="BodyText"/>
      </w:pPr>
      <w:r>
        <w:t>A possible resource allocation scheme has been discussed and proposed for adoption in NR.</w:t>
      </w:r>
    </w:p>
    <w:sectPr w:rsidR="005E3DC3" w:rsidRPr="005E3DC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808DA" w14:textId="77777777" w:rsidR="002B6EC3" w:rsidRDefault="002B6EC3">
      <w:r>
        <w:separator/>
      </w:r>
    </w:p>
  </w:endnote>
  <w:endnote w:type="continuationSeparator" w:id="0">
    <w:p w14:paraId="5DDB942E" w14:textId="77777777" w:rsidR="002B6EC3" w:rsidRDefault="002B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49FC5" w14:textId="77777777" w:rsidR="002B6EC3" w:rsidRDefault="002B6EC3">
      <w:r>
        <w:separator/>
      </w:r>
    </w:p>
  </w:footnote>
  <w:footnote w:type="continuationSeparator" w:id="0">
    <w:p w14:paraId="6F93A98B" w14:textId="77777777" w:rsidR="002B6EC3" w:rsidRDefault="002B6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2B6EC3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E1041E"/>
    <w:multiLevelType w:val="hybridMultilevel"/>
    <w:tmpl w:val="2F760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15D88"/>
    <w:multiLevelType w:val="hybridMultilevel"/>
    <w:tmpl w:val="FD925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63946"/>
    <w:multiLevelType w:val="hybridMultilevel"/>
    <w:tmpl w:val="6F10407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12"/>
  </w:num>
  <w:num w:numId="9">
    <w:abstractNumId w:val="1"/>
  </w:num>
  <w:num w:numId="10">
    <w:abstractNumId w:val="0"/>
  </w:num>
  <w:num w:numId="11">
    <w:abstractNumId w:val="3"/>
  </w:num>
  <w:num w:numId="12">
    <w:abstractNumId w:val="8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1947"/>
    <w:rsid w:val="0004251E"/>
    <w:rsid w:val="00055C3F"/>
    <w:rsid w:val="00056F8C"/>
    <w:rsid w:val="000807F9"/>
    <w:rsid w:val="0009038A"/>
    <w:rsid w:val="000944E4"/>
    <w:rsid w:val="000A258F"/>
    <w:rsid w:val="000A4E5A"/>
    <w:rsid w:val="000A74B8"/>
    <w:rsid w:val="000C02AC"/>
    <w:rsid w:val="0010025E"/>
    <w:rsid w:val="001018DF"/>
    <w:rsid w:val="001027FF"/>
    <w:rsid w:val="00112E18"/>
    <w:rsid w:val="00113113"/>
    <w:rsid w:val="00114B6A"/>
    <w:rsid w:val="00120E84"/>
    <w:rsid w:val="001335B2"/>
    <w:rsid w:val="00141448"/>
    <w:rsid w:val="00142260"/>
    <w:rsid w:val="0017310F"/>
    <w:rsid w:val="00175D32"/>
    <w:rsid w:val="00191E60"/>
    <w:rsid w:val="001B4110"/>
    <w:rsid w:val="001C5CE9"/>
    <w:rsid w:val="001D5808"/>
    <w:rsid w:val="002029F5"/>
    <w:rsid w:val="00205AF2"/>
    <w:rsid w:val="00210105"/>
    <w:rsid w:val="0021013F"/>
    <w:rsid w:val="00214784"/>
    <w:rsid w:val="0023314F"/>
    <w:rsid w:val="00244D40"/>
    <w:rsid w:val="0025780D"/>
    <w:rsid w:val="002634F0"/>
    <w:rsid w:val="00264D4E"/>
    <w:rsid w:val="0027640A"/>
    <w:rsid w:val="0028793B"/>
    <w:rsid w:val="00290099"/>
    <w:rsid w:val="00290F9F"/>
    <w:rsid w:val="002B139C"/>
    <w:rsid w:val="002B5439"/>
    <w:rsid w:val="002B6EC3"/>
    <w:rsid w:val="002C0453"/>
    <w:rsid w:val="002C3A4F"/>
    <w:rsid w:val="002D0AB6"/>
    <w:rsid w:val="002E6A70"/>
    <w:rsid w:val="00304706"/>
    <w:rsid w:val="0031422F"/>
    <w:rsid w:val="00343A18"/>
    <w:rsid w:val="00350180"/>
    <w:rsid w:val="00361CA8"/>
    <w:rsid w:val="00363390"/>
    <w:rsid w:val="003875A3"/>
    <w:rsid w:val="003A1F9F"/>
    <w:rsid w:val="003A3E47"/>
    <w:rsid w:val="003B5644"/>
    <w:rsid w:val="003C040C"/>
    <w:rsid w:val="003C197F"/>
    <w:rsid w:val="003E2560"/>
    <w:rsid w:val="004067C0"/>
    <w:rsid w:val="004165C9"/>
    <w:rsid w:val="004217B5"/>
    <w:rsid w:val="00422F7B"/>
    <w:rsid w:val="00437ACB"/>
    <w:rsid w:val="004837C7"/>
    <w:rsid w:val="00492A78"/>
    <w:rsid w:val="004B57FD"/>
    <w:rsid w:val="004C321E"/>
    <w:rsid w:val="004C4387"/>
    <w:rsid w:val="004D7360"/>
    <w:rsid w:val="004E70DB"/>
    <w:rsid w:val="00511453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6F92"/>
    <w:rsid w:val="00570BCE"/>
    <w:rsid w:val="00574BAB"/>
    <w:rsid w:val="00580D67"/>
    <w:rsid w:val="00587AD2"/>
    <w:rsid w:val="00594C69"/>
    <w:rsid w:val="005A0E80"/>
    <w:rsid w:val="005A2873"/>
    <w:rsid w:val="005A4D1F"/>
    <w:rsid w:val="005B0522"/>
    <w:rsid w:val="005C439D"/>
    <w:rsid w:val="005D67F9"/>
    <w:rsid w:val="005E0AF0"/>
    <w:rsid w:val="005E2BCF"/>
    <w:rsid w:val="005E3DC3"/>
    <w:rsid w:val="005F57CF"/>
    <w:rsid w:val="0060203F"/>
    <w:rsid w:val="0061336B"/>
    <w:rsid w:val="0062673F"/>
    <w:rsid w:val="006348C5"/>
    <w:rsid w:val="00636F01"/>
    <w:rsid w:val="0064164A"/>
    <w:rsid w:val="00643A16"/>
    <w:rsid w:val="00646C65"/>
    <w:rsid w:val="006549E5"/>
    <w:rsid w:val="006556BF"/>
    <w:rsid w:val="00665E2A"/>
    <w:rsid w:val="00670FD9"/>
    <w:rsid w:val="006A286A"/>
    <w:rsid w:val="006B271B"/>
    <w:rsid w:val="006E0D45"/>
    <w:rsid w:val="00714D20"/>
    <w:rsid w:val="00726A12"/>
    <w:rsid w:val="00726C96"/>
    <w:rsid w:val="007354AF"/>
    <w:rsid w:val="00741E68"/>
    <w:rsid w:val="00743981"/>
    <w:rsid w:val="007506C7"/>
    <w:rsid w:val="0075384C"/>
    <w:rsid w:val="007563CC"/>
    <w:rsid w:val="007569CA"/>
    <w:rsid w:val="00762DF4"/>
    <w:rsid w:val="0076348D"/>
    <w:rsid w:val="00765485"/>
    <w:rsid w:val="00766DB8"/>
    <w:rsid w:val="00777330"/>
    <w:rsid w:val="007A018A"/>
    <w:rsid w:val="007A01C0"/>
    <w:rsid w:val="007C217E"/>
    <w:rsid w:val="007C7C69"/>
    <w:rsid w:val="007E2C96"/>
    <w:rsid w:val="007F3F65"/>
    <w:rsid w:val="00815566"/>
    <w:rsid w:val="008302A2"/>
    <w:rsid w:val="0083401B"/>
    <w:rsid w:val="00834DE7"/>
    <w:rsid w:val="0083689E"/>
    <w:rsid w:val="00840450"/>
    <w:rsid w:val="00841BE8"/>
    <w:rsid w:val="00843FE9"/>
    <w:rsid w:val="00854EA0"/>
    <w:rsid w:val="0086087F"/>
    <w:rsid w:val="00870D9D"/>
    <w:rsid w:val="008739DF"/>
    <w:rsid w:val="008A0B64"/>
    <w:rsid w:val="008A3AF2"/>
    <w:rsid w:val="008B1B81"/>
    <w:rsid w:val="008B23D4"/>
    <w:rsid w:val="008B38BA"/>
    <w:rsid w:val="008D1E1F"/>
    <w:rsid w:val="008D623F"/>
    <w:rsid w:val="008E31D2"/>
    <w:rsid w:val="008E7AA2"/>
    <w:rsid w:val="008F77A7"/>
    <w:rsid w:val="0091488F"/>
    <w:rsid w:val="00914C24"/>
    <w:rsid w:val="00944B89"/>
    <w:rsid w:val="00954B10"/>
    <w:rsid w:val="0096027F"/>
    <w:rsid w:val="00973F8C"/>
    <w:rsid w:val="0097401A"/>
    <w:rsid w:val="00977B9E"/>
    <w:rsid w:val="009A20D0"/>
    <w:rsid w:val="009A6BB8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57560"/>
    <w:rsid w:val="00A677A0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A7952"/>
    <w:rsid w:val="00AB6372"/>
    <w:rsid w:val="00AC2A5F"/>
    <w:rsid w:val="00AD5F57"/>
    <w:rsid w:val="00AE3947"/>
    <w:rsid w:val="00AE7A97"/>
    <w:rsid w:val="00B00FDB"/>
    <w:rsid w:val="00B20FBD"/>
    <w:rsid w:val="00B34FDB"/>
    <w:rsid w:val="00B368D9"/>
    <w:rsid w:val="00B36A08"/>
    <w:rsid w:val="00B42F5C"/>
    <w:rsid w:val="00B52C5F"/>
    <w:rsid w:val="00B5516A"/>
    <w:rsid w:val="00B63298"/>
    <w:rsid w:val="00B8400F"/>
    <w:rsid w:val="00B85DCB"/>
    <w:rsid w:val="00BA2CDD"/>
    <w:rsid w:val="00BA3D9B"/>
    <w:rsid w:val="00BA533E"/>
    <w:rsid w:val="00BA76BC"/>
    <w:rsid w:val="00BD2350"/>
    <w:rsid w:val="00BF7E13"/>
    <w:rsid w:val="00C04B3F"/>
    <w:rsid w:val="00C073DB"/>
    <w:rsid w:val="00C13452"/>
    <w:rsid w:val="00C1560A"/>
    <w:rsid w:val="00C23B0E"/>
    <w:rsid w:val="00C325A2"/>
    <w:rsid w:val="00C326A6"/>
    <w:rsid w:val="00C50B3C"/>
    <w:rsid w:val="00C55346"/>
    <w:rsid w:val="00C61496"/>
    <w:rsid w:val="00C76E90"/>
    <w:rsid w:val="00C928DF"/>
    <w:rsid w:val="00C93774"/>
    <w:rsid w:val="00CB4D3D"/>
    <w:rsid w:val="00CE02E7"/>
    <w:rsid w:val="00CE1E70"/>
    <w:rsid w:val="00CE28B2"/>
    <w:rsid w:val="00CE3E00"/>
    <w:rsid w:val="00CE4E11"/>
    <w:rsid w:val="00CE7F2E"/>
    <w:rsid w:val="00CF0F32"/>
    <w:rsid w:val="00CF2225"/>
    <w:rsid w:val="00CF67BE"/>
    <w:rsid w:val="00CF7534"/>
    <w:rsid w:val="00D02349"/>
    <w:rsid w:val="00D03119"/>
    <w:rsid w:val="00D04257"/>
    <w:rsid w:val="00D11960"/>
    <w:rsid w:val="00D23CBA"/>
    <w:rsid w:val="00D338CE"/>
    <w:rsid w:val="00D350E3"/>
    <w:rsid w:val="00D4461D"/>
    <w:rsid w:val="00D516DD"/>
    <w:rsid w:val="00D55E9A"/>
    <w:rsid w:val="00D63209"/>
    <w:rsid w:val="00D650BD"/>
    <w:rsid w:val="00D701A0"/>
    <w:rsid w:val="00D83B62"/>
    <w:rsid w:val="00DA110D"/>
    <w:rsid w:val="00DB3BC8"/>
    <w:rsid w:val="00DC085D"/>
    <w:rsid w:val="00DD1935"/>
    <w:rsid w:val="00DD4245"/>
    <w:rsid w:val="00DD48EB"/>
    <w:rsid w:val="00DE3421"/>
    <w:rsid w:val="00DE5946"/>
    <w:rsid w:val="00DE63BC"/>
    <w:rsid w:val="00DF49ED"/>
    <w:rsid w:val="00DF6135"/>
    <w:rsid w:val="00DF71DB"/>
    <w:rsid w:val="00DF762C"/>
    <w:rsid w:val="00E0407B"/>
    <w:rsid w:val="00E13BDA"/>
    <w:rsid w:val="00E220C0"/>
    <w:rsid w:val="00E30E59"/>
    <w:rsid w:val="00E31041"/>
    <w:rsid w:val="00E45EB0"/>
    <w:rsid w:val="00E57CED"/>
    <w:rsid w:val="00E63D88"/>
    <w:rsid w:val="00E83054"/>
    <w:rsid w:val="00EA148A"/>
    <w:rsid w:val="00EA172F"/>
    <w:rsid w:val="00EA1984"/>
    <w:rsid w:val="00EA479A"/>
    <w:rsid w:val="00EC61BE"/>
    <w:rsid w:val="00EC76D4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87832"/>
    <w:rsid w:val="00FA3B0E"/>
    <w:rsid w:val="00FB04C4"/>
    <w:rsid w:val="00FB1B5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A56094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BA53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basedOn w:val="BodyTextChar"/>
    <w:link w:val="IvDbodytext"/>
    <w:rsid w:val="00BA533E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Title">
    <w:name w:val="Title"/>
    <w:next w:val="BodyText"/>
    <w:link w:val="TitleChar"/>
    <w:qFormat/>
    <w:rsid w:val="00BA533E"/>
    <w:pPr>
      <w:spacing w:before="600" w:after="0" w:line="24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BA533E"/>
    <w:rPr>
      <w:rFonts w:ascii="Arial" w:eastAsia="Times New Roman" w:hAnsi="Arial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FCDEC-EF39-41B7-9445-D12E9887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594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Sorour Falahati</cp:lastModifiedBy>
  <cp:revision>11</cp:revision>
  <cp:lastPrinted>2017-03-14T12:16:00Z</cp:lastPrinted>
  <dcterms:created xsi:type="dcterms:W3CDTF">2017-03-24T08:59:00Z</dcterms:created>
  <dcterms:modified xsi:type="dcterms:W3CDTF">2017-03-31T12:32:00Z</dcterms:modified>
</cp:coreProperties>
</file>