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884984" w14:textId="31305CD6" w:rsidR="00E90E49" w:rsidRPr="00CE0424" w:rsidRDefault="00AE2834" w:rsidP="00E35559">
      <w:pPr>
        <w:pStyle w:val="3GPPHeader"/>
        <w:spacing w:after="60"/>
        <w:rPr>
          <w:sz w:val="32"/>
          <w:szCs w:val="32"/>
          <w:highlight w:val="yellow"/>
        </w:rPr>
      </w:pPr>
      <w:r w:rsidRPr="000A1D33">
        <w:rPr>
          <w:lang w:val="en-US"/>
        </w:rPr>
        <w:t>3GPP TSG-RAN WG1 Meeting #88</w:t>
      </w:r>
      <w:r w:rsidR="002C5BA4">
        <w:rPr>
          <w:lang w:val="en-US"/>
        </w:rPr>
        <w:t>bis</w:t>
      </w:r>
      <w:r w:rsidR="00E90E49" w:rsidRPr="00CE0424">
        <w:tab/>
      </w:r>
      <w:r w:rsidR="00091557" w:rsidRPr="00CE0424">
        <w:rPr>
          <w:sz w:val="32"/>
          <w:szCs w:val="32"/>
        </w:rPr>
        <w:t>R</w:t>
      </w:r>
      <w:r>
        <w:rPr>
          <w:sz w:val="32"/>
          <w:szCs w:val="32"/>
        </w:rPr>
        <w:t>1</w:t>
      </w:r>
      <w:r w:rsidR="00091557" w:rsidRPr="00CE0424">
        <w:rPr>
          <w:sz w:val="32"/>
          <w:szCs w:val="32"/>
        </w:rPr>
        <w:t>-</w:t>
      </w:r>
      <w:r w:rsidR="005F3025" w:rsidRPr="00CE0424">
        <w:rPr>
          <w:sz w:val="32"/>
          <w:szCs w:val="32"/>
        </w:rPr>
        <w:t>1</w:t>
      </w:r>
      <w:r>
        <w:rPr>
          <w:sz w:val="32"/>
          <w:szCs w:val="32"/>
        </w:rPr>
        <w:t>7</w:t>
      </w:r>
      <w:r w:rsidR="00F674A7" w:rsidRPr="00F674A7">
        <w:rPr>
          <w:sz w:val="32"/>
          <w:szCs w:val="32"/>
        </w:rPr>
        <w:t>06070</w:t>
      </w:r>
    </w:p>
    <w:p w14:paraId="7D7936E6" w14:textId="77777777" w:rsidR="00E90E49" w:rsidRPr="00CE0424" w:rsidRDefault="002C5BA4" w:rsidP="00311702">
      <w:pPr>
        <w:pStyle w:val="3GPPHeader"/>
      </w:pPr>
      <w:r>
        <w:t>Spokane</w:t>
      </w:r>
      <w:r w:rsidR="00AE2834" w:rsidRPr="000A1D33">
        <w:t xml:space="preserve">, </w:t>
      </w:r>
      <w:r>
        <w:t>U.S.,</w:t>
      </w:r>
      <w:r w:rsidR="00AE2834" w:rsidRPr="000A1D33">
        <w:t xml:space="preserve"> </w:t>
      </w:r>
      <w:r>
        <w:t>3</w:t>
      </w:r>
      <w:r w:rsidRPr="002C5BA4">
        <w:rPr>
          <w:vertAlign w:val="superscript"/>
        </w:rPr>
        <w:t>rd</w:t>
      </w:r>
      <w:r>
        <w:t xml:space="preserve"> –</w:t>
      </w:r>
      <w:r w:rsidR="00AE2834" w:rsidRPr="000A1D33">
        <w:t xml:space="preserve"> 7</w:t>
      </w:r>
      <w:r w:rsidRPr="002C5BA4">
        <w:rPr>
          <w:vertAlign w:val="superscript"/>
        </w:rPr>
        <w:t>th</w:t>
      </w:r>
      <w:r>
        <w:t xml:space="preserve"> April</w:t>
      </w:r>
      <w:r w:rsidR="00AE2834" w:rsidRPr="000A1D33">
        <w:t xml:space="preserve"> 2017</w:t>
      </w:r>
    </w:p>
    <w:p w14:paraId="2E3C0FC4" w14:textId="77777777" w:rsidR="00E90E49" w:rsidRPr="00CE0424" w:rsidRDefault="00E90E49" w:rsidP="00357380">
      <w:pPr>
        <w:pStyle w:val="3GPPHeader"/>
      </w:pPr>
    </w:p>
    <w:p w14:paraId="51358F92" w14:textId="77777777" w:rsidR="00E90E49" w:rsidRPr="003A0611" w:rsidRDefault="00E90E49" w:rsidP="00311702">
      <w:pPr>
        <w:pStyle w:val="3GPPHeader"/>
        <w:rPr>
          <w:sz w:val="22"/>
          <w:szCs w:val="22"/>
          <w:lang w:val="en-US"/>
        </w:rPr>
      </w:pPr>
      <w:r w:rsidRPr="003A0611">
        <w:rPr>
          <w:sz w:val="22"/>
          <w:szCs w:val="22"/>
          <w:lang w:val="en-US"/>
        </w:rPr>
        <w:t>Agenda Item:</w:t>
      </w:r>
      <w:r w:rsidRPr="003A0611">
        <w:rPr>
          <w:sz w:val="22"/>
          <w:szCs w:val="22"/>
          <w:lang w:val="en-US"/>
        </w:rPr>
        <w:tab/>
      </w:r>
      <w:r w:rsidR="00EA0D68" w:rsidRPr="003A0611">
        <w:rPr>
          <w:sz w:val="22"/>
          <w:szCs w:val="22"/>
          <w:lang w:val="en-US"/>
        </w:rPr>
        <w:t>7.2.1.2.1.1</w:t>
      </w:r>
    </w:p>
    <w:p w14:paraId="0ED1A4D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AC9210" w14:textId="77777777" w:rsidR="00E90E49" w:rsidRPr="00CE0424" w:rsidRDefault="003D3C45" w:rsidP="00547F4D">
      <w:pPr>
        <w:pStyle w:val="3GPPHeader"/>
        <w:ind w:left="1701" w:hanging="1701"/>
        <w:rPr>
          <w:sz w:val="22"/>
          <w:szCs w:val="22"/>
        </w:rPr>
      </w:pPr>
      <w:r w:rsidRPr="00EA0D68">
        <w:rPr>
          <w:sz w:val="22"/>
          <w:szCs w:val="22"/>
        </w:rPr>
        <w:t>Title:</w:t>
      </w:r>
      <w:r w:rsidR="006B5B0F" w:rsidRPr="00EA0D68">
        <w:rPr>
          <w:sz w:val="22"/>
          <w:szCs w:val="22"/>
        </w:rPr>
        <w:tab/>
      </w:r>
      <w:r w:rsidR="00EA0D68" w:rsidRPr="00EA0D68">
        <w:rPr>
          <w:sz w:val="22"/>
          <w:szCs w:val="22"/>
          <w:lang w:val="en-US"/>
        </w:rPr>
        <w:t>On supported sTTI combinations in CA scenarios</w:t>
      </w:r>
    </w:p>
    <w:p w14:paraId="466C22C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5478B6">
        <w:rPr>
          <w:sz w:val="22"/>
          <w:szCs w:val="22"/>
        </w:rPr>
        <w:t>Discussion, Decision</w:t>
      </w:r>
    </w:p>
    <w:p w14:paraId="3D7E8076" w14:textId="77777777" w:rsidR="00E90E49" w:rsidRPr="00CE0424" w:rsidRDefault="00E90E49" w:rsidP="00E90E49"/>
    <w:p w14:paraId="3912FEBE" w14:textId="77777777" w:rsidR="00E90E49" w:rsidRPr="00CE0424" w:rsidRDefault="00E90E49" w:rsidP="00CE0424">
      <w:pPr>
        <w:pStyle w:val="Heading1"/>
      </w:pPr>
      <w:bookmarkStart w:id="0" w:name="_Ref477364681"/>
      <w:r w:rsidRPr="00CE0424">
        <w:t>Introduction</w:t>
      </w:r>
      <w:bookmarkEnd w:id="0"/>
    </w:p>
    <w:p w14:paraId="28C38AA1" w14:textId="42FF115A" w:rsidR="00F30314" w:rsidRDefault="00F30314" w:rsidP="00CE0424">
      <w:pPr>
        <w:pStyle w:val="BodyText"/>
      </w:pPr>
      <w:r>
        <w:t>At RAN1#88 the supported sTTI combinations in {DL,UL} were agreed to be: {2,2}, {7,7} and {2,7}</w:t>
      </w:r>
      <w:r w:rsidR="006C6511">
        <w:t xml:space="preserve">, and also that </w:t>
      </w:r>
      <w:r w:rsidR="00267290">
        <w:t>a single configuration</w:t>
      </w:r>
      <w:r w:rsidR="006C6511">
        <w:t xml:space="preserve"> appl</w:t>
      </w:r>
      <w:r w:rsidR="009533E9">
        <w:t xml:space="preserve">ies </w:t>
      </w:r>
      <w:r w:rsidR="006C6511">
        <w:t>for the carriers within a PUCCH group.</w:t>
      </w:r>
    </w:p>
    <w:p w14:paraId="70AA0087" w14:textId="77777777" w:rsidR="00F30314" w:rsidRDefault="00F30314" w:rsidP="00CE0424">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30314" w14:paraId="32A94A76" w14:textId="77777777" w:rsidTr="008B3627">
        <w:tc>
          <w:tcPr>
            <w:tcW w:w="9629" w:type="dxa"/>
            <w:shd w:val="clear" w:color="auto" w:fill="auto"/>
          </w:tcPr>
          <w:p w14:paraId="44E3242B" w14:textId="77777777" w:rsidR="00F24F8A" w:rsidRPr="008B3627" w:rsidRDefault="00F24F8A" w:rsidP="00F24F8A">
            <w:pPr>
              <w:rPr>
                <w:rFonts w:eastAsia="MS Mincho"/>
                <w:u w:val="single"/>
                <w:lang w:val="en-US" w:eastAsia="ja-JP"/>
              </w:rPr>
            </w:pPr>
            <w:r w:rsidRPr="008B3627">
              <w:rPr>
                <w:rFonts w:eastAsia="MS Mincho"/>
                <w:highlight w:val="green"/>
                <w:u w:val="single"/>
                <w:lang w:val="en-US" w:eastAsia="ja-JP"/>
              </w:rPr>
              <w:t>Agreements:</w:t>
            </w:r>
          </w:p>
          <w:p w14:paraId="58EF5977" w14:textId="77777777" w:rsidR="00F24F8A" w:rsidRPr="008B3627" w:rsidRDefault="00F24F8A" w:rsidP="008B3627">
            <w:pPr>
              <w:numPr>
                <w:ilvl w:val="0"/>
                <w:numId w:val="17"/>
              </w:numPr>
              <w:overflowPunct/>
              <w:autoSpaceDE/>
              <w:autoSpaceDN/>
              <w:adjustRightInd/>
              <w:spacing w:after="0"/>
              <w:jc w:val="left"/>
              <w:textAlignment w:val="auto"/>
              <w:rPr>
                <w:rFonts w:eastAsia="MS Mincho"/>
                <w:lang w:val="en-US" w:eastAsia="ja-JP"/>
              </w:rPr>
            </w:pPr>
            <w:r w:rsidRPr="008B3627">
              <w:rPr>
                <w:rFonts w:eastAsia="MS Mincho"/>
                <w:lang w:val="en-US" w:eastAsia="ja-JP"/>
              </w:rPr>
              <w:t>Confirm working assumption on support for {DL,UL} sTTI combination {2,7}.</w:t>
            </w:r>
          </w:p>
          <w:p w14:paraId="71480DE2" w14:textId="77777777" w:rsidR="00F24F8A" w:rsidRPr="008B3627" w:rsidRDefault="00F24F8A" w:rsidP="008B3627">
            <w:pPr>
              <w:numPr>
                <w:ilvl w:val="0"/>
                <w:numId w:val="17"/>
              </w:numPr>
              <w:overflowPunct/>
              <w:autoSpaceDE/>
              <w:autoSpaceDN/>
              <w:adjustRightInd/>
              <w:spacing w:after="0"/>
              <w:jc w:val="left"/>
              <w:textAlignment w:val="auto"/>
              <w:rPr>
                <w:rFonts w:eastAsia="MS Mincho"/>
                <w:lang w:val="en-US" w:eastAsia="ja-JP"/>
              </w:rPr>
            </w:pPr>
            <w:r w:rsidRPr="008B3627">
              <w:rPr>
                <w:rFonts w:eastAsia="MS Mincho"/>
                <w:lang w:val="en-US" w:eastAsia="ja-JP"/>
              </w:rPr>
              <w:t>The UE is configured by higher layers to operate one of the following sTTI combination {DL, UL} wi</w:t>
            </w:r>
            <w:r w:rsidR="00B17A60" w:rsidRPr="008B3627">
              <w:rPr>
                <w:rFonts w:eastAsia="MS Mincho"/>
                <w:lang w:val="en-US" w:eastAsia="ja-JP"/>
              </w:rPr>
              <w:t>thin a PUCCH group: {2, 2}, {2,7} and {7,</w:t>
            </w:r>
            <w:r w:rsidRPr="008B3627">
              <w:rPr>
                <w:rFonts w:eastAsia="MS Mincho"/>
                <w:lang w:val="en-US" w:eastAsia="ja-JP"/>
              </w:rPr>
              <w:t>7}</w:t>
            </w:r>
          </w:p>
          <w:p w14:paraId="74498744" w14:textId="77777777" w:rsidR="00F24F8A" w:rsidRPr="008B3627" w:rsidRDefault="00F24F8A" w:rsidP="008B3627">
            <w:pPr>
              <w:numPr>
                <w:ilvl w:val="1"/>
                <w:numId w:val="17"/>
              </w:numPr>
              <w:overflowPunct/>
              <w:autoSpaceDE/>
              <w:autoSpaceDN/>
              <w:adjustRightInd/>
              <w:spacing w:after="0"/>
              <w:jc w:val="left"/>
              <w:textAlignment w:val="auto"/>
              <w:rPr>
                <w:rFonts w:eastAsia="MS Mincho"/>
                <w:lang w:val="en-US" w:eastAsia="ja-JP"/>
              </w:rPr>
            </w:pPr>
            <w:r w:rsidRPr="008B3627">
              <w:rPr>
                <w:rFonts w:eastAsia="MS Mincho"/>
                <w:lang w:val="en-US" w:eastAsia="ja-JP"/>
              </w:rPr>
              <w:t>FFS whether different sTTI combination can be configured for different PUCCH group</w:t>
            </w:r>
          </w:p>
          <w:p w14:paraId="43D738C2" w14:textId="77777777" w:rsidR="00F30314" w:rsidRPr="008B3627" w:rsidRDefault="00F30314" w:rsidP="008B3627">
            <w:pPr>
              <w:overflowPunct/>
              <w:autoSpaceDE/>
              <w:autoSpaceDN/>
              <w:adjustRightInd/>
              <w:spacing w:after="0"/>
              <w:jc w:val="left"/>
              <w:textAlignment w:val="auto"/>
              <w:rPr>
                <w:rFonts w:eastAsia="MS Mincho"/>
                <w:iCs/>
                <w:lang w:val="en-US" w:eastAsia="ja-JP"/>
              </w:rPr>
            </w:pPr>
          </w:p>
        </w:tc>
      </w:tr>
    </w:tbl>
    <w:p w14:paraId="239A5E7F" w14:textId="77777777" w:rsidR="00F30314" w:rsidRDefault="00F30314" w:rsidP="00CE0424">
      <w:pPr>
        <w:pStyle w:val="BodyText"/>
      </w:pPr>
    </w:p>
    <w:p w14:paraId="7427E881" w14:textId="77777777" w:rsidR="00F24F8A" w:rsidRPr="00CE0424" w:rsidRDefault="00F24F8A" w:rsidP="00CE0424">
      <w:pPr>
        <w:pStyle w:val="BodyText"/>
      </w:pPr>
      <w:r>
        <w:t xml:space="preserve">This paper outlines </w:t>
      </w:r>
      <w:r w:rsidR="00D7623A">
        <w:t xml:space="preserve">how to handle sTTI combinations across PUCCH groups. It also considers the allocation of </w:t>
      </w:r>
      <w:r w:rsidR="001A41B3">
        <w:t>TTI together with sTTI both within and across PUCCH groups</w:t>
      </w:r>
      <w:r w:rsidR="00C767C5">
        <w:t>.</w:t>
      </w:r>
    </w:p>
    <w:p w14:paraId="3A0F89CF" w14:textId="77777777" w:rsidR="004000E8" w:rsidRDefault="004000E8" w:rsidP="00CE0424">
      <w:pPr>
        <w:pStyle w:val="Heading1"/>
      </w:pPr>
      <w:bookmarkStart w:id="1" w:name="_Ref178064866"/>
      <w:r w:rsidRPr="00CE0424">
        <w:t>Discussion</w:t>
      </w:r>
      <w:bookmarkEnd w:id="1"/>
    </w:p>
    <w:p w14:paraId="0126A83D" w14:textId="04D0BD9A" w:rsidR="00C84966" w:rsidRDefault="00C84966" w:rsidP="00C84966">
      <w:r>
        <w:rPr>
          <w:rFonts w:eastAsia="SimSun"/>
        </w:rPr>
        <w:t xml:space="preserve">At RAN1#88 it was agreed that </w:t>
      </w:r>
      <w:r w:rsidR="00CF52CC">
        <w:rPr>
          <w:rFonts w:eastAsia="SimSun"/>
        </w:rPr>
        <w:t xml:space="preserve">the </w:t>
      </w:r>
      <w:r w:rsidR="00CE49E5">
        <w:t>same sTTI length in each direction applies to all serving cells within the PUCCH group</w:t>
      </w:r>
      <w:r>
        <w:t xml:space="preserve">, see Section </w:t>
      </w:r>
      <w:r>
        <w:fldChar w:fldCharType="begin"/>
      </w:r>
      <w:r>
        <w:instrText xml:space="preserve"> REF _Ref477364681 \r \h </w:instrText>
      </w:r>
      <w:r>
        <w:fldChar w:fldCharType="separate"/>
      </w:r>
      <w:r w:rsidR="00FA79F0">
        <w:t>1</w:t>
      </w:r>
      <w:r>
        <w:fldChar w:fldCharType="end"/>
      </w:r>
      <w:r>
        <w:t xml:space="preserve">. </w:t>
      </w:r>
    </w:p>
    <w:p w14:paraId="4310DE10" w14:textId="2799475A" w:rsidR="00C84966" w:rsidRDefault="007B505F" w:rsidP="00C84966">
      <w:r>
        <w:t>Which</w:t>
      </w:r>
      <w:r w:rsidR="00C84966" w:rsidDel="00CF52CC">
        <w:t xml:space="preserve"> </w:t>
      </w:r>
      <w:r w:rsidR="00963766">
        <w:t>configurations to allow between</w:t>
      </w:r>
      <w:r w:rsidR="00C84966">
        <w:t xml:space="preserve"> PUCCH groups in both DL and UL is still left open.</w:t>
      </w:r>
    </w:p>
    <w:p w14:paraId="7923E49A" w14:textId="77777777" w:rsidR="00C84966" w:rsidRPr="00C84966" w:rsidRDefault="00C84966" w:rsidP="00C84966">
      <w:pPr>
        <w:pStyle w:val="Heading2"/>
      </w:pPr>
      <w:r>
        <w:t>DL</w:t>
      </w:r>
    </w:p>
    <w:p w14:paraId="7105D69D" w14:textId="7D055991" w:rsidR="00AE1DB2" w:rsidRDefault="00C84966" w:rsidP="00C84966">
      <w:pPr>
        <w:rPr>
          <w:lang w:val="en-US"/>
        </w:rPr>
      </w:pPr>
      <w:r>
        <w:rPr>
          <w:lang w:val="en-US"/>
        </w:rPr>
        <w:t>For the DL, the main purpose to support shortened TTI is performance related. It has been shown that the gains in DL become larger with shorter TTI length</w:t>
      </w:r>
      <w:r w:rsidR="002D32CE">
        <w:rPr>
          <w:lang w:val="en-US"/>
        </w:rPr>
        <w:t>. The gain shown is however dependent on the load of the system</w:t>
      </w:r>
      <w:r w:rsidR="005763AD">
        <w:rPr>
          <w:lang w:val="en-US"/>
        </w:rPr>
        <w:t xml:space="preserve"> (different TTI lengths result in different control channel overhead)</w:t>
      </w:r>
      <w:r w:rsidR="002D32CE">
        <w:rPr>
          <w:lang w:val="en-US"/>
        </w:rPr>
        <w:t xml:space="preserve">. </w:t>
      </w:r>
      <w:r w:rsidR="005763AD">
        <w:rPr>
          <w:lang w:val="en-US"/>
        </w:rPr>
        <w:t>Hence, there could be some benefit in configuring different DL sTTI lengths in different carriers</w:t>
      </w:r>
      <w:r w:rsidR="00B103D9">
        <w:rPr>
          <w:lang w:val="en-US"/>
        </w:rPr>
        <w:t>, depending on the load situation</w:t>
      </w:r>
      <w:r w:rsidR="005763AD">
        <w:rPr>
          <w:lang w:val="en-US"/>
        </w:rPr>
        <w:t>.</w:t>
      </w:r>
      <w:r>
        <w:rPr>
          <w:lang w:val="en-US"/>
        </w:rPr>
        <w:t xml:space="preserve"> </w:t>
      </w:r>
      <w:r w:rsidR="00CF5F78">
        <w:rPr>
          <w:lang w:val="en-US"/>
        </w:rPr>
        <w:t>T</w:t>
      </w:r>
      <w:r w:rsidR="00287B64">
        <w:rPr>
          <w:lang w:val="en-US"/>
        </w:rPr>
        <w:t xml:space="preserve">here are </w:t>
      </w:r>
      <w:r w:rsidR="00CF5F78">
        <w:rPr>
          <w:lang w:val="en-US"/>
        </w:rPr>
        <w:t xml:space="preserve">also </w:t>
      </w:r>
      <w:r w:rsidR="00287B64">
        <w:rPr>
          <w:lang w:val="en-US"/>
        </w:rPr>
        <w:t>complexity impacts of utilizing sTTI and from an eNB perspective it may not be beneficial</w:t>
      </w:r>
      <w:r w:rsidR="00F12BED">
        <w:rPr>
          <w:lang w:val="en-US"/>
        </w:rPr>
        <w:t>/possible</w:t>
      </w:r>
      <w:r w:rsidR="00287B64">
        <w:rPr>
          <w:lang w:val="en-US"/>
        </w:rPr>
        <w:t xml:space="preserve"> to configure sTTI operation on all carriers, for example carriers with smaller bandwidth.</w:t>
      </w:r>
    </w:p>
    <w:p w14:paraId="080729D1" w14:textId="77777777" w:rsidR="0038723B" w:rsidRDefault="0038723B" w:rsidP="0038723B">
      <w:pPr>
        <w:pStyle w:val="Proposal"/>
        <w:rPr>
          <w:lang w:val="en-US"/>
        </w:rPr>
      </w:pPr>
      <w:bookmarkStart w:id="2" w:name="_Toc477367525"/>
      <w:bookmarkStart w:id="3" w:name="_Toc477944987"/>
      <w:bookmarkStart w:id="4" w:name="_Toc477945951"/>
      <w:bookmarkStart w:id="5" w:name="_Toc478119290"/>
      <w:bookmarkStart w:id="6" w:name="_Toc478119303"/>
      <w:bookmarkStart w:id="7" w:name="_Toc478119313"/>
      <w:r>
        <w:rPr>
          <w:lang w:val="en-US"/>
        </w:rPr>
        <w:t xml:space="preserve">The sTTI length in DL can be </w:t>
      </w:r>
      <w:r w:rsidR="0075031C">
        <w:rPr>
          <w:lang w:val="en-US"/>
        </w:rPr>
        <w:t xml:space="preserve">configured </w:t>
      </w:r>
      <w:r>
        <w:rPr>
          <w:lang w:val="en-US"/>
        </w:rPr>
        <w:t>different</w:t>
      </w:r>
      <w:r w:rsidR="0075031C">
        <w:rPr>
          <w:lang w:val="en-US"/>
        </w:rPr>
        <w:t>ly</w:t>
      </w:r>
      <w:r>
        <w:rPr>
          <w:lang w:val="en-US"/>
        </w:rPr>
        <w:t xml:space="preserve"> in different PUCCH groups</w:t>
      </w:r>
      <w:bookmarkEnd w:id="2"/>
      <w:bookmarkEnd w:id="3"/>
      <w:bookmarkEnd w:id="4"/>
      <w:bookmarkEnd w:id="5"/>
      <w:bookmarkEnd w:id="6"/>
      <w:bookmarkEnd w:id="7"/>
    </w:p>
    <w:p w14:paraId="15DBF63E" w14:textId="77777777" w:rsidR="0075031C" w:rsidRDefault="0075031C" w:rsidP="0075031C">
      <w:pPr>
        <w:pStyle w:val="Heading2"/>
        <w:rPr>
          <w:lang w:val="en-US"/>
        </w:rPr>
      </w:pPr>
      <w:r>
        <w:rPr>
          <w:lang w:val="en-US"/>
        </w:rPr>
        <w:t>UL</w:t>
      </w:r>
    </w:p>
    <w:p w14:paraId="32826EA8" w14:textId="63D76DE0" w:rsidR="002C27E3" w:rsidRDefault="00764CD9" w:rsidP="00764CD9">
      <w:pPr>
        <w:rPr>
          <w:lang w:val="en-US"/>
        </w:rPr>
      </w:pPr>
      <w:r>
        <w:rPr>
          <w:lang w:val="en-US"/>
        </w:rPr>
        <w:t>For UL it is observed that different TTI lengths result in different supported coverage</w:t>
      </w:r>
      <w:r w:rsidR="00F2413B">
        <w:rPr>
          <w:lang w:val="en-US"/>
        </w:rPr>
        <w:t xml:space="preserve"> levels</w:t>
      </w:r>
      <w:r>
        <w:rPr>
          <w:lang w:val="en-US"/>
        </w:rPr>
        <w:t>, as analyzed in</w:t>
      </w:r>
      <w:r w:rsidR="006925C9">
        <w:rPr>
          <w:lang w:val="en-US"/>
        </w:rPr>
        <w:t xml:space="preserve"> for example </w:t>
      </w:r>
      <w:r w:rsidR="00410792">
        <w:rPr>
          <w:lang w:val="en-US"/>
        </w:rPr>
        <w:fldChar w:fldCharType="begin"/>
      </w:r>
      <w:r w:rsidR="00410792">
        <w:rPr>
          <w:lang w:val="en-US"/>
        </w:rPr>
        <w:instrText xml:space="preserve"> REF _Ref477367320 \r \h </w:instrText>
      </w:r>
      <w:r w:rsidR="00410792">
        <w:rPr>
          <w:lang w:val="en-US"/>
        </w:rPr>
      </w:r>
      <w:r w:rsidR="00410792">
        <w:rPr>
          <w:lang w:val="en-US"/>
        </w:rPr>
        <w:fldChar w:fldCharType="separate"/>
      </w:r>
      <w:r w:rsidR="00FA79F0">
        <w:rPr>
          <w:lang w:val="en-US"/>
        </w:rPr>
        <w:t>[3]</w:t>
      </w:r>
      <w:r w:rsidR="00410792">
        <w:rPr>
          <w:lang w:val="en-US"/>
        </w:rPr>
        <w:fldChar w:fldCharType="end"/>
      </w:r>
      <w:r>
        <w:rPr>
          <w:lang w:val="en-US"/>
        </w:rPr>
        <w:t>. Correspondingl</w:t>
      </w:r>
      <w:bookmarkStart w:id="8" w:name="_GoBack"/>
      <w:bookmarkEnd w:id="8"/>
      <w:r>
        <w:rPr>
          <w:lang w:val="en-US"/>
        </w:rPr>
        <w:t>y, it is beneficial to allow sTTI operation of different UL TTI lengths on different carriers, this for example to support UCI payload for many cells or RRH deployments</w:t>
      </w:r>
      <w:r w:rsidR="00494D56">
        <w:rPr>
          <w:lang w:val="en-US"/>
        </w:rPr>
        <w:t xml:space="preserve">, see </w:t>
      </w:r>
      <w:r w:rsidR="00494D56">
        <w:rPr>
          <w:lang w:val="en-US"/>
        </w:rPr>
        <w:fldChar w:fldCharType="begin"/>
      </w:r>
      <w:r w:rsidR="00494D56">
        <w:rPr>
          <w:lang w:val="en-US"/>
        </w:rPr>
        <w:instrText xml:space="preserve"> REF _Ref477367519 \h </w:instrText>
      </w:r>
      <w:r w:rsidR="00494D56">
        <w:rPr>
          <w:lang w:val="en-US"/>
        </w:rPr>
      </w:r>
      <w:r w:rsidR="00494D56">
        <w:rPr>
          <w:lang w:val="en-US"/>
        </w:rPr>
        <w:fldChar w:fldCharType="separate"/>
      </w:r>
      <w:r w:rsidR="00FA79F0">
        <w:t xml:space="preserve">Figure </w:t>
      </w:r>
      <w:r w:rsidR="00FA79F0">
        <w:rPr>
          <w:noProof/>
        </w:rPr>
        <w:t>1</w:t>
      </w:r>
      <w:r w:rsidR="00494D56">
        <w:rPr>
          <w:lang w:val="en-US"/>
        </w:rPr>
        <w:fldChar w:fldCharType="end"/>
      </w:r>
      <w:r>
        <w:rPr>
          <w:lang w:val="en-US"/>
        </w:rPr>
        <w:t xml:space="preserve">. </w:t>
      </w:r>
    </w:p>
    <w:p w14:paraId="50DBFD78" w14:textId="77777777" w:rsidR="002C27E3" w:rsidRDefault="002C27E3" w:rsidP="002C27E3">
      <w:pPr>
        <w:jc w:val="center"/>
      </w:pPr>
      <w:r>
        <w:object w:dxaOrig="7860" w:dyaOrig="1873" w14:anchorId="3F197C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pt;height:62.5pt" o:ole="">
            <v:imagedata r:id="rId14" o:title=""/>
          </v:shape>
          <o:OLEObject Type="Embed" ProgID="Visio.Drawing.15" ShapeID="_x0000_i1025" DrawAspect="Content" ObjectID="_1551881639" r:id="rId15"/>
        </w:object>
      </w:r>
    </w:p>
    <w:p w14:paraId="2297C7A7" w14:textId="684F4C8D" w:rsidR="002C27E3" w:rsidRDefault="002C27E3" w:rsidP="002C27E3">
      <w:pPr>
        <w:pStyle w:val="Caption"/>
      </w:pPr>
      <w:bookmarkStart w:id="9" w:name="_Ref477367519"/>
      <w:r>
        <w:t xml:space="preserve">Figure </w:t>
      </w:r>
      <w:r>
        <w:fldChar w:fldCharType="begin"/>
      </w:r>
      <w:r>
        <w:instrText xml:space="preserve"> SEQ Figure \* ARABIC </w:instrText>
      </w:r>
      <w:r>
        <w:fldChar w:fldCharType="separate"/>
      </w:r>
      <w:r w:rsidR="00FA79F0">
        <w:rPr>
          <w:noProof/>
        </w:rPr>
        <w:t>1</w:t>
      </w:r>
      <w:r>
        <w:fldChar w:fldCharType="end"/>
      </w:r>
      <w:bookmarkEnd w:id="9"/>
      <w:r>
        <w:t>: UE connected to multiple radio heads</w:t>
      </w:r>
    </w:p>
    <w:p w14:paraId="33D30A17" w14:textId="4A0BB3D8" w:rsidR="002C27E3" w:rsidRDefault="00764CD9" w:rsidP="00764CD9">
      <w:pPr>
        <w:rPr>
          <w:lang w:val="en-US"/>
        </w:rPr>
      </w:pPr>
      <w:r>
        <w:rPr>
          <w:lang w:val="en-US"/>
        </w:rPr>
        <w:t xml:space="preserve">On the other hand, if the UE transmits on multiple carriers at the same time in UL it is further beneficial to give the eNB the option to align the starting and ending positions of the sTTI to limit the impact of the transmission uncertainty period. </w:t>
      </w:r>
    </w:p>
    <w:p w14:paraId="4236E594" w14:textId="77777777" w:rsidR="00D30CDE" w:rsidRDefault="00D30CDE" w:rsidP="00764CD9">
      <w:pPr>
        <w:rPr>
          <w:lang w:val="en-US"/>
        </w:rPr>
      </w:pPr>
      <w:r>
        <w:rPr>
          <w:lang w:val="en-US"/>
        </w:rPr>
        <w:t>It may thus be desirable to have the same length configured on all UL carriers. To facilitate and to enable a simple design it would be sufficient to specify support for the same sTTI length transmission from all carriers.</w:t>
      </w:r>
    </w:p>
    <w:p w14:paraId="4F1234B5" w14:textId="62AA36F9" w:rsidR="002D32CE" w:rsidRDefault="00764CD9" w:rsidP="0075031C">
      <w:pPr>
        <w:rPr>
          <w:lang w:val="en-US"/>
        </w:rPr>
      </w:pPr>
      <w:r>
        <w:rPr>
          <w:lang w:val="en-US"/>
        </w:rPr>
        <w:t>Power variation may indeed occur during the UL transmission on one carrier if transmission on another carrier is started in the middle of the first carrier’s transmission (as depicted in Figure 3)</w:t>
      </w:r>
      <w:r w:rsidR="005D6377">
        <w:rPr>
          <w:lang w:val="en-US"/>
        </w:rPr>
        <w:t>, at least if the carriers would go through the same PA</w:t>
      </w:r>
      <w:r>
        <w:rPr>
          <w:lang w:val="en-US"/>
        </w:rPr>
        <w:t>.</w:t>
      </w:r>
      <w:r w:rsidR="005D6377">
        <w:rPr>
          <w:lang w:val="en-US"/>
        </w:rPr>
        <w:t xml:space="preserve"> </w:t>
      </w:r>
      <w:r w:rsidR="00D3074B">
        <w:rPr>
          <w:lang w:val="en-US"/>
        </w:rPr>
        <w:t xml:space="preserve">In the current UE design, no such power variations within the configured </w:t>
      </w:r>
      <w:r w:rsidR="007B505F">
        <w:rPr>
          <w:lang w:val="en-US"/>
        </w:rPr>
        <w:t>o</w:t>
      </w:r>
      <w:r w:rsidR="00D3074B">
        <w:rPr>
          <w:lang w:val="en-US"/>
        </w:rPr>
        <w:t>utput power measurement window i</w:t>
      </w:r>
      <w:r w:rsidR="007B505F">
        <w:rPr>
          <w:lang w:val="en-US"/>
        </w:rPr>
        <w:t>s</w:t>
      </w:r>
      <w:r w:rsidR="00D3074B">
        <w:rPr>
          <w:lang w:val="en-US"/>
        </w:rPr>
        <w:t xml:space="preserve"> allowed, thus, when multiple carriers are transmitted using single PA, different TTI duration across the carriers may not be allowed. </w:t>
      </w:r>
      <w:r w:rsidR="005D6377">
        <w:rPr>
          <w:lang w:val="en-US"/>
        </w:rPr>
        <w:t>In case of separate transmi</w:t>
      </w:r>
      <w:r w:rsidR="00434DCC">
        <w:rPr>
          <w:lang w:val="en-US"/>
        </w:rPr>
        <w:t>t</w:t>
      </w:r>
      <w:r w:rsidR="005D6377">
        <w:rPr>
          <w:lang w:val="en-US"/>
        </w:rPr>
        <w:t xml:space="preserve"> </w:t>
      </w:r>
      <w:r w:rsidR="003A0611">
        <w:rPr>
          <w:lang w:val="en-US"/>
        </w:rPr>
        <w:t>chains,</w:t>
      </w:r>
      <w:r w:rsidR="005D6377">
        <w:rPr>
          <w:lang w:val="en-US"/>
        </w:rPr>
        <w:t xml:space="preserve"> the </w:t>
      </w:r>
      <w:r w:rsidR="003A0611">
        <w:rPr>
          <w:lang w:val="en-US"/>
        </w:rPr>
        <w:t>situation is different, but there is still a relation between them, since the UE is limited to a total transmit power across all antenna connectors</w:t>
      </w:r>
      <w:r w:rsidR="00AE68E6">
        <w:rPr>
          <w:lang w:val="en-US"/>
        </w:rPr>
        <w:t xml:space="preserve"> (PCMAX)</w:t>
      </w:r>
      <w:r w:rsidR="003A0611">
        <w:rPr>
          <w:lang w:val="en-US"/>
        </w:rPr>
        <w:t>.</w:t>
      </w:r>
    </w:p>
    <w:p w14:paraId="087CEAB6" w14:textId="77777777" w:rsidR="00C84966" w:rsidRDefault="00790B5E" w:rsidP="00C84966">
      <w:pPr>
        <w:jc w:val="center"/>
        <w:rPr>
          <w:lang w:val="en-US"/>
        </w:rPr>
      </w:pPr>
      <w:r w:rsidRPr="008B3627">
        <w:rPr>
          <w:noProof/>
          <w:lang w:val="sv-SE" w:eastAsia="sv-SE"/>
        </w:rPr>
        <w:drawing>
          <wp:inline distT="0" distB="0" distL="0" distR="0" wp14:anchorId="4FC15854" wp14:editId="4766729F">
            <wp:extent cx="4953000" cy="2286000"/>
            <wp:effectExtent l="0" t="0" r="0" b="0"/>
            <wp:docPr id="2" name="Picture 1" descr="Pictur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0" cy="2286000"/>
                    </a:xfrm>
                    <a:prstGeom prst="rect">
                      <a:avLst/>
                    </a:prstGeom>
                    <a:noFill/>
                    <a:ln>
                      <a:noFill/>
                    </a:ln>
                  </pic:spPr>
                </pic:pic>
              </a:graphicData>
            </a:graphic>
          </wp:inline>
        </w:drawing>
      </w:r>
    </w:p>
    <w:p w14:paraId="3B44EB42" w14:textId="495A8E63" w:rsidR="00C84966" w:rsidRDefault="00C84966" w:rsidP="00C84966">
      <w:pPr>
        <w:pStyle w:val="Caption"/>
        <w:rPr>
          <w:lang w:val="en-US"/>
        </w:rPr>
      </w:pPr>
      <w:bookmarkStart w:id="10" w:name="_Ref477938381"/>
      <w:r>
        <w:t xml:space="preserve">Figure </w:t>
      </w:r>
      <w:r>
        <w:fldChar w:fldCharType="begin"/>
      </w:r>
      <w:r>
        <w:instrText xml:space="preserve"> SEQ Figure \* ARABIC </w:instrText>
      </w:r>
      <w:r>
        <w:fldChar w:fldCharType="separate"/>
      </w:r>
      <w:r w:rsidR="00FA79F0">
        <w:rPr>
          <w:noProof/>
        </w:rPr>
        <w:t>2</w:t>
      </w:r>
      <w:r>
        <w:fldChar w:fldCharType="end"/>
      </w:r>
      <w:bookmarkEnd w:id="10"/>
      <w:r>
        <w:t xml:space="preserve">: </w:t>
      </w:r>
      <w:r>
        <w:rPr>
          <w:lang w:val="en-US"/>
        </w:rPr>
        <w:t>Power variation in the middle of a slot UL TTI due to the transmission of overlapping 2os UL TTI</w:t>
      </w:r>
    </w:p>
    <w:p w14:paraId="5E022415" w14:textId="6ADA05D9" w:rsidR="003A0611" w:rsidRDefault="00656B7F" w:rsidP="00C84966">
      <w:pPr>
        <w:rPr>
          <w:lang w:val="en-US"/>
        </w:rPr>
      </w:pPr>
      <w:r>
        <w:rPr>
          <w:lang w:val="en-US"/>
        </w:rPr>
        <w:t xml:space="preserve">In the following, it is assumed that </w:t>
      </w:r>
      <w:r w:rsidR="006A19AF">
        <w:rPr>
          <w:lang w:val="en-US"/>
        </w:rPr>
        <w:t>separate transmit chains are used by the UE when transmitting across different PUCCH groups</w:t>
      </w:r>
      <w:r w:rsidR="007059B8">
        <w:rPr>
          <w:lang w:val="en-US"/>
        </w:rPr>
        <w:t xml:space="preserve">, considering that the above mentioned power allocation issues in </w:t>
      </w:r>
      <w:r w:rsidR="007059B8">
        <w:rPr>
          <w:lang w:val="en-US"/>
        </w:rPr>
        <w:fldChar w:fldCharType="begin"/>
      </w:r>
      <w:r w:rsidR="007059B8">
        <w:rPr>
          <w:lang w:val="en-US"/>
        </w:rPr>
        <w:instrText xml:space="preserve"> REF _Ref477938381 \h </w:instrText>
      </w:r>
      <w:r w:rsidR="007059B8">
        <w:rPr>
          <w:lang w:val="en-US"/>
        </w:rPr>
      </w:r>
      <w:r w:rsidR="007059B8">
        <w:rPr>
          <w:lang w:val="en-US"/>
        </w:rPr>
        <w:fldChar w:fldCharType="separate"/>
      </w:r>
      <w:r w:rsidR="00FA79F0">
        <w:t xml:space="preserve">Figure </w:t>
      </w:r>
      <w:r w:rsidR="00FA79F0">
        <w:rPr>
          <w:noProof/>
        </w:rPr>
        <w:t>2</w:t>
      </w:r>
      <w:r w:rsidR="007059B8">
        <w:rPr>
          <w:lang w:val="en-US"/>
        </w:rPr>
        <w:fldChar w:fldCharType="end"/>
      </w:r>
      <w:r w:rsidR="007059B8">
        <w:rPr>
          <w:lang w:val="en-US"/>
        </w:rPr>
        <w:t xml:space="preserve"> should be avoided</w:t>
      </w:r>
      <w:r w:rsidR="000E237F">
        <w:rPr>
          <w:lang w:val="en-US"/>
        </w:rPr>
        <w:t>.</w:t>
      </w:r>
      <w:r w:rsidR="007059B8">
        <w:rPr>
          <w:lang w:val="en-US"/>
        </w:rPr>
        <w:t xml:space="preserve"> </w:t>
      </w:r>
      <w:r w:rsidR="000E237F">
        <w:rPr>
          <w:lang w:val="en-US"/>
        </w:rPr>
        <w:t>T</w:t>
      </w:r>
      <w:r w:rsidR="007059B8">
        <w:rPr>
          <w:lang w:val="en-US"/>
        </w:rPr>
        <w:t>his is also a proposed restriction if multiple TTI lengths are to be allowed across PUCCH groups</w:t>
      </w:r>
      <w:r w:rsidR="006A19AF">
        <w:rPr>
          <w:lang w:val="en-US"/>
        </w:rPr>
        <w:t>.</w:t>
      </w:r>
    </w:p>
    <w:p w14:paraId="132F230E" w14:textId="77777777" w:rsidR="0067359C" w:rsidRDefault="00B85811" w:rsidP="001048E8">
      <w:pPr>
        <w:pStyle w:val="Observation"/>
        <w:rPr>
          <w:lang w:val="en-US"/>
        </w:rPr>
      </w:pPr>
      <w:bookmarkStart w:id="11" w:name="_Toc477944988"/>
      <w:bookmarkStart w:id="12" w:name="_Toc477945952"/>
      <w:bookmarkStart w:id="13" w:name="_Toc478119286"/>
      <w:bookmarkStart w:id="14" w:name="_Toc478119299"/>
      <w:bookmarkStart w:id="15" w:name="_Toc478119309"/>
      <w:r>
        <w:rPr>
          <w:lang w:val="en-US"/>
        </w:rPr>
        <w:t xml:space="preserve">To minimize impact on </w:t>
      </w:r>
      <w:r w:rsidR="00E476D5">
        <w:rPr>
          <w:lang w:val="en-US"/>
        </w:rPr>
        <w:t xml:space="preserve">implementation and specification work, the possibility of different </w:t>
      </w:r>
      <w:r w:rsidR="00790B5E">
        <w:rPr>
          <w:lang w:val="en-US"/>
        </w:rPr>
        <w:t>s</w:t>
      </w:r>
      <w:r w:rsidR="00E476D5">
        <w:rPr>
          <w:lang w:val="en-US"/>
        </w:rPr>
        <w:t>TTI lengths in different PUCCH groups should only be considered for the case that they are mapped to different transmit chains in the UE</w:t>
      </w:r>
      <w:bookmarkEnd w:id="11"/>
      <w:bookmarkEnd w:id="12"/>
      <w:bookmarkEnd w:id="13"/>
      <w:bookmarkEnd w:id="14"/>
      <w:bookmarkEnd w:id="15"/>
    </w:p>
    <w:p w14:paraId="1260995E" w14:textId="77777777" w:rsidR="008D2E01" w:rsidRDefault="0019058D" w:rsidP="00C84966">
      <w:pPr>
        <w:rPr>
          <w:lang w:val="en-US"/>
        </w:rPr>
      </w:pPr>
      <w:r>
        <w:rPr>
          <w:lang w:val="en-US"/>
        </w:rPr>
        <w:t>It is further assumed that:</w:t>
      </w:r>
    </w:p>
    <w:p w14:paraId="1EE8775A" w14:textId="478D4C6D" w:rsidR="0019058D" w:rsidRDefault="0019058D" w:rsidP="0019058D">
      <w:pPr>
        <w:pStyle w:val="ListParagraph"/>
        <w:numPr>
          <w:ilvl w:val="0"/>
          <w:numId w:val="18"/>
        </w:numPr>
        <w:rPr>
          <w:lang w:val="en-US"/>
        </w:rPr>
      </w:pPr>
      <w:r>
        <w:rPr>
          <w:lang w:val="en-US"/>
        </w:rPr>
        <w:t>The signal power transmitted through each transmit chain should remain</w:t>
      </w:r>
      <w:r w:rsidR="00CF52CC">
        <w:rPr>
          <w:lang w:val="en-US"/>
        </w:rPr>
        <w:t xml:space="preserve"> </w:t>
      </w:r>
      <w:r w:rsidR="00BD27AA">
        <w:rPr>
          <w:lang w:val="en-US"/>
        </w:rPr>
        <w:t xml:space="preserve">unchanged </w:t>
      </w:r>
      <w:r>
        <w:rPr>
          <w:lang w:val="en-US"/>
        </w:rPr>
        <w:t>across the (s)TTI duration</w:t>
      </w:r>
      <w:r w:rsidR="008F04E2">
        <w:rPr>
          <w:lang w:val="en-US"/>
        </w:rPr>
        <w:t>. This is to avoid possible impact to the phase, and possibly the</w:t>
      </w:r>
      <w:r w:rsidR="00884708">
        <w:rPr>
          <w:lang w:val="en-US"/>
        </w:rPr>
        <w:t xml:space="preserve"> amplitude, causing issues in demodulation.</w:t>
      </w:r>
    </w:p>
    <w:p w14:paraId="5737871E" w14:textId="12B9D3D5" w:rsidR="0019058D" w:rsidRPr="0019058D" w:rsidRDefault="00894990" w:rsidP="0019058D">
      <w:pPr>
        <w:pStyle w:val="ListParagraph"/>
        <w:numPr>
          <w:ilvl w:val="0"/>
          <w:numId w:val="18"/>
        </w:numPr>
        <w:rPr>
          <w:lang w:val="en-US"/>
        </w:rPr>
      </w:pPr>
      <w:r>
        <w:rPr>
          <w:lang w:val="en-US"/>
        </w:rPr>
        <w:t xml:space="preserve">The same power per carrier should be </w:t>
      </w:r>
      <w:r w:rsidR="00BD27AA">
        <w:rPr>
          <w:lang w:val="en-US"/>
        </w:rPr>
        <w:t>unchanged</w:t>
      </w:r>
      <w:r>
        <w:rPr>
          <w:lang w:val="en-US"/>
        </w:rPr>
        <w:t xml:space="preserve"> over the TTI </w:t>
      </w:r>
      <w:r w:rsidR="00884708">
        <w:rPr>
          <w:lang w:val="en-US"/>
        </w:rPr>
        <w:t>for the same reasons as in 1)</w:t>
      </w:r>
      <w:r w:rsidR="005D5F63">
        <w:rPr>
          <w:lang w:val="en-US"/>
        </w:rPr>
        <w:t>.</w:t>
      </w:r>
    </w:p>
    <w:p w14:paraId="0847786C" w14:textId="77777777" w:rsidR="00360B1E" w:rsidRDefault="00A4540D" w:rsidP="00C84966">
      <w:pPr>
        <w:rPr>
          <w:lang w:val="en-US"/>
        </w:rPr>
      </w:pPr>
      <w:r>
        <w:rPr>
          <w:lang w:val="en-US"/>
        </w:rPr>
        <w:t xml:space="preserve">If sTTI:s are overlapping in time in the UL, it would </w:t>
      </w:r>
      <w:r w:rsidR="007E67CE">
        <w:rPr>
          <w:lang w:val="en-US"/>
        </w:rPr>
        <w:t xml:space="preserve">help if the UE could calculate its power allocation before starting the transmission to comply with </w:t>
      </w:r>
      <w:r w:rsidR="008D4F7A">
        <w:rPr>
          <w:lang w:val="en-US"/>
        </w:rPr>
        <w:t xml:space="preserve">1) and </w:t>
      </w:r>
      <w:r w:rsidR="007E67CE">
        <w:rPr>
          <w:lang w:val="en-US"/>
        </w:rPr>
        <w:t>2) above.</w:t>
      </w:r>
    </w:p>
    <w:p w14:paraId="38E377A4" w14:textId="255D1F62" w:rsidR="00A368AE" w:rsidRDefault="0024339D" w:rsidP="00C84966">
      <w:pPr>
        <w:rPr>
          <w:lang w:val="en-US"/>
        </w:rPr>
      </w:pPr>
      <w:r>
        <w:rPr>
          <w:lang w:val="en-US"/>
        </w:rPr>
        <w:t>In</w:t>
      </w:r>
      <w:r w:rsidR="0019058D">
        <w:rPr>
          <w:lang w:val="en-US"/>
        </w:rPr>
        <w:t xml:space="preserve"> </w:t>
      </w:r>
      <w:r w:rsidR="00223736">
        <w:rPr>
          <w:lang w:val="en-US"/>
        </w:rPr>
        <w:fldChar w:fldCharType="begin"/>
      </w:r>
      <w:r w:rsidR="00223736">
        <w:rPr>
          <w:lang w:val="en-US"/>
        </w:rPr>
        <w:instrText xml:space="preserve"> REF _Ref477421246 \h </w:instrText>
      </w:r>
      <w:r w:rsidR="00223736">
        <w:rPr>
          <w:lang w:val="en-US"/>
        </w:rPr>
      </w:r>
      <w:r w:rsidR="00223736">
        <w:rPr>
          <w:lang w:val="en-US"/>
        </w:rPr>
        <w:fldChar w:fldCharType="separate"/>
      </w:r>
      <w:r w:rsidR="00FA79F0">
        <w:t xml:space="preserve">Figure </w:t>
      </w:r>
      <w:r w:rsidR="00FA79F0">
        <w:rPr>
          <w:noProof/>
        </w:rPr>
        <w:t>3</w:t>
      </w:r>
      <w:r w:rsidR="00223736">
        <w:rPr>
          <w:lang w:val="en-US"/>
        </w:rPr>
        <w:fldChar w:fldCharType="end"/>
      </w:r>
      <w:r w:rsidR="00223736">
        <w:rPr>
          <w:lang w:val="en-US"/>
        </w:rPr>
        <w:t xml:space="preserve">, the minimum </w:t>
      </w:r>
      <w:r w:rsidR="008A33DD">
        <w:rPr>
          <w:lang w:val="en-US"/>
        </w:rPr>
        <w:t xml:space="preserve">expected time in the case of </w:t>
      </w:r>
      <w:r w:rsidR="0015636F">
        <w:rPr>
          <w:lang w:val="en-US"/>
        </w:rPr>
        <w:t xml:space="preserve">UL </w:t>
      </w:r>
      <w:r w:rsidR="00CC4DD9">
        <w:rPr>
          <w:lang w:val="en-US"/>
        </w:rPr>
        <w:t xml:space="preserve">sTTI </w:t>
      </w:r>
      <w:r w:rsidR="0015636F">
        <w:rPr>
          <w:lang w:val="en-US"/>
        </w:rPr>
        <w:t>operation of both 2os and 7os is illustrated</w:t>
      </w:r>
      <w:r w:rsidR="00046785">
        <w:rPr>
          <w:lang w:val="en-US"/>
        </w:rPr>
        <w:t xml:space="preserve">. </w:t>
      </w:r>
      <w:r w:rsidR="0015636F">
        <w:rPr>
          <w:lang w:val="en-US"/>
        </w:rPr>
        <w:t>The minimum timing between the UL grant for 2os before starting the transmission of the 7os sTTI is illustrated by dashed arrows.</w:t>
      </w:r>
      <w:r w:rsidR="00A368AE">
        <w:rPr>
          <w:lang w:val="en-US"/>
        </w:rPr>
        <w:t xml:space="preserve"> </w:t>
      </w:r>
    </w:p>
    <w:p w14:paraId="09718F18" w14:textId="7EF435D4" w:rsidR="00790B5E" w:rsidRDefault="00A368AE" w:rsidP="00790B5E">
      <w:pPr>
        <w:rPr>
          <w:lang w:val="en-US"/>
        </w:rPr>
      </w:pPr>
      <w:r>
        <w:rPr>
          <w:lang w:val="en-US"/>
        </w:rPr>
        <w:t xml:space="preserve">However, the </w:t>
      </w:r>
      <w:r w:rsidR="00E5233B">
        <w:rPr>
          <w:lang w:val="en-US"/>
        </w:rPr>
        <w:t xml:space="preserve">actual </w:t>
      </w:r>
      <w:r>
        <w:rPr>
          <w:lang w:val="en-US"/>
        </w:rPr>
        <w:t xml:space="preserve">minimum timing will be impacted by the assigned TA, the maximum TA difference allowed between carriers. </w:t>
      </w:r>
    </w:p>
    <w:p w14:paraId="648B4E41" w14:textId="258C0C0A" w:rsidR="00A368AE" w:rsidRPr="00790B5E" w:rsidRDefault="00790B5E" w:rsidP="00BB6B36">
      <w:pPr>
        <w:jc w:val="center"/>
        <w:rPr>
          <w:lang w:val="en-US"/>
        </w:rPr>
      </w:pPr>
      <m:oMathPara>
        <m:oMath>
          <m:r>
            <w:rPr>
              <w:rFonts w:ascii="Cambria Math" w:hAnsi="Cambria Math"/>
              <w:lang w:val="en-US"/>
            </w:rPr>
            <m:t>2</m:t>
          </m:r>
          <m:d>
            <m:dPr>
              <m:ctrlPr>
                <w:rPr>
                  <w:rFonts w:ascii="Cambria Math" w:hAnsi="Cambria Math"/>
                  <w:i/>
                  <w:lang w:val="en-US"/>
                </w:rPr>
              </m:ctrlPr>
            </m:dPr>
            <m:e>
              <m:r>
                <w:rPr>
                  <w:rFonts w:ascii="Cambria Math" w:hAnsi="Cambria Math"/>
                  <w:lang w:val="en-US"/>
                </w:rPr>
                <m:t>66.7+4.7</m:t>
              </m:r>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TA</m:t>
              </m:r>
            </m:e>
            <m:sub>
              <m:r>
                <w:rPr>
                  <w:rFonts w:ascii="Cambria Math" w:hAnsi="Cambria Math"/>
                  <w:lang w:val="en-US"/>
                </w:rPr>
                <m:t>max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TA</m:t>
              </m:r>
            </m:e>
            <m:sub>
              <m:r>
                <w:rPr>
                  <w:rFonts w:ascii="Cambria Math" w:hAnsi="Cambria Math"/>
                  <w:lang w:val="en-US"/>
                </w:rPr>
                <m:t>∆</m:t>
              </m:r>
            </m:sub>
          </m:sSub>
        </m:oMath>
      </m:oMathPara>
    </w:p>
    <w:p w14:paraId="4F45F8D7" w14:textId="5FB6AA2B" w:rsidR="001C7101" w:rsidRDefault="006654DF" w:rsidP="001C7101">
      <w:pPr>
        <w:jc w:val="left"/>
        <w:rPr>
          <w:lang w:val="en-US"/>
        </w:rPr>
      </w:pPr>
      <w:r>
        <w:rPr>
          <w:lang w:val="en-US"/>
        </w:rPr>
        <w:t xml:space="preserve">Assuming for example a max TA of 67 us, a max TA difference of </w:t>
      </w:r>
      <w:r w:rsidR="002442E9" w:rsidRPr="00190C6C">
        <w:rPr>
          <w:lang w:val="en-US"/>
        </w:rPr>
        <w:t>3</w:t>
      </w:r>
      <w:r w:rsidR="00DC22A7" w:rsidRPr="00190C6C">
        <w:rPr>
          <w:lang w:val="en-US"/>
        </w:rPr>
        <w:t>2.47</w:t>
      </w:r>
      <w:r w:rsidR="002442E9">
        <w:rPr>
          <w:lang w:val="en-US"/>
        </w:rPr>
        <w:t xml:space="preserve"> us </w:t>
      </w:r>
      <w:r w:rsidR="005F7684">
        <w:rPr>
          <w:lang w:val="en-US"/>
        </w:rPr>
        <w:t xml:space="preserve">(currently allowed in </w:t>
      </w:r>
      <w:r w:rsidR="00BD27AA">
        <w:rPr>
          <w:lang w:val="en-US"/>
        </w:rPr>
        <w:t xml:space="preserve">CA </w:t>
      </w:r>
      <w:r w:rsidR="00DC22A7">
        <w:rPr>
          <w:lang w:val="en-US"/>
        </w:rPr>
        <w:t xml:space="preserve">and synchronous </w:t>
      </w:r>
      <w:r w:rsidR="005F7684">
        <w:rPr>
          <w:lang w:val="en-US"/>
        </w:rPr>
        <w:t>DC operation</w:t>
      </w:r>
      <w:r w:rsidR="00DC22A7">
        <w:rPr>
          <w:lang w:val="en-US"/>
        </w:rPr>
        <w:t xml:space="preserve"> when UL aggregated carriers are in different TAGs</w:t>
      </w:r>
      <w:r w:rsidR="005F7684">
        <w:rPr>
          <w:lang w:val="en-US"/>
        </w:rPr>
        <w:t>)</w:t>
      </w:r>
      <w:r w:rsidR="00F1113D">
        <w:rPr>
          <w:lang w:val="en-US"/>
        </w:rPr>
        <w:t>,</w:t>
      </w:r>
      <w:r w:rsidR="005F7684">
        <w:rPr>
          <w:lang w:val="en-US"/>
        </w:rPr>
        <w:t xml:space="preserve"> </w:t>
      </w:r>
      <w:r w:rsidR="002442E9">
        <w:rPr>
          <w:lang w:val="en-US"/>
        </w:rPr>
        <w:t xml:space="preserve">and a transient period </w:t>
      </w:r>
      <w:r w:rsidR="0071282F">
        <w:rPr>
          <w:lang w:val="en-US"/>
        </w:rPr>
        <w:t xml:space="preserve">outside the nominal sTTI border </w:t>
      </w:r>
      <w:r w:rsidR="002442E9">
        <w:rPr>
          <w:lang w:val="en-US"/>
        </w:rPr>
        <w:t>of 20 us</w:t>
      </w:r>
      <w:r w:rsidR="00F1113D">
        <w:rPr>
          <w:lang w:val="en-US"/>
        </w:rPr>
        <w:t>,</w:t>
      </w:r>
      <w:r w:rsidR="002442E9">
        <w:rPr>
          <w:lang w:val="en-US"/>
        </w:rPr>
        <w:t xml:space="preserve"> the remaining processing time to recalculate </w:t>
      </w:r>
      <w:r w:rsidR="00DE3CE6">
        <w:rPr>
          <w:lang w:val="en-US"/>
        </w:rPr>
        <w:t>the PCMAX</w:t>
      </w:r>
      <w:r w:rsidR="001E1DBB">
        <w:rPr>
          <w:lang w:val="en-US"/>
        </w:rPr>
        <w:t>/power allocation</w:t>
      </w:r>
      <w:r w:rsidR="00DE3CE6">
        <w:rPr>
          <w:lang w:val="en-US"/>
        </w:rPr>
        <w:t xml:space="preserve"> for the UE would be roughly </w:t>
      </w:r>
      <w:r w:rsidR="00537AA7">
        <w:rPr>
          <w:b/>
          <w:lang w:val="en-US"/>
        </w:rPr>
        <w:t>43</w:t>
      </w:r>
      <w:r w:rsidR="00DE3CE6" w:rsidRPr="00DE3CE6">
        <w:rPr>
          <w:b/>
          <w:lang w:val="en-US"/>
        </w:rPr>
        <w:t xml:space="preserve"> us</w:t>
      </w:r>
      <w:r w:rsidR="00DE3CE6">
        <w:rPr>
          <w:lang w:val="en-US"/>
        </w:rPr>
        <w:t>.</w:t>
      </w:r>
      <w:r w:rsidR="00537AA7">
        <w:rPr>
          <w:lang w:val="en-US"/>
        </w:rPr>
        <w:t xml:space="preserve"> It could be noted that the transient period could have an additional impact to this figure, considering that RAN4 is allowing the transient to happen outside the nominal sTTI border.</w:t>
      </w:r>
    </w:p>
    <w:p w14:paraId="4A683928" w14:textId="42FF42A7" w:rsidR="008C50F7" w:rsidRDefault="007C76DA" w:rsidP="001C7101">
      <w:pPr>
        <w:jc w:val="left"/>
        <w:rPr>
          <w:lang w:val="en-US"/>
        </w:rPr>
      </w:pPr>
      <w:r>
        <w:rPr>
          <w:lang w:val="en-US"/>
        </w:rPr>
        <w:t xml:space="preserve">With a N+6 </w:t>
      </w:r>
      <w:r w:rsidR="005448F0">
        <w:rPr>
          <w:lang w:val="en-US"/>
        </w:rPr>
        <w:t>timing it looks from the figure that the time window would be longer for the PCMAX</w:t>
      </w:r>
      <w:r w:rsidR="001E1DBB">
        <w:rPr>
          <w:lang w:val="en-US"/>
        </w:rPr>
        <w:t>/power allocation</w:t>
      </w:r>
      <w:r w:rsidR="005448F0">
        <w:rPr>
          <w:lang w:val="en-US"/>
        </w:rPr>
        <w:t xml:space="preserve"> recalculation, but this is not true </w:t>
      </w:r>
      <w:r w:rsidR="00086146">
        <w:rPr>
          <w:lang w:val="en-US"/>
        </w:rPr>
        <w:t xml:space="preserve">in case the max TA is increased </w:t>
      </w:r>
      <w:r w:rsidR="002062DE">
        <w:rPr>
          <w:lang w:val="en-US"/>
        </w:rPr>
        <w:t>accordingly</w:t>
      </w:r>
      <w:r w:rsidR="00B01215">
        <w:rPr>
          <w:lang w:val="en-US"/>
        </w:rPr>
        <w:t xml:space="preserve"> (which is a possible solution being currently discussed in RAN1)</w:t>
      </w:r>
      <w:r w:rsidR="009D51E3">
        <w:rPr>
          <w:lang w:val="en-US"/>
        </w:rPr>
        <w:t>.</w:t>
      </w:r>
    </w:p>
    <w:p w14:paraId="55ACE8D1" w14:textId="06154571" w:rsidR="007340C0" w:rsidRDefault="007340C0" w:rsidP="001C7101">
      <w:pPr>
        <w:jc w:val="left"/>
        <w:rPr>
          <w:lang w:val="en-US"/>
        </w:rPr>
      </w:pPr>
      <w:r>
        <w:rPr>
          <w:lang w:val="en-US"/>
        </w:rPr>
        <w:t xml:space="preserve">Hence, the time to decode the sPDCCH, </w:t>
      </w:r>
      <w:r w:rsidR="005D2194">
        <w:rPr>
          <w:lang w:val="en-US"/>
        </w:rPr>
        <w:t xml:space="preserve">recalculate PCMAX/power allocation, and </w:t>
      </w:r>
      <w:r w:rsidR="002C05E3">
        <w:rPr>
          <w:lang w:val="en-US"/>
        </w:rPr>
        <w:t>perform baseband power control and RF powe</w:t>
      </w:r>
      <w:r w:rsidR="00D66132">
        <w:rPr>
          <w:lang w:val="en-US"/>
        </w:rPr>
        <w:t xml:space="preserve">r control </w:t>
      </w:r>
      <w:r w:rsidR="00B63BB1">
        <w:rPr>
          <w:lang w:val="en-US"/>
        </w:rPr>
        <w:t>should</w:t>
      </w:r>
      <w:r w:rsidR="00D66132">
        <w:rPr>
          <w:lang w:val="en-US"/>
        </w:rPr>
        <w:t xml:space="preserve"> be understood before it can be concluded if the specifications can require the UE to be aware of any overlapping sTTI allocations.</w:t>
      </w:r>
    </w:p>
    <w:p w14:paraId="72956239" w14:textId="356E29C4" w:rsidR="007340C0" w:rsidRDefault="005252B2" w:rsidP="007340C0">
      <w:pPr>
        <w:pStyle w:val="Observation"/>
        <w:rPr>
          <w:lang w:val="en-US"/>
        </w:rPr>
      </w:pPr>
      <w:bookmarkStart w:id="16" w:name="_Toc477944984"/>
      <w:bookmarkStart w:id="17" w:name="_Toc477945948"/>
      <w:bookmarkStart w:id="18" w:name="_Toc478119287"/>
      <w:bookmarkStart w:id="19" w:name="_Toc478119300"/>
      <w:bookmarkStart w:id="20" w:name="_Toc478119310"/>
      <w:r>
        <w:rPr>
          <w:lang w:val="en-US"/>
        </w:rPr>
        <w:t>T</w:t>
      </w:r>
      <w:r w:rsidR="007340C0">
        <w:rPr>
          <w:lang w:val="en-US"/>
        </w:rPr>
        <w:t xml:space="preserve">o understand </w:t>
      </w:r>
      <w:r>
        <w:rPr>
          <w:lang w:val="en-US"/>
        </w:rPr>
        <w:t>if the UE can be aware of overlapping sTTI allocations clarification is required regarding the required reaction time from sPDCCH reception to execution of a new power allocation/PCMAX</w:t>
      </w:r>
      <w:bookmarkEnd w:id="16"/>
      <w:bookmarkEnd w:id="17"/>
      <w:bookmarkEnd w:id="18"/>
      <w:bookmarkEnd w:id="19"/>
      <w:bookmarkEnd w:id="20"/>
    </w:p>
    <w:p w14:paraId="5E451473" w14:textId="67AA0FE5" w:rsidR="00895066" w:rsidRDefault="00895066" w:rsidP="00895066">
      <w:pPr>
        <w:pStyle w:val="Proposal"/>
        <w:rPr>
          <w:lang w:val="en-US"/>
        </w:rPr>
      </w:pPr>
      <w:bookmarkStart w:id="21" w:name="_Toc477944989"/>
      <w:bookmarkStart w:id="22" w:name="_Toc477945953"/>
      <w:bookmarkStart w:id="23" w:name="_Toc478119291"/>
      <w:bookmarkStart w:id="24" w:name="_Toc478119304"/>
      <w:bookmarkStart w:id="25" w:name="_Toc478119314"/>
      <w:r>
        <w:rPr>
          <w:lang w:val="en-US"/>
        </w:rPr>
        <w:t>Send an LS to RAN4 to clarify the required reaction time from sPDCCH reception to execution of a new power allocation/PCMAX</w:t>
      </w:r>
      <w:bookmarkEnd w:id="21"/>
      <w:bookmarkEnd w:id="22"/>
      <w:bookmarkEnd w:id="23"/>
      <w:bookmarkEnd w:id="24"/>
      <w:bookmarkEnd w:id="25"/>
    </w:p>
    <w:p w14:paraId="1B658056" w14:textId="77777777" w:rsidR="007F11DE" w:rsidRDefault="00177379" w:rsidP="00B01215">
      <w:pPr>
        <w:jc w:val="center"/>
      </w:pPr>
      <w:r>
        <w:object w:dxaOrig="16345" w:dyaOrig="4704" w14:anchorId="40480B03">
          <v:shape id="_x0000_i1026" type="#_x0000_t75" style="width:481.5pt;height:139pt" o:ole="">
            <v:imagedata r:id="rId17" o:title=""/>
          </v:shape>
          <o:OLEObject Type="Embed" ProgID="Visio.Drawing.15" ShapeID="_x0000_i1026" DrawAspect="Content" ObjectID="_1551881640" r:id="rId18"/>
        </w:object>
      </w:r>
    </w:p>
    <w:p w14:paraId="1FF91DB0" w14:textId="7883A479" w:rsidR="00660293" w:rsidRDefault="00660293" w:rsidP="00660293">
      <w:pPr>
        <w:pStyle w:val="Caption"/>
      </w:pPr>
      <w:bookmarkStart w:id="26" w:name="_Ref477421246"/>
      <w:r>
        <w:t xml:space="preserve">Figure </w:t>
      </w:r>
      <w:r>
        <w:fldChar w:fldCharType="begin"/>
      </w:r>
      <w:r>
        <w:instrText xml:space="preserve"> SEQ Figure \* ARABIC </w:instrText>
      </w:r>
      <w:r>
        <w:fldChar w:fldCharType="separate"/>
      </w:r>
      <w:r w:rsidR="00FA79F0">
        <w:rPr>
          <w:noProof/>
        </w:rPr>
        <w:t>3</w:t>
      </w:r>
      <w:r>
        <w:fldChar w:fldCharType="end"/>
      </w:r>
      <w:bookmarkEnd w:id="26"/>
      <w:r>
        <w:t xml:space="preserve">: </w:t>
      </w:r>
      <w:r w:rsidR="00223736">
        <w:t>sTTI combination 2+7 in UL</w:t>
      </w:r>
      <w:r w:rsidR="00A76525">
        <w:t xml:space="preserve"> (assuming N+4 or N+6 timing for sTTI)</w:t>
      </w:r>
    </w:p>
    <w:p w14:paraId="32F4B67D" w14:textId="6ACB1127" w:rsidR="00223736" w:rsidRDefault="005D5663" w:rsidP="00223736">
      <w:pPr>
        <w:rPr>
          <w:lang w:val="en-US"/>
        </w:rPr>
      </w:pPr>
      <w:r>
        <w:rPr>
          <w:lang w:val="en-US"/>
        </w:rPr>
        <w:t xml:space="preserve">The 2+7 combination is the only sTTI combination with different lengths </w:t>
      </w:r>
      <w:r w:rsidR="0040681F">
        <w:rPr>
          <w:lang w:val="en-US"/>
        </w:rPr>
        <w:t>that can be expected on</w:t>
      </w:r>
      <w:r>
        <w:rPr>
          <w:lang w:val="en-US"/>
        </w:rPr>
        <w:t xml:space="preserve"> the different carriers. However, it is also possible to schedule </w:t>
      </w:r>
      <w:r w:rsidR="0040681F">
        <w:rPr>
          <w:lang w:val="en-US"/>
        </w:rPr>
        <w:t>1 ms TTI in combination with sTTI.</w:t>
      </w:r>
      <w:r w:rsidR="00895066">
        <w:rPr>
          <w:lang w:val="en-US"/>
        </w:rPr>
        <w:t xml:space="preserve"> The same </w:t>
      </w:r>
      <w:r w:rsidR="009A0814">
        <w:rPr>
          <w:lang w:val="en-US"/>
        </w:rPr>
        <w:t xml:space="preserve">possible issue </w:t>
      </w:r>
      <w:r w:rsidR="00895066">
        <w:rPr>
          <w:lang w:val="en-US"/>
        </w:rPr>
        <w:t xml:space="preserve">would </w:t>
      </w:r>
      <w:r w:rsidR="003F2B3C">
        <w:rPr>
          <w:lang w:val="en-US"/>
        </w:rPr>
        <w:t>exist</w:t>
      </w:r>
      <w:r w:rsidR="00895066">
        <w:rPr>
          <w:lang w:val="en-US"/>
        </w:rPr>
        <w:t xml:space="preserve"> in this case.</w:t>
      </w:r>
      <w:r w:rsidR="00CD7898">
        <w:rPr>
          <w:lang w:val="en-US"/>
        </w:rPr>
        <w:t xml:space="preserve"> The problem would be even more severe if the PCMAX is </w:t>
      </w:r>
      <w:r w:rsidR="00BF0EC6">
        <w:rPr>
          <w:lang w:val="en-US"/>
        </w:rPr>
        <w:t xml:space="preserve">calculated </w:t>
      </w:r>
      <w:r w:rsidR="00097896">
        <w:rPr>
          <w:lang w:val="en-US"/>
        </w:rPr>
        <w:t xml:space="preserve">on </w:t>
      </w:r>
      <w:r w:rsidR="00BD27AA">
        <w:rPr>
          <w:lang w:val="en-US"/>
        </w:rPr>
        <w:t xml:space="preserve">1ms </w:t>
      </w:r>
      <w:r w:rsidR="00097896">
        <w:rPr>
          <w:lang w:val="en-US"/>
        </w:rPr>
        <w:t>subframe level in which case the assignment for the DL sTTI could occur after the 1 ms TTI transmission has started.</w:t>
      </w:r>
      <w:r w:rsidR="007A1BCB">
        <w:rPr>
          <w:lang w:val="en-US"/>
        </w:rPr>
        <w:t xml:space="preserve"> If the calculation instead would be </w:t>
      </w:r>
      <w:r w:rsidR="009969B0">
        <w:rPr>
          <w:lang w:val="en-US"/>
        </w:rPr>
        <w:t xml:space="preserve">performed </w:t>
      </w:r>
      <w:r w:rsidR="007A1BCB">
        <w:rPr>
          <w:lang w:val="en-US"/>
        </w:rPr>
        <w:t>on slot level</w:t>
      </w:r>
      <w:r w:rsidR="00BD27AA">
        <w:rPr>
          <w:lang w:val="en-US"/>
        </w:rPr>
        <w:t xml:space="preserve"> for 1ms TTI duration</w:t>
      </w:r>
      <w:r w:rsidR="007A1BCB">
        <w:rPr>
          <w:lang w:val="en-US"/>
        </w:rPr>
        <w:t xml:space="preserve">, the </w:t>
      </w:r>
      <w:r w:rsidR="005D6BBA">
        <w:rPr>
          <w:lang w:val="en-US"/>
        </w:rPr>
        <w:t>situation becomes similar to the 2+7 sTTI combination.</w:t>
      </w:r>
    </w:p>
    <w:p w14:paraId="452BC1DC" w14:textId="0B5DF2F1" w:rsidR="00FD511D" w:rsidRDefault="00B75ED6" w:rsidP="00B75ED6">
      <w:pPr>
        <w:pStyle w:val="Observation"/>
        <w:rPr>
          <w:lang w:val="en-US"/>
        </w:rPr>
      </w:pPr>
      <w:bookmarkStart w:id="27" w:name="_Toc477944985"/>
      <w:bookmarkStart w:id="28" w:name="_Toc477945949"/>
      <w:bookmarkStart w:id="29" w:name="_Toc478119288"/>
      <w:bookmarkStart w:id="30" w:name="_Toc478119301"/>
      <w:bookmarkStart w:id="31" w:name="_Toc478119311"/>
      <w:r>
        <w:rPr>
          <w:lang w:val="en-US"/>
        </w:rPr>
        <w:t xml:space="preserve">Unless </w:t>
      </w:r>
      <w:r w:rsidR="00636009">
        <w:rPr>
          <w:lang w:val="en-US"/>
        </w:rPr>
        <w:t xml:space="preserve">slot level based PCMAX calculation </w:t>
      </w:r>
      <w:r w:rsidR="00777A01">
        <w:rPr>
          <w:lang w:val="en-US"/>
        </w:rPr>
        <w:t>is used,</w:t>
      </w:r>
      <w:r w:rsidR="00636009">
        <w:rPr>
          <w:lang w:val="en-US"/>
        </w:rPr>
        <w:t xml:space="preserve"> </w:t>
      </w:r>
      <w:r w:rsidR="00777A01">
        <w:rPr>
          <w:lang w:val="en-US"/>
        </w:rPr>
        <w:t xml:space="preserve">there will be </w:t>
      </w:r>
      <w:r w:rsidR="00636009">
        <w:rPr>
          <w:lang w:val="en-US"/>
        </w:rPr>
        <w:t xml:space="preserve">overlapping sTTI transmission </w:t>
      </w:r>
      <w:r w:rsidR="00777A01">
        <w:rPr>
          <w:lang w:val="en-US"/>
        </w:rPr>
        <w:t>with 1 ms not known to the UE when starting the 1 ms transmission</w:t>
      </w:r>
      <w:bookmarkEnd w:id="27"/>
      <w:bookmarkEnd w:id="28"/>
      <w:bookmarkEnd w:id="29"/>
      <w:bookmarkEnd w:id="30"/>
      <w:bookmarkEnd w:id="31"/>
    </w:p>
    <w:p w14:paraId="1E1C95D4" w14:textId="35084EDA" w:rsidR="00347939" w:rsidRDefault="00347939" w:rsidP="00D24BD1">
      <w:pPr>
        <w:rPr>
          <w:lang w:val="en-US"/>
        </w:rPr>
      </w:pPr>
      <w:r>
        <w:rPr>
          <w:lang w:val="en-US"/>
        </w:rPr>
        <w:t xml:space="preserve">In case </w:t>
      </w:r>
      <w:r w:rsidR="00D24BD1">
        <w:rPr>
          <w:lang w:val="en-US"/>
        </w:rPr>
        <w:t>the UE is not aware of the overlapping allocations</w:t>
      </w:r>
      <w:r w:rsidR="00FD3E85">
        <w:rPr>
          <w:lang w:val="en-US"/>
        </w:rPr>
        <w:t xml:space="preserve"> (the time to recalculate its power allocation/PCMAX is not enough)</w:t>
      </w:r>
      <w:r w:rsidR="00D24BD1">
        <w:rPr>
          <w:lang w:val="en-US"/>
        </w:rPr>
        <w:t xml:space="preserve">, an option could be to </w:t>
      </w:r>
      <w:r w:rsidR="00F818F8">
        <w:rPr>
          <w:lang w:val="en-US"/>
        </w:rPr>
        <w:t xml:space="preserve">assumed that the UE does not know </w:t>
      </w:r>
      <w:r w:rsidR="005B12FD">
        <w:rPr>
          <w:lang w:val="en-US"/>
        </w:rPr>
        <w:t>about</w:t>
      </w:r>
      <w:r w:rsidR="00F818F8">
        <w:rPr>
          <w:lang w:val="en-US"/>
        </w:rPr>
        <w:t xml:space="preserve"> the later overlapping transmission</w:t>
      </w:r>
      <w:r w:rsidR="005B12FD">
        <w:rPr>
          <w:lang w:val="en-US"/>
        </w:rPr>
        <w:t>s</w:t>
      </w:r>
      <w:r w:rsidR="00F818F8">
        <w:rPr>
          <w:lang w:val="en-US"/>
        </w:rPr>
        <w:t>, and the power allocation is performed by ensuring at least a level of guaranteed power for each carrier</w:t>
      </w:r>
      <w:r w:rsidR="00817C68">
        <w:rPr>
          <w:lang w:val="en-US"/>
        </w:rPr>
        <w:t xml:space="preserve"> </w:t>
      </w:r>
      <w:r w:rsidR="005B12FD">
        <w:rPr>
          <w:lang w:val="en-US"/>
        </w:rPr>
        <w:t xml:space="preserve">The </w:t>
      </w:r>
      <w:r w:rsidR="00542F02">
        <w:rPr>
          <w:lang w:val="en-US"/>
        </w:rPr>
        <w:t xml:space="preserve">same </w:t>
      </w:r>
      <w:r w:rsidR="005B12FD">
        <w:rPr>
          <w:lang w:val="en-US"/>
        </w:rPr>
        <w:t xml:space="preserve">procedure </w:t>
      </w:r>
      <w:r w:rsidR="00542F02">
        <w:rPr>
          <w:lang w:val="en-US"/>
        </w:rPr>
        <w:t>is used</w:t>
      </w:r>
      <w:r w:rsidR="005B12FD">
        <w:rPr>
          <w:lang w:val="en-US"/>
        </w:rPr>
        <w:t xml:space="preserve"> Dual connectivity</w:t>
      </w:r>
      <w:r w:rsidR="00554328">
        <w:rPr>
          <w:lang w:val="en-US"/>
        </w:rPr>
        <w:t xml:space="preserve"> power </w:t>
      </w:r>
      <w:r w:rsidR="005B12FD">
        <w:rPr>
          <w:lang w:val="en-US"/>
        </w:rPr>
        <w:t>guarantee procedure for MCG and SCG</w:t>
      </w:r>
      <w:r w:rsidR="00554328">
        <w:rPr>
          <w:lang w:val="en-US"/>
        </w:rPr>
        <w:t>.</w:t>
      </w:r>
    </w:p>
    <w:p w14:paraId="66957EBC" w14:textId="7B5ACA86" w:rsidR="00554328" w:rsidRDefault="00554328" w:rsidP="00D24BD1">
      <w:pPr>
        <w:rPr>
          <w:lang w:val="en-US"/>
        </w:rPr>
      </w:pPr>
      <w:r>
        <w:rPr>
          <w:lang w:val="en-US"/>
        </w:rPr>
        <w:t>In case of sTTI/</w:t>
      </w:r>
      <w:r w:rsidR="005F3AF3">
        <w:rPr>
          <w:lang w:val="en-US"/>
        </w:rPr>
        <w:t>s</w:t>
      </w:r>
      <w:r>
        <w:rPr>
          <w:lang w:val="en-US"/>
        </w:rPr>
        <w:t xml:space="preserve">TTI </w:t>
      </w:r>
      <w:r w:rsidR="005F3AF3">
        <w:rPr>
          <w:lang w:val="en-US"/>
        </w:rPr>
        <w:t xml:space="preserve">or sTTI/TTI </w:t>
      </w:r>
      <w:r>
        <w:rPr>
          <w:lang w:val="en-US"/>
        </w:rPr>
        <w:t>overlapping</w:t>
      </w:r>
      <w:r w:rsidR="005F3AF3">
        <w:rPr>
          <w:lang w:val="en-US"/>
        </w:rPr>
        <w:t>,</w:t>
      </w:r>
      <w:r>
        <w:rPr>
          <w:lang w:val="en-US"/>
        </w:rPr>
        <w:t xml:space="preserve"> </w:t>
      </w:r>
      <w:r w:rsidR="005F3AF3">
        <w:rPr>
          <w:lang w:val="en-US"/>
        </w:rPr>
        <w:t xml:space="preserve">without the UE being aware of the overlapping allocation, </w:t>
      </w:r>
      <w:r w:rsidR="00C122C2">
        <w:rPr>
          <w:lang w:val="en-US"/>
        </w:rPr>
        <w:t>it should be considered that the shorter transmission is typically considered of higher importance</w:t>
      </w:r>
      <w:r w:rsidR="00B15C02">
        <w:rPr>
          <w:lang w:val="en-US"/>
        </w:rPr>
        <w:t>, as well as more frequently being in a coverage limited scenario</w:t>
      </w:r>
      <w:r w:rsidR="00C122C2">
        <w:rPr>
          <w:lang w:val="en-US"/>
        </w:rPr>
        <w:t xml:space="preserve">. </w:t>
      </w:r>
      <w:r w:rsidR="000D1F38">
        <w:rPr>
          <w:lang w:val="en-US"/>
        </w:rPr>
        <w:t xml:space="preserve">Hence, there is an interest to reserve a large part of the power for the guaranteed power for sTTI. </w:t>
      </w:r>
      <w:r w:rsidR="00C122C2">
        <w:rPr>
          <w:lang w:val="en-US"/>
        </w:rPr>
        <w:t>However, if the eNB would allocate a large portion of the guaranteed power to sTTI, the TTI power would be largely sub-optimum in case no sTTI transmission would occur in the end</w:t>
      </w:r>
      <w:r w:rsidR="00E140EA">
        <w:rPr>
          <w:lang w:val="en-US"/>
        </w:rPr>
        <w:t xml:space="preserve"> in the subframe</w:t>
      </w:r>
      <w:r w:rsidR="00C122C2">
        <w:rPr>
          <w:lang w:val="en-US"/>
        </w:rPr>
        <w:t>.</w:t>
      </w:r>
    </w:p>
    <w:p w14:paraId="2F6A995C" w14:textId="6708210B" w:rsidR="00874FAC" w:rsidRPr="00706767" w:rsidRDefault="00874FAC" w:rsidP="00874FAC">
      <w:pPr>
        <w:pStyle w:val="Observation"/>
        <w:rPr>
          <w:lang w:val="en-US"/>
        </w:rPr>
      </w:pPr>
      <w:bookmarkStart w:id="32" w:name="_Toc477944986"/>
      <w:bookmarkStart w:id="33" w:name="_Toc477945950"/>
      <w:bookmarkStart w:id="34" w:name="_Toc478119289"/>
      <w:bookmarkStart w:id="35" w:name="_Toc478119302"/>
      <w:bookmarkStart w:id="36" w:name="_Toc478119312"/>
      <w:r>
        <w:rPr>
          <w:lang w:val="en-US"/>
        </w:rPr>
        <w:t xml:space="preserve">Using a DC-like power allocation scheme between PUCCH TTI lengths would </w:t>
      </w:r>
      <w:r w:rsidR="00815327">
        <w:rPr>
          <w:lang w:val="en-US"/>
        </w:rPr>
        <w:t xml:space="preserve">likely </w:t>
      </w:r>
      <w:r>
        <w:rPr>
          <w:lang w:val="en-US"/>
        </w:rPr>
        <w:t xml:space="preserve">result in a sub-optimum allocation of </w:t>
      </w:r>
      <w:r w:rsidR="00815327">
        <w:rPr>
          <w:lang w:val="en-US"/>
        </w:rPr>
        <w:t xml:space="preserve">power for the </w:t>
      </w:r>
      <w:bookmarkEnd w:id="32"/>
      <w:bookmarkEnd w:id="33"/>
      <w:r w:rsidR="00815327">
        <w:rPr>
          <w:lang w:val="en-US"/>
        </w:rPr>
        <w:t>TTI transmission</w:t>
      </w:r>
      <w:r w:rsidR="00542F02">
        <w:rPr>
          <w:lang w:val="en-US"/>
        </w:rPr>
        <w:t>s</w:t>
      </w:r>
      <w:bookmarkEnd w:id="34"/>
      <w:bookmarkEnd w:id="35"/>
      <w:bookmarkEnd w:id="36"/>
    </w:p>
    <w:p w14:paraId="7DB44711" w14:textId="3134D3A7" w:rsidR="001F5122" w:rsidRDefault="00237136" w:rsidP="00706767">
      <w:pPr>
        <w:rPr>
          <w:lang w:val="en-US"/>
        </w:rPr>
      </w:pPr>
      <w:r>
        <w:rPr>
          <w:lang w:val="en-US"/>
        </w:rPr>
        <w:t>Based on the above reasoning</w:t>
      </w:r>
      <w:r w:rsidR="00685724">
        <w:rPr>
          <w:lang w:val="en-US"/>
        </w:rPr>
        <w:t>,</w:t>
      </w:r>
      <w:r>
        <w:rPr>
          <w:lang w:val="en-US"/>
        </w:rPr>
        <w:t xml:space="preserve"> it is believed that </w:t>
      </w:r>
      <w:r w:rsidR="008A7130">
        <w:rPr>
          <w:lang w:val="en-US"/>
        </w:rPr>
        <w:t xml:space="preserve">before taking a decision on whether </w:t>
      </w:r>
      <w:r w:rsidR="00685724">
        <w:rPr>
          <w:lang w:val="en-US"/>
        </w:rPr>
        <w:t>different sTTI lengths can be configured in different PUCCH groups, a clearer understanding is required on if the UE would be aware of the overlapping allocations when starting a transmission (</w:t>
      </w:r>
      <w:r w:rsidR="00847D12">
        <w:rPr>
          <w:lang w:val="en-US"/>
        </w:rPr>
        <w:t>a</w:t>
      </w:r>
      <w:r w:rsidR="00685724">
        <w:rPr>
          <w:lang w:val="en-US"/>
        </w:rPr>
        <w:t>sking RAN4 for a minimum processing time requirement)</w:t>
      </w:r>
      <w:r w:rsidR="00847D12">
        <w:rPr>
          <w:lang w:val="en-US"/>
        </w:rPr>
        <w:t xml:space="preserve"> </w:t>
      </w:r>
      <w:r w:rsidR="00CD116C">
        <w:rPr>
          <w:lang w:val="en-US"/>
        </w:rPr>
        <w:t>and if not, how the UE would act to ensure proper sTTI operation.</w:t>
      </w:r>
    </w:p>
    <w:p w14:paraId="738E28B6" w14:textId="4C6D3E7C" w:rsidR="001F5122" w:rsidRDefault="00CD116C" w:rsidP="00CD116C">
      <w:pPr>
        <w:pStyle w:val="Proposal"/>
        <w:rPr>
          <w:lang w:val="en-US"/>
        </w:rPr>
      </w:pPr>
      <w:bookmarkStart w:id="37" w:name="_Toc477944990"/>
      <w:bookmarkStart w:id="38" w:name="_Toc477945954"/>
      <w:bookmarkStart w:id="39" w:name="_Toc478119292"/>
      <w:bookmarkStart w:id="40" w:name="_Toc478119305"/>
      <w:bookmarkStart w:id="41" w:name="_Toc478119315"/>
      <w:r>
        <w:rPr>
          <w:lang w:val="en-US"/>
        </w:rPr>
        <w:t>Before taking a decision on if different sTTI lengths in different PUCCH groups are to be allowed in the UL, a better understanding of possible implications to UE operation is needed</w:t>
      </w:r>
      <w:bookmarkEnd w:id="37"/>
      <w:bookmarkEnd w:id="38"/>
      <w:bookmarkEnd w:id="39"/>
      <w:bookmarkEnd w:id="40"/>
      <w:bookmarkEnd w:id="41"/>
    </w:p>
    <w:p w14:paraId="7C3B48C1" w14:textId="77777777" w:rsidR="00C01F33" w:rsidRPr="00CE0424" w:rsidRDefault="00C01F33" w:rsidP="00CE0424">
      <w:pPr>
        <w:pStyle w:val="Heading1"/>
      </w:pPr>
      <w:r w:rsidRPr="00CE0424">
        <w:t>Conclusion</w:t>
      </w:r>
    </w:p>
    <w:p w14:paraId="00EEF8EF" w14:textId="47FB71FA" w:rsidR="005873E2" w:rsidRPr="005873E2" w:rsidRDefault="008E065E">
      <w:pPr>
        <w:pStyle w:val="TOC1"/>
        <w:rPr>
          <w:b w:val="0"/>
        </w:rPr>
      </w:pPr>
      <w:r w:rsidRPr="005873E2">
        <w:rPr>
          <w:b w:val="0"/>
        </w:rPr>
        <w:t xml:space="preserve">In section </w:t>
      </w:r>
      <w:r w:rsidRPr="005873E2">
        <w:rPr>
          <w:b w:val="0"/>
          <w:highlight w:val="cyan"/>
        </w:rPr>
        <w:fldChar w:fldCharType="begin"/>
      </w:r>
      <w:r w:rsidRPr="005873E2">
        <w:rPr>
          <w:b w:val="0"/>
        </w:rPr>
        <w:instrText xml:space="preserve"> REF _Ref178064866 \r \h </w:instrText>
      </w:r>
      <w:r w:rsidR="005873E2">
        <w:rPr>
          <w:b w:val="0"/>
          <w:highlight w:val="cyan"/>
        </w:rPr>
        <w:instrText xml:space="preserve"> \* MERGEFORMAT </w:instrText>
      </w:r>
      <w:r w:rsidRPr="005873E2">
        <w:rPr>
          <w:b w:val="0"/>
          <w:highlight w:val="cyan"/>
        </w:rPr>
      </w:r>
      <w:r w:rsidRPr="005873E2">
        <w:rPr>
          <w:b w:val="0"/>
          <w:highlight w:val="cyan"/>
        </w:rPr>
        <w:fldChar w:fldCharType="separate"/>
      </w:r>
      <w:r w:rsidR="005873E2" w:rsidRPr="005873E2">
        <w:rPr>
          <w:b w:val="0"/>
        </w:rPr>
        <w:t>2</w:t>
      </w:r>
      <w:r w:rsidRPr="005873E2">
        <w:rPr>
          <w:b w:val="0"/>
          <w:highlight w:val="cyan"/>
        </w:rPr>
        <w:fldChar w:fldCharType="end"/>
      </w:r>
      <w:r w:rsidRPr="005873E2">
        <w:rPr>
          <w:b w:val="0"/>
        </w:rPr>
        <w:t xml:space="preserve"> we made the following observations:</w:t>
      </w:r>
    </w:p>
    <w:p w14:paraId="67B015CA" w14:textId="77777777" w:rsidR="005873E2" w:rsidRPr="005873E2" w:rsidRDefault="008E065E">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\t "Observation;1" </w:instrText>
      </w:r>
      <w:r>
        <w:rPr>
          <w:b w:val="0"/>
          <w:bCs/>
        </w:rPr>
        <w:fldChar w:fldCharType="separate"/>
      </w:r>
      <w:r w:rsidR="005873E2" w:rsidRPr="00C1682E">
        <w:t>Observation 1</w:t>
      </w:r>
      <w:r w:rsidR="005873E2" w:rsidRPr="005873E2">
        <w:rPr>
          <w:rFonts w:asciiTheme="minorHAnsi" w:eastAsiaTheme="minorEastAsia" w:hAnsiTheme="minorHAnsi" w:cstheme="minorBidi"/>
          <w:b w:val="0"/>
          <w:sz w:val="22"/>
          <w:lang w:eastAsia="sv-SE"/>
        </w:rPr>
        <w:tab/>
      </w:r>
      <w:r w:rsidR="005873E2" w:rsidRPr="00C1682E">
        <w:t>To minimize impact on implementation and specification work, the possibility of different sTTI lengths in different PUCCH groups should only be considered for the case that they are mapped to different transmit chains in the UE</w:t>
      </w:r>
    </w:p>
    <w:p w14:paraId="6940D520" w14:textId="77777777" w:rsidR="005873E2" w:rsidRPr="005873E2" w:rsidRDefault="005873E2">
      <w:pPr>
        <w:pStyle w:val="TOC1"/>
        <w:rPr>
          <w:rFonts w:asciiTheme="minorHAnsi" w:eastAsiaTheme="minorEastAsia" w:hAnsiTheme="minorHAnsi" w:cstheme="minorBidi"/>
          <w:b w:val="0"/>
          <w:sz w:val="22"/>
          <w:lang w:eastAsia="sv-SE"/>
        </w:rPr>
      </w:pPr>
      <w:r w:rsidRPr="00C1682E">
        <w:t>Observation 2</w:t>
      </w:r>
      <w:r w:rsidRPr="005873E2">
        <w:rPr>
          <w:rFonts w:asciiTheme="minorHAnsi" w:eastAsiaTheme="minorEastAsia" w:hAnsiTheme="minorHAnsi" w:cstheme="minorBidi"/>
          <w:b w:val="0"/>
          <w:sz w:val="22"/>
          <w:lang w:eastAsia="sv-SE"/>
        </w:rPr>
        <w:tab/>
      </w:r>
      <w:r w:rsidRPr="00C1682E">
        <w:t>To understand if the UE can be aware of overlapping sTTI allocations clarification is required regarding the required reaction time from sPDCCH reception to execution of a new power allocation/PCMAX</w:t>
      </w:r>
    </w:p>
    <w:p w14:paraId="773D184B" w14:textId="77777777" w:rsidR="005873E2" w:rsidRPr="005873E2" w:rsidRDefault="005873E2">
      <w:pPr>
        <w:pStyle w:val="TOC1"/>
        <w:rPr>
          <w:rFonts w:asciiTheme="minorHAnsi" w:eastAsiaTheme="minorEastAsia" w:hAnsiTheme="minorHAnsi" w:cstheme="minorBidi"/>
          <w:b w:val="0"/>
          <w:sz w:val="22"/>
          <w:lang w:eastAsia="sv-SE"/>
        </w:rPr>
      </w:pPr>
      <w:r w:rsidRPr="00C1682E">
        <w:t>Observation 3</w:t>
      </w:r>
      <w:r w:rsidRPr="005873E2">
        <w:rPr>
          <w:rFonts w:asciiTheme="minorHAnsi" w:eastAsiaTheme="minorEastAsia" w:hAnsiTheme="minorHAnsi" w:cstheme="minorBidi"/>
          <w:b w:val="0"/>
          <w:sz w:val="22"/>
          <w:lang w:eastAsia="sv-SE"/>
        </w:rPr>
        <w:tab/>
      </w:r>
      <w:r w:rsidRPr="00C1682E">
        <w:t>Unless slot level based PCMAX calculation is used, there will be overlapping sTTI transmission with 1 ms not known to the UE when starting the 1 ms transmission</w:t>
      </w:r>
    </w:p>
    <w:p w14:paraId="7DD9F61F" w14:textId="77777777" w:rsidR="005873E2" w:rsidRPr="005873E2" w:rsidRDefault="005873E2">
      <w:pPr>
        <w:pStyle w:val="TOC1"/>
        <w:rPr>
          <w:rFonts w:asciiTheme="minorHAnsi" w:eastAsiaTheme="minorEastAsia" w:hAnsiTheme="minorHAnsi" w:cstheme="minorBidi"/>
          <w:b w:val="0"/>
          <w:sz w:val="22"/>
          <w:lang w:eastAsia="sv-SE"/>
        </w:rPr>
      </w:pPr>
      <w:r w:rsidRPr="00C1682E">
        <w:t>Observation 4</w:t>
      </w:r>
      <w:r w:rsidRPr="005873E2">
        <w:rPr>
          <w:rFonts w:asciiTheme="minorHAnsi" w:eastAsiaTheme="minorEastAsia" w:hAnsiTheme="minorHAnsi" w:cstheme="minorBidi"/>
          <w:b w:val="0"/>
          <w:sz w:val="22"/>
          <w:lang w:eastAsia="sv-SE"/>
        </w:rPr>
        <w:tab/>
      </w:r>
      <w:r w:rsidRPr="00C1682E">
        <w:t>Using a DC-like power allocation scheme between PUCCH TTI lengths would likely result in a sub-optimum allocation of power for the TTI transmissions</w:t>
      </w:r>
    </w:p>
    <w:p w14:paraId="4C80C5FB" w14:textId="081D50C4" w:rsidR="008E065E" w:rsidRDefault="008E065E" w:rsidP="008E065E">
      <w:pPr>
        <w:pStyle w:val="BodyText"/>
        <w:rPr>
          <w:b/>
          <w:bCs/>
        </w:rPr>
      </w:pPr>
      <w:r>
        <w:rPr>
          <w:b/>
          <w:bCs/>
        </w:rPr>
        <w:fldChar w:fldCharType="end"/>
      </w:r>
    </w:p>
    <w:p w14:paraId="612BC0AC" w14:textId="6964FA72" w:rsidR="005873E2" w:rsidRPr="005873E2" w:rsidRDefault="008E065E">
      <w:pPr>
        <w:pStyle w:val="TOC1"/>
        <w:rPr>
          <w:b w:val="0"/>
        </w:rPr>
      </w:pPr>
      <w:r w:rsidRPr="005873E2">
        <w:rPr>
          <w:b w:val="0"/>
        </w:rPr>
        <w:t xml:space="preserve">Based on the discussion in section </w:t>
      </w:r>
      <w:r w:rsidRPr="005873E2">
        <w:rPr>
          <w:b w:val="0"/>
          <w:highlight w:val="cyan"/>
        </w:rPr>
        <w:fldChar w:fldCharType="begin"/>
      </w:r>
      <w:r w:rsidRPr="005873E2">
        <w:rPr>
          <w:b w:val="0"/>
        </w:rPr>
        <w:instrText xml:space="preserve"> REF _Ref178064866 \r \h </w:instrText>
      </w:r>
      <w:r w:rsidR="005873E2">
        <w:rPr>
          <w:b w:val="0"/>
          <w:highlight w:val="cyan"/>
        </w:rPr>
        <w:instrText xml:space="preserve"> \* MERGEFORMAT </w:instrText>
      </w:r>
      <w:r w:rsidRPr="005873E2">
        <w:rPr>
          <w:b w:val="0"/>
          <w:highlight w:val="cyan"/>
        </w:rPr>
      </w:r>
      <w:r w:rsidRPr="005873E2">
        <w:rPr>
          <w:b w:val="0"/>
          <w:highlight w:val="cyan"/>
        </w:rPr>
        <w:fldChar w:fldCharType="separate"/>
      </w:r>
      <w:r w:rsidR="005873E2" w:rsidRPr="005873E2">
        <w:rPr>
          <w:b w:val="0"/>
        </w:rPr>
        <w:t>2</w:t>
      </w:r>
      <w:r w:rsidRPr="005873E2">
        <w:rPr>
          <w:b w:val="0"/>
          <w:highlight w:val="cyan"/>
        </w:rPr>
        <w:fldChar w:fldCharType="end"/>
      </w:r>
      <w:r w:rsidRPr="005873E2">
        <w:rPr>
          <w:b w:val="0"/>
        </w:rPr>
        <w:t xml:space="preserve"> we propose the following:</w:t>
      </w:r>
    </w:p>
    <w:p w14:paraId="7A6E4711" w14:textId="77777777" w:rsidR="005873E2" w:rsidRPr="005873E2" w:rsidRDefault="008E065E">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\p " " \t "Proposal;1" </w:instrText>
      </w:r>
      <w:r>
        <w:rPr>
          <w:b w:val="0"/>
          <w:bCs/>
        </w:rPr>
        <w:fldChar w:fldCharType="separate"/>
      </w:r>
      <w:r w:rsidR="005873E2" w:rsidRPr="00A30003">
        <w:t>Proposal 1</w:t>
      </w:r>
      <w:r w:rsidR="005873E2" w:rsidRPr="005873E2">
        <w:rPr>
          <w:rFonts w:asciiTheme="minorHAnsi" w:eastAsiaTheme="minorEastAsia" w:hAnsiTheme="minorHAnsi" w:cstheme="minorBidi"/>
          <w:b w:val="0"/>
          <w:sz w:val="22"/>
          <w:lang w:eastAsia="sv-SE"/>
        </w:rPr>
        <w:tab/>
      </w:r>
      <w:r w:rsidR="005873E2" w:rsidRPr="00A30003">
        <w:t>The sTTI length in DL can be configured differently in different PUCCH groups</w:t>
      </w:r>
    </w:p>
    <w:p w14:paraId="73A9476A" w14:textId="77777777" w:rsidR="005873E2" w:rsidRPr="005873E2" w:rsidRDefault="005873E2">
      <w:pPr>
        <w:pStyle w:val="TOC1"/>
        <w:rPr>
          <w:rFonts w:asciiTheme="minorHAnsi" w:eastAsiaTheme="minorEastAsia" w:hAnsiTheme="minorHAnsi" w:cstheme="minorBidi"/>
          <w:b w:val="0"/>
          <w:sz w:val="22"/>
          <w:lang w:eastAsia="sv-SE"/>
        </w:rPr>
      </w:pPr>
      <w:r w:rsidRPr="00A30003">
        <w:t>Proposal 2</w:t>
      </w:r>
      <w:r w:rsidRPr="005873E2">
        <w:rPr>
          <w:rFonts w:asciiTheme="minorHAnsi" w:eastAsiaTheme="minorEastAsia" w:hAnsiTheme="minorHAnsi" w:cstheme="minorBidi"/>
          <w:b w:val="0"/>
          <w:sz w:val="22"/>
          <w:lang w:eastAsia="sv-SE"/>
        </w:rPr>
        <w:tab/>
      </w:r>
      <w:r w:rsidRPr="00A30003">
        <w:t>Send an LS to RAN4 to clarify the required reaction time from sPDCCH reception to execution of a new power allocation/PCMAX</w:t>
      </w:r>
    </w:p>
    <w:p w14:paraId="4025B19B" w14:textId="77777777" w:rsidR="005873E2" w:rsidRPr="005873E2" w:rsidRDefault="005873E2">
      <w:pPr>
        <w:pStyle w:val="TOC1"/>
        <w:rPr>
          <w:rFonts w:asciiTheme="minorHAnsi" w:eastAsiaTheme="minorEastAsia" w:hAnsiTheme="minorHAnsi" w:cstheme="minorBidi"/>
          <w:b w:val="0"/>
          <w:sz w:val="22"/>
          <w:lang w:eastAsia="sv-SE"/>
        </w:rPr>
      </w:pPr>
      <w:r w:rsidRPr="00A30003">
        <w:t>Proposal 3</w:t>
      </w:r>
      <w:r w:rsidRPr="005873E2">
        <w:rPr>
          <w:rFonts w:asciiTheme="minorHAnsi" w:eastAsiaTheme="minorEastAsia" w:hAnsiTheme="minorHAnsi" w:cstheme="minorBidi"/>
          <w:b w:val="0"/>
          <w:sz w:val="22"/>
          <w:lang w:eastAsia="sv-SE"/>
        </w:rPr>
        <w:tab/>
      </w:r>
      <w:r w:rsidRPr="00A30003">
        <w:t>Before taking a decision on if different sTTI lengths in different PUCCH groups are to be allowed in the UL, a better understanding of possible implications to UE operation is needed</w:t>
      </w:r>
    </w:p>
    <w:p w14:paraId="691CF7B7" w14:textId="3C5A9761" w:rsidR="008E065E" w:rsidRPr="00CE0424" w:rsidRDefault="008E065E" w:rsidP="008E065E">
      <w:pPr>
        <w:rPr>
          <w:b/>
          <w:bCs/>
        </w:rPr>
      </w:pPr>
      <w:r>
        <w:rPr>
          <w:b/>
          <w:bCs/>
        </w:rPr>
        <w:fldChar w:fldCharType="end"/>
      </w:r>
    </w:p>
    <w:p w14:paraId="17580BD0" w14:textId="77777777" w:rsidR="008E065E" w:rsidRPr="00CE0424" w:rsidRDefault="008E065E" w:rsidP="008E065E">
      <w:pPr>
        <w:rPr>
          <w:b/>
          <w:bCs/>
        </w:rPr>
      </w:pPr>
    </w:p>
    <w:p w14:paraId="27C9E65B" w14:textId="77777777" w:rsidR="00AB0BC8" w:rsidRPr="00CE0424" w:rsidRDefault="00AB0BC8" w:rsidP="00A04F49">
      <w:pPr>
        <w:rPr>
          <w:b/>
          <w:bCs/>
        </w:rPr>
      </w:pPr>
    </w:p>
    <w:p w14:paraId="079708F4" w14:textId="77777777" w:rsidR="00311702" w:rsidRPr="00CE0424" w:rsidRDefault="00311702" w:rsidP="00AB0BC8"/>
    <w:p w14:paraId="483F2E97" w14:textId="77777777" w:rsidR="00C01F33" w:rsidRPr="00CE0424" w:rsidRDefault="00C01F33" w:rsidP="006E062C"/>
    <w:p w14:paraId="3AEB284E" w14:textId="77777777" w:rsidR="00F507D1" w:rsidRPr="00CE0424" w:rsidRDefault="00F507D1" w:rsidP="00CE0424">
      <w:pPr>
        <w:pStyle w:val="Heading1"/>
      </w:pPr>
      <w:bookmarkStart w:id="42" w:name="_In-sequence_SDU_delivery"/>
      <w:bookmarkEnd w:id="42"/>
      <w:r w:rsidRPr="00CE0424">
        <w:t>References</w:t>
      </w:r>
    </w:p>
    <w:p w14:paraId="6A75FCD1" w14:textId="2F4EBC2A" w:rsidR="00B97752" w:rsidRDefault="00F674A7" w:rsidP="00F674A7">
      <w:pPr>
        <w:pStyle w:val="Reference"/>
        <w:numPr>
          <w:ilvl w:val="0"/>
          <w:numId w:val="15"/>
        </w:numPr>
        <w:textAlignment w:val="auto"/>
      </w:pPr>
      <w:bookmarkStart w:id="43" w:name="_Ref174151459"/>
      <w:bookmarkStart w:id="44" w:name="_Ref189809556"/>
      <w:bookmarkStart w:id="45" w:name="_Ref449678105"/>
      <w:bookmarkStart w:id="46" w:name="_Ref453835673"/>
      <w:r w:rsidRPr="00F674A7">
        <w:t>RP-170113</w:t>
      </w:r>
      <w:r w:rsidR="00B97752">
        <w:t xml:space="preserve">, New Work Item on shortened TTI and processing time for </w:t>
      </w:r>
      <w:r>
        <w:t>LTE, Ericsson, RAN#75, March 2017</w:t>
      </w:r>
      <w:r w:rsidR="00B97752">
        <w:t>.</w:t>
      </w:r>
      <w:bookmarkEnd w:id="45"/>
      <w:bookmarkEnd w:id="46"/>
    </w:p>
    <w:p w14:paraId="4B70DEE1" w14:textId="5C6A5E5B" w:rsidR="00B97752" w:rsidRPr="00F34AA7" w:rsidRDefault="00B97752" w:rsidP="00B97752">
      <w:pPr>
        <w:pStyle w:val="Reference"/>
        <w:numPr>
          <w:ilvl w:val="0"/>
          <w:numId w:val="15"/>
        </w:numPr>
        <w:textAlignment w:val="auto"/>
      </w:pPr>
      <w:bookmarkStart w:id="47" w:name="_Ref454459437"/>
      <w:r w:rsidRPr="003F19FA">
        <w:rPr>
          <w:bCs/>
        </w:rPr>
        <w:t xml:space="preserve">TR </w:t>
      </w:r>
      <w:hyperlink r:id="rId19" w:history="1">
        <w:r>
          <w:rPr>
            <w:rStyle w:val="Hyperlink"/>
            <w:bCs/>
          </w:rPr>
          <w:t>36.881</w:t>
        </w:r>
      </w:hyperlink>
      <w:r w:rsidRPr="003F19FA">
        <w:rPr>
          <w:bCs/>
        </w:rPr>
        <w:tab/>
        <w:t>Study on latency reduction techniques for LTE</w:t>
      </w:r>
      <w:r>
        <w:rPr>
          <w:bCs/>
        </w:rPr>
        <w:t>.</w:t>
      </w:r>
      <w:bookmarkEnd w:id="47"/>
    </w:p>
    <w:bookmarkStart w:id="48" w:name="_Ref477367320"/>
    <w:p w14:paraId="4423285E" w14:textId="19355DA1" w:rsidR="00F34AA7" w:rsidRPr="00F45C44" w:rsidRDefault="009F3B2E" w:rsidP="00B97752">
      <w:pPr>
        <w:pStyle w:val="Reference"/>
        <w:numPr>
          <w:ilvl w:val="0"/>
          <w:numId w:val="15"/>
        </w:numPr>
        <w:textAlignment w:val="auto"/>
      </w:pPr>
      <w:r>
        <w:fldChar w:fldCharType="begin"/>
      </w:r>
      <w:r>
        <w:instrText xml:space="preserve"> HYPERLINK "ftp://www.3gpp.org/tsg_ran/WG1_RL1//TSGR1_88/Docs/R1-1703255.zip" </w:instrText>
      </w:r>
      <w:r>
        <w:fldChar w:fldCharType="separate"/>
      </w:r>
      <w:r>
        <w:rPr>
          <w:rStyle w:val="Hyperlink"/>
        </w:rPr>
        <w:t>R1-1703255</w:t>
      </w:r>
      <w:r>
        <w:fldChar w:fldCharType="end"/>
      </w:r>
      <w:r w:rsidR="00CE43DC">
        <w:t>, On supported sTTI combinations, Ericsson</w:t>
      </w:r>
      <w:r w:rsidR="00FC3379">
        <w:t>,</w:t>
      </w:r>
      <w:r w:rsidR="00CE43DC">
        <w:t xml:space="preserve"> RAN1#88</w:t>
      </w:r>
      <w:bookmarkEnd w:id="48"/>
    </w:p>
    <w:bookmarkEnd w:id="43"/>
    <w:bookmarkEnd w:id="44"/>
    <w:p w14:paraId="13D074B2" w14:textId="77777777" w:rsidR="003A7EF3" w:rsidRPr="00CE0424" w:rsidRDefault="003A7EF3" w:rsidP="00CE0424">
      <w:pPr>
        <w:pStyle w:val="BodyText"/>
      </w:pPr>
    </w:p>
    <w:sectPr w:rsidR="003A7EF3" w:rsidRPr="00CE0424">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C89444" w14:textId="77777777" w:rsidR="008C25A0" w:rsidRDefault="008C25A0">
      <w:r>
        <w:separator/>
      </w:r>
    </w:p>
  </w:endnote>
  <w:endnote w:type="continuationSeparator" w:id="0">
    <w:p w14:paraId="4D8B72DB" w14:textId="77777777" w:rsidR="008C25A0" w:rsidRDefault="008C25A0">
      <w:r>
        <w:continuationSeparator/>
      </w:r>
    </w:p>
  </w:endnote>
  <w:endnote w:type="continuationNotice" w:id="1">
    <w:p w14:paraId="27316AEA" w14:textId="77777777" w:rsidR="00816BD0" w:rsidRDefault="00816B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Yu Mincho">
    <w:altName w:val="MS PMincho"/>
    <w:panose1 w:val="00000000000000000000"/>
    <w:charset w:val="80"/>
    <w:family w:val="roman"/>
    <w:notTrueType/>
    <w:pitch w:val="default"/>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12339" w14:textId="34BD7664" w:rsidR="008C25A0" w:rsidRDefault="008C25A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C3379">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C337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3E3C49" w14:textId="77777777" w:rsidR="008C25A0" w:rsidRDefault="008C25A0">
      <w:r>
        <w:separator/>
      </w:r>
    </w:p>
  </w:footnote>
  <w:footnote w:type="continuationSeparator" w:id="0">
    <w:p w14:paraId="4695CE8C" w14:textId="77777777" w:rsidR="008C25A0" w:rsidRDefault="008C25A0">
      <w:r>
        <w:continuationSeparator/>
      </w:r>
    </w:p>
  </w:footnote>
  <w:footnote w:type="continuationNotice" w:id="1">
    <w:p w14:paraId="30961E1C" w14:textId="77777777" w:rsidR="00816BD0" w:rsidRDefault="00816B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05A1B" w14:textId="77777777" w:rsidR="008C25A0" w:rsidRDefault="008C25A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18223CA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4DC017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46E1B4C"/>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D354DCC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C4720EF"/>
    <w:multiLevelType w:val="hybridMultilevel"/>
    <w:tmpl w:val="71E61B2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3"/>
  </w:num>
  <w:num w:numId="3">
    <w:abstractNumId w:val="10"/>
  </w:num>
  <w:num w:numId="4">
    <w:abstractNumId w:val="11"/>
  </w:num>
  <w:num w:numId="5">
    <w:abstractNumId w:val="7"/>
  </w:num>
  <w:num w:numId="6">
    <w:abstractNumId w:val="12"/>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ED4"/>
    <w:rsid w:val="00006446"/>
    <w:rsid w:val="00006896"/>
    <w:rsid w:val="00007CDC"/>
    <w:rsid w:val="000107DE"/>
    <w:rsid w:val="00011B28"/>
    <w:rsid w:val="00015D15"/>
    <w:rsid w:val="00023713"/>
    <w:rsid w:val="0002531D"/>
    <w:rsid w:val="0002564D"/>
    <w:rsid w:val="00025ECA"/>
    <w:rsid w:val="00032588"/>
    <w:rsid w:val="000325B8"/>
    <w:rsid w:val="00034C15"/>
    <w:rsid w:val="00036BA1"/>
    <w:rsid w:val="000422E2"/>
    <w:rsid w:val="00042F22"/>
    <w:rsid w:val="000444EF"/>
    <w:rsid w:val="00046002"/>
    <w:rsid w:val="00046785"/>
    <w:rsid w:val="00052A07"/>
    <w:rsid w:val="000534E3"/>
    <w:rsid w:val="00055C1F"/>
    <w:rsid w:val="0005606A"/>
    <w:rsid w:val="00057117"/>
    <w:rsid w:val="000616E7"/>
    <w:rsid w:val="0006487E"/>
    <w:rsid w:val="00065E1A"/>
    <w:rsid w:val="00077E5F"/>
    <w:rsid w:val="0008036A"/>
    <w:rsid w:val="00081AE6"/>
    <w:rsid w:val="000855EB"/>
    <w:rsid w:val="00085B52"/>
    <w:rsid w:val="00086146"/>
    <w:rsid w:val="000866F2"/>
    <w:rsid w:val="0009009F"/>
    <w:rsid w:val="00091557"/>
    <w:rsid w:val="000924C1"/>
    <w:rsid w:val="000924F0"/>
    <w:rsid w:val="00093474"/>
    <w:rsid w:val="0009510F"/>
    <w:rsid w:val="00097896"/>
    <w:rsid w:val="000A1B7B"/>
    <w:rsid w:val="000A56F2"/>
    <w:rsid w:val="000B2719"/>
    <w:rsid w:val="000B3A8F"/>
    <w:rsid w:val="000B4AB9"/>
    <w:rsid w:val="000B58C3"/>
    <w:rsid w:val="000B61E9"/>
    <w:rsid w:val="000C165A"/>
    <w:rsid w:val="000C2E19"/>
    <w:rsid w:val="000D0D07"/>
    <w:rsid w:val="000D1F38"/>
    <w:rsid w:val="000D4797"/>
    <w:rsid w:val="000E0527"/>
    <w:rsid w:val="000E1E92"/>
    <w:rsid w:val="000E237F"/>
    <w:rsid w:val="000F06D6"/>
    <w:rsid w:val="000F0EB1"/>
    <w:rsid w:val="000F1106"/>
    <w:rsid w:val="000F3BE9"/>
    <w:rsid w:val="000F3F6C"/>
    <w:rsid w:val="000F6DF3"/>
    <w:rsid w:val="001005FF"/>
    <w:rsid w:val="001048E8"/>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8E2"/>
    <w:rsid w:val="00151E23"/>
    <w:rsid w:val="001521A7"/>
    <w:rsid w:val="001526E0"/>
    <w:rsid w:val="001551B5"/>
    <w:rsid w:val="0015636F"/>
    <w:rsid w:val="001659C1"/>
    <w:rsid w:val="00173A8E"/>
    <w:rsid w:val="00177379"/>
    <w:rsid w:val="00177795"/>
    <w:rsid w:val="0018143F"/>
    <w:rsid w:val="0019058D"/>
    <w:rsid w:val="00190AC1"/>
    <w:rsid w:val="00190C6C"/>
    <w:rsid w:val="0019341A"/>
    <w:rsid w:val="001937E5"/>
    <w:rsid w:val="001950CB"/>
    <w:rsid w:val="00197DF9"/>
    <w:rsid w:val="001A1987"/>
    <w:rsid w:val="001A2564"/>
    <w:rsid w:val="001A41B3"/>
    <w:rsid w:val="001A6173"/>
    <w:rsid w:val="001A6CBA"/>
    <w:rsid w:val="001B0D97"/>
    <w:rsid w:val="001B1070"/>
    <w:rsid w:val="001B2D24"/>
    <w:rsid w:val="001B5A5D"/>
    <w:rsid w:val="001C0B9A"/>
    <w:rsid w:val="001C1CE5"/>
    <w:rsid w:val="001C3D2A"/>
    <w:rsid w:val="001C7101"/>
    <w:rsid w:val="001D51BA"/>
    <w:rsid w:val="001D6342"/>
    <w:rsid w:val="001D6B16"/>
    <w:rsid w:val="001D6D53"/>
    <w:rsid w:val="001E1DBB"/>
    <w:rsid w:val="001E58E2"/>
    <w:rsid w:val="001E7AED"/>
    <w:rsid w:val="001F3916"/>
    <w:rsid w:val="001F5122"/>
    <w:rsid w:val="001F54C5"/>
    <w:rsid w:val="001F662C"/>
    <w:rsid w:val="001F7074"/>
    <w:rsid w:val="00200490"/>
    <w:rsid w:val="00201F3A"/>
    <w:rsid w:val="00203F96"/>
    <w:rsid w:val="002062DE"/>
    <w:rsid w:val="002069B2"/>
    <w:rsid w:val="00207FA3"/>
    <w:rsid w:val="00214DA8"/>
    <w:rsid w:val="00215423"/>
    <w:rsid w:val="002158FA"/>
    <w:rsid w:val="00220600"/>
    <w:rsid w:val="002224DB"/>
    <w:rsid w:val="00223736"/>
    <w:rsid w:val="00223FCB"/>
    <w:rsid w:val="002252C3"/>
    <w:rsid w:val="00225C54"/>
    <w:rsid w:val="00230765"/>
    <w:rsid w:val="002319E4"/>
    <w:rsid w:val="00235632"/>
    <w:rsid w:val="00235872"/>
    <w:rsid w:val="002366B6"/>
    <w:rsid w:val="00237136"/>
    <w:rsid w:val="00241559"/>
    <w:rsid w:val="0024339D"/>
    <w:rsid w:val="002435B3"/>
    <w:rsid w:val="002442E9"/>
    <w:rsid w:val="002458EB"/>
    <w:rsid w:val="002500C8"/>
    <w:rsid w:val="00254244"/>
    <w:rsid w:val="0025513D"/>
    <w:rsid w:val="00257543"/>
    <w:rsid w:val="002617E7"/>
    <w:rsid w:val="00264228"/>
    <w:rsid w:val="00264334"/>
    <w:rsid w:val="0026473E"/>
    <w:rsid w:val="00266214"/>
    <w:rsid w:val="002669B4"/>
    <w:rsid w:val="00267290"/>
    <w:rsid w:val="00267C83"/>
    <w:rsid w:val="0027144F"/>
    <w:rsid w:val="00271F3A"/>
    <w:rsid w:val="00273278"/>
    <w:rsid w:val="002737F4"/>
    <w:rsid w:val="002805F5"/>
    <w:rsid w:val="00280751"/>
    <w:rsid w:val="0028280A"/>
    <w:rsid w:val="00285912"/>
    <w:rsid w:val="00286ACD"/>
    <w:rsid w:val="00287838"/>
    <w:rsid w:val="00287B64"/>
    <w:rsid w:val="002907B5"/>
    <w:rsid w:val="00290D2E"/>
    <w:rsid w:val="00292EB7"/>
    <w:rsid w:val="00296227"/>
    <w:rsid w:val="00296F44"/>
    <w:rsid w:val="0029777D"/>
    <w:rsid w:val="002A055E"/>
    <w:rsid w:val="002A1D4E"/>
    <w:rsid w:val="002A2869"/>
    <w:rsid w:val="002B24D6"/>
    <w:rsid w:val="002C05E3"/>
    <w:rsid w:val="002C27E3"/>
    <w:rsid w:val="002C2BC4"/>
    <w:rsid w:val="002C41E6"/>
    <w:rsid w:val="002C5BA4"/>
    <w:rsid w:val="002D071A"/>
    <w:rsid w:val="002D32CE"/>
    <w:rsid w:val="002D34B2"/>
    <w:rsid w:val="002D7637"/>
    <w:rsid w:val="002E17F2"/>
    <w:rsid w:val="002E2EE5"/>
    <w:rsid w:val="002E71BC"/>
    <w:rsid w:val="002E7CAE"/>
    <w:rsid w:val="002F2771"/>
    <w:rsid w:val="002F37A9"/>
    <w:rsid w:val="002F6120"/>
    <w:rsid w:val="00301CE6"/>
    <w:rsid w:val="0030256B"/>
    <w:rsid w:val="0030501F"/>
    <w:rsid w:val="00307BA1"/>
    <w:rsid w:val="00311702"/>
    <w:rsid w:val="00311E82"/>
    <w:rsid w:val="00313FD6"/>
    <w:rsid w:val="003143BD"/>
    <w:rsid w:val="003203ED"/>
    <w:rsid w:val="00322C9F"/>
    <w:rsid w:val="00324D23"/>
    <w:rsid w:val="00327B01"/>
    <w:rsid w:val="00331751"/>
    <w:rsid w:val="00334579"/>
    <w:rsid w:val="00335858"/>
    <w:rsid w:val="00336BDA"/>
    <w:rsid w:val="0034193B"/>
    <w:rsid w:val="00342BD7"/>
    <w:rsid w:val="00343A07"/>
    <w:rsid w:val="00346DB5"/>
    <w:rsid w:val="003477B1"/>
    <w:rsid w:val="00347939"/>
    <w:rsid w:val="00357380"/>
    <w:rsid w:val="003602D9"/>
    <w:rsid w:val="003604CE"/>
    <w:rsid w:val="00360B1E"/>
    <w:rsid w:val="00370E47"/>
    <w:rsid w:val="003742AC"/>
    <w:rsid w:val="00377CE1"/>
    <w:rsid w:val="00385BF0"/>
    <w:rsid w:val="0038723B"/>
    <w:rsid w:val="003939FF"/>
    <w:rsid w:val="003A061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B3C"/>
    <w:rsid w:val="003F2CD4"/>
    <w:rsid w:val="003F44DE"/>
    <w:rsid w:val="003F6BBE"/>
    <w:rsid w:val="004000E8"/>
    <w:rsid w:val="00402E2B"/>
    <w:rsid w:val="0040512B"/>
    <w:rsid w:val="00405CA5"/>
    <w:rsid w:val="0040681F"/>
    <w:rsid w:val="00407CD3"/>
    <w:rsid w:val="00410134"/>
    <w:rsid w:val="00410792"/>
    <w:rsid w:val="00410B72"/>
    <w:rsid w:val="00410F18"/>
    <w:rsid w:val="0041263E"/>
    <w:rsid w:val="00413AAC"/>
    <w:rsid w:val="00420408"/>
    <w:rsid w:val="00421105"/>
    <w:rsid w:val="004242F4"/>
    <w:rsid w:val="00427248"/>
    <w:rsid w:val="00434DCC"/>
    <w:rsid w:val="00437447"/>
    <w:rsid w:val="00441A92"/>
    <w:rsid w:val="00444F56"/>
    <w:rsid w:val="00446488"/>
    <w:rsid w:val="004517AA"/>
    <w:rsid w:val="00452CAC"/>
    <w:rsid w:val="00457565"/>
    <w:rsid w:val="00457B71"/>
    <w:rsid w:val="004669E2"/>
    <w:rsid w:val="00470C31"/>
    <w:rsid w:val="004734D0"/>
    <w:rsid w:val="0047556B"/>
    <w:rsid w:val="00477768"/>
    <w:rsid w:val="00477B4B"/>
    <w:rsid w:val="00492188"/>
    <w:rsid w:val="00492BC5"/>
    <w:rsid w:val="00494D56"/>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72C2"/>
    <w:rsid w:val="005219CF"/>
    <w:rsid w:val="005252B2"/>
    <w:rsid w:val="00534B59"/>
    <w:rsid w:val="00536759"/>
    <w:rsid w:val="00537AA7"/>
    <w:rsid w:val="00537C62"/>
    <w:rsid w:val="00542F02"/>
    <w:rsid w:val="005448F0"/>
    <w:rsid w:val="00544EB9"/>
    <w:rsid w:val="00546970"/>
    <w:rsid w:val="005478B6"/>
    <w:rsid w:val="00547F4D"/>
    <w:rsid w:val="00550419"/>
    <w:rsid w:val="00551827"/>
    <w:rsid w:val="00554328"/>
    <w:rsid w:val="00554E19"/>
    <w:rsid w:val="0056121F"/>
    <w:rsid w:val="00565159"/>
    <w:rsid w:val="00572505"/>
    <w:rsid w:val="00573D90"/>
    <w:rsid w:val="005763AD"/>
    <w:rsid w:val="00582809"/>
    <w:rsid w:val="005873E2"/>
    <w:rsid w:val="0058798C"/>
    <w:rsid w:val="005900FA"/>
    <w:rsid w:val="005935A4"/>
    <w:rsid w:val="005948C2"/>
    <w:rsid w:val="00595DCA"/>
    <w:rsid w:val="0059779B"/>
    <w:rsid w:val="005A1089"/>
    <w:rsid w:val="005A209A"/>
    <w:rsid w:val="005A223D"/>
    <w:rsid w:val="005A229E"/>
    <w:rsid w:val="005A662D"/>
    <w:rsid w:val="005B12FD"/>
    <w:rsid w:val="005B35D7"/>
    <w:rsid w:val="005B3877"/>
    <w:rsid w:val="005B392A"/>
    <w:rsid w:val="005B3AA3"/>
    <w:rsid w:val="005B6F83"/>
    <w:rsid w:val="005C3133"/>
    <w:rsid w:val="005C74FB"/>
    <w:rsid w:val="005D1602"/>
    <w:rsid w:val="005D2194"/>
    <w:rsid w:val="005D5663"/>
    <w:rsid w:val="005D5F63"/>
    <w:rsid w:val="005D6377"/>
    <w:rsid w:val="005D6BBA"/>
    <w:rsid w:val="005D78E5"/>
    <w:rsid w:val="005E385F"/>
    <w:rsid w:val="005E5B81"/>
    <w:rsid w:val="005F2CB1"/>
    <w:rsid w:val="005F3025"/>
    <w:rsid w:val="005F3AF3"/>
    <w:rsid w:val="005F4D33"/>
    <w:rsid w:val="005F618C"/>
    <w:rsid w:val="005F6DF4"/>
    <w:rsid w:val="005F70BD"/>
    <w:rsid w:val="005F7684"/>
    <w:rsid w:val="0060283C"/>
    <w:rsid w:val="00604F14"/>
    <w:rsid w:val="00611B83"/>
    <w:rsid w:val="00613257"/>
    <w:rsid w:val="00620A71"/>
    <w:rsid w:val="00620D80"/>
    <w:rsid w:val="006212A9"/>
    <w:rsid w:val="006234A6"/>
    <w:rsid w:val="006241E1"/>
    <w:rsid w:val="00630001"/>
    <w:rsid w:val="006311B3"/>
    <w:rsid w:val="0063284C"/>
    <w:rsid w:val="00636009"/>
    <w:rsid w:val="00636398"/>
    <w:rsid w:val="006368D3"/>
    <w:rsid w:val="006377EC"/>
    <w:rsid w:val="0064151F"/>
    <w:rsid w:val="00641533"/>
    <w:rsid w:val="0064208D"/>
    <w:rsid w:val="00643475"/>
    <w:rsid w:val="0064396A"/>
    <w:rsid w:val="0064624E"/>
    <w:rsid w:val="006466F1"/>
    <w:rsid w:val="00650AB9"/>
    <w:rsid w:val="00652060"/>
    <w:rsid w:val="00655733"/>
    <w:rsid w:val="00655ACD"/>
    <w:rsid w:val="00656A92"/>
    <w:rsid w:val="00656B7F"/>
    <w:rsid w:val="00656DDE"/>
    <w:rsid w:val="0066011D"/>
    <w:rsid w:val="00660293"/>
    <w:rsid w:val="006607C0"/>
    <w:rsid w:val="006613A6"/>
    <w:rsid w:val="006627A2"/>
    <w:rsid w:val="00662C22"/>
    <w:rsid w:val="006634E6"/>
    <w:rsid w:val="006654DF"/>
    <w:rsid w:val="006655EE"/>
    <w:rsid w:val="006679D0"/>
    <w:rsid w:val="00667EE7"/>
    <w:rsid w:val="00670922"/>
    <w:rsid w:val="00670BE1"/>
    <w:rsid w:val="0067218F"/>
    <w:rsid w:val="0067359C"/>
    <w:rsid w:val="006741F2"/>
    <w:rsid w:val="00674CC3"/>
    <w:rsid w:val="00675C72"/>
    <w:rsid w:val="006771F9"/>
    <w:rsid w:val="006776D7"/>
    <w:rsid w:val="00681003"/>
    <w:rsid w:val="006817C9"/>
    <w:rsid w:val="00683ECE"/>
    <w:rsid w:val="00685724"/>
    <w:rsid w:val="006925C9"/>
    <w:rsid w:val="00695FC2"/>
    <w:rsid w:val="00696949"/>
    <w:rsid w:val="00697052"/>
    <w:rsid w:val="006A19AF"/>
    <w:rsid w:val="006A1C01"/>
    <w:rsid w:val="006A46FB"/>
    <w:rsid w:val="006A5E28"/>
    <w:rsid w:val="006A697B"/>
    <w:rsid w:val="006A7AFF"/>
    <w:rsid w:val="006B1816"/>
    <w:rsid w:val="006B2099"/>
    <w:rsid w:val="006B50CF"/>
    <w:rsid w:val="006B5B0F"/>
    <w:rsid w:val="006C03B8"/>
    <w:rsid w:val="006C5EC9"/>
    <w:rsid w:val="006C6059"/>
    <w:rsid w:val="006C6511"/>
    <w:rsid w:val="006C716E"/>
    <w:rsid w:val="006C7522"/>
    <w:rsid w:val="006D6F08"/>
    <w:rsid w:val="006E062C"/>
    <w:rsid w:val="006E240C"/>
    <w:rsid w:val="006E28B7"/>
    <w:rsid w:val="006E3310"/>
    <w:rsid w:val="006E4E39"/>
    <w:rsid w:val="006E565E"/>
    <w:rsid w:val="006E673D"/>
    <w:rsid w:val="006E7D3B"/>
    <w:rsid w:val="006F1B70"/>
    <w:rsid w:val="006F341D"/>
    <w:rsid w:val="006F3CDE"/>
    <w:rsid w:val="006F58D4"/>
    <w:rsid w:val="0070346E"/>
    <w:rsid w:val="00704EDB"/>
    <w:rsid w:val="007059B8"/>
    <w:rsid w:val="00706101"/>
    <w:rsid w:val="00706767"/>
    <w:rsid w:val="00707072"/>
    <w:rsid w:val="00707D61"/>
    <w:rsid w:val="00712287"/>
    <w:rsid w:val="00712772"/>
    <w:rsid w:val="0071282F"/>
    <w:rsid w:val="007148D3"/>
    <w:rsid w:val="00715B9A"/>
    <w:rsid w:val="0071642E"/>
    <w:rsid w:val="00726EA6"/>
    <w:rsid w:val="00727208"/>
    <w:rsid w:val="00727680"/>
    <w:rsid w:val="00732461"/>
    <w:rsid w:val="007340C0"/>
    <w:rsid w:val="007348B1"/>
    <w:rsid w:val="007362A6"/>
    <w:rsid w:val="00736D7D"/>
    <w:rsid w:val="00740E58"/>
    <w:rsid w:val="007445A0"/>
    <w:rsid w:val="0074524B"/>
    <w:rsid w:val="00745CA3"/>
    <w:rsid w:val="00747B0C"/>
    <w:rsid w:val="00747D8B"/>
    <w:rsid w:val="0075031C"/>
    <w:rsid w:val="00751228"/>
    <w:rsid w:val="007571E1"/>
    <w:rsid w:val="007604B2"/>
    <w:rsid w:val="00764CD9"/>
    <w:rsid w:val="00765281"/>
    <w:rsid w:val="00766BAD"/>
    <w:rsid w:val="007724A0"/>
    <w:rsid w:val="007730BD"/>
    <w:rsid w:val="007755F2"/>
    <w:rsid w:val="00776971"/>
    <w:rsid w:val="00777A01"/>
    <w:rsid w:val="0078177E"/>
    <w:rsid w:val="0078253D"/>
    <w:rsid w:val="0078304C"/>
    <w:rsid w:val="00783673"/>
    <w:rsid w:val="00785490"/>
    <w:rsid w:val="00790B5E"/>
    <w:rsid w:val="007925EA"/>
    <w:rsid w:val="00793CD8"/>
    <w:rsid w:val="00795C92"/>
    <w:rsid w:val="00796231"/>
    <w:rsid w:val="007A0395"/>
    <w:rsid w:val="007A1BCB"/>
    <w:rsid w:val="007A1CB3"/>
    <w:rsid w:val="007A306F"/>
    <w:rsid w:val="007A43A6"/>
    <w:rsid w:val="007A58A6"/>
    <w:rsid w:val="007B3D2D"/>
    <w:rsid w:val="007B505F"/>
    <w:rsid w:val="007B50AE"/>
    <w:rsid w:val="007B51DF"/>
    <w:rsid w:val="007C05DD"/>
    <w:rsid w:val="007C3D18"/>
    <w:rsid w:val="007C60BF"/>
    <w:rsid w:val="007C6A07"/>
    <w:rsid w:val="007C75A1"/>
    <w:rsid w:val="007C76DA"/>
    <w:rsid w:val="007C77A5"/>
    <w:rsid w:val="007D04E5"/>
    <w:rsid w:val="007D5901"/>
    <w:rsid w:val="007D7526"/>
    <w:rsid w:val="007E4610"/>
    <w:rsid w:val="007E4715"/>
    <w:rsid w:val="007E505B"/>
    <w:rsid w:val="007E67CE"/>
    <w:rsid w:val="007E7091"/>
    <w:rsid w:val="007F11DE"/>
    <w:rsid w:val="007F4F15"/>
    <w:rsid w:val="007F526C"/>
    <w:rsid w:val="00803E07"/>
    <w:rsid w:val="00803FAE"/>
    <w:rsid w:val="0080521A"/>
    <w:rsid w:val="0080605F"/>
    <w:rsid w:val="00807786"/>
    <w:rsid w:val="00811FCB"/>
    <w:rsid w:val="00815327"/>
    <w:rsid w:val="008158D6"/>
    <w:rsid w:val="00816BD0"/>
    <w:rsid w:val="00817196"/>
    <w:rsid w:val="00817C68"/>
    <w:rsid w:val="008235DB"/>
    <w:rsid w:val="00824AB4"/>
    <w:rsid w:val="00825C42"/>
    <w:rsid w:val="00825D25"/>
    <w:rsid w:val="00827D6F"/>
    <w:rsid w:val="008376AC"/>
    <w:rsid w:val="008444E8"/>
    <w:rsid w:val="00844E80"/>
    <w:rsid w:val="00846FE7"/>
    <w:rsid w:val="00847D12"/>
    <w:rsid w:val="00856911"/>
    <w:rsid w:val="00866CF3"/>
    <w:rsid w:val="008672B6"/>
    <w:rsid w:val="008677FD"/>
    <w:rsid w:val="008700D4"/>
    <w:rsid w:val="008706D4"/>
    <w:rsid w:val="00870F8A"/>
    <w:rsid w:val="008719A4"/>
    <w:rsid w:val="00871D23"/>
    <w:rsid w:val="00874312"/>
    <w:rsid w:val="0087437C"/>
    <w:rsid w:val="00874FAC"/>
    <w:rsid w:val="00875CD7"/>
    <w:rsid w:val="00876B4D"/>
    <w:rsid w:val="00877F18"/>
    <w:rsid w:val="008807B8"/>
    <w:rsid w:val="00884708"/>
    <w:rsid w:val="00894990"/>
    <w:rsid w:val="00894A88"/>
    <w:rsid w:val="00895066"/>
    <w:rsid w:val="00895386"/>
    <w:rsid w:val="008A21FF"/>
    <w:rsid w:val="008A2CE2"/>
    <w:rsid w:val="008A30AC"/>
    <w:rsid w:val="008A33DD"/>
    <w:rsid w:val="008A410A"/>
    <w:rsid w:val="008A44B8"/>
    <w:rsid w:val="008A51A8"/>
    <w:rsid w:val="008A54C7"/>
    <w:rsid w:val="008A7130"/>
    <w:rsid w:val="008A77D8"/>
    <w:rsid w:val="008B0483"/>
    <w:rsid w:val="008B120C"/>
    <w:rsid w:val="008B3627"/>
    <w:rsid w:val="008B3F57"/>
    <w:rsid w:val="008B51A0"/>
    <w:rsid w:val="008B592A"/>
    <w:rsid w:val="008B7B5C"/>
    <w:rsid w:val="008C0C99"/>
    <w:rsid w:val="008C2017"/>
    <w:rsid w:val="008C25A0"/>
    <w:rsid w:val="008C4958"/>
    <w:rsid w:val="008C4BAA"/>
    <w:rsid w:val="008C50F7"/>
    <w:rsid w:val="008C6AE8"/>
    <w:rsid w:val="008C7573"/>
    <w:rsid w:val="008D2E01"/>
    <w:rsid w:val="008D34F1"/>
    <w:rsid w:val="008D39D8"/>
    <w:rsid w:val="008D4F7A"/>
    <w:rsid w:val="008D6D1A"/>
    <w:rsid w:val="008E065E"/>
    <w:rsid w:val="008E0927"/>
    <w:rsid w:val="008E1909"/>
    <w:rsid w:val="008F04E2"/>
    <w:rsid w:val="008F1EAB"/>
    <w:rsid w:val="008F33DC"/>
    <w:rsid w:val="008F477F"/>
    <w:rsid w:val="00902350"/>
    <w:rsid w:val="0090336B"/>
    <w:rsid w:val="00904F94"/>
    <w:rsid w:val="0090500B"/>
    <w:rsid w:val="0090531A"/>
    <w:rsid w:val="009053AA"/>
    <w:rsid w:val="00906939"/>
    <w:rsid w:val="00910B7D"/>
    <w:rsid w:val="00911DFB"/>
    <w:rsid w:val="009139D9"/>
    <w:rsid w:val="00914AD8"/>
    <w:rsid w:val="00914D2D"/>
    <w:rsid w:val="00916079"/>
    <w:rsid w:val="00917CE9"/>
    <w:rsid w:val="00920BF2"/>
    <w:rsid w:val="00922010"/>
    <w:rsid w:val="00931BD9"/>
    <w:rsid w:val="009368F3"/>
    <w:rsid w:val="00936924"/>
    <w:rsid w:val="00940CF9"/>
    <w:rsid w:val="00941636"/>
    <w:rsid w:val="00943742"/>
    <w:rsid w:val="00945C05"/>
    <w:rsid w:val="00946945"/>
    <w:rsid w:val="00947713"/>
    <w:rsid w:val="00950DE7"/>
    <w:rsid w:val="009533E9"/>
    <w:rsid w:val="00953920"/>
    <w:rsid w:val="00953D47"/>
    <w:rsid w:val="0095681E"/>
    <w:rsid w:val="009572D4"/>
    <w:rsid w:val="00961921"/>
    <w:rsid w:val="00963766"/>
    <w:rsid w:val="0096430A"/>
    <w:rsid w:val="0096554B"/>
    <w:rsid w:val="0096584A"/>
    <w:rsid w:val="00971F08"/>
    <w:rsid w:val="00974529"/>
    <w:rsid w:val="0097603D"/>
    <w:rsid w:val="00976949"/>
    <w:rsid w:val="00980477"/>
    <w:rsid w:val="00983A34"/>
    <w:rsid w:val="00985253"/>
    <w:rsid w:val="009853B3"/>
    <w:rsid w:val="009859D8"/>
    <w:rsid w:val="00990630"/>
    <w:rsid w:val="00991761"/>
    <w:rsid w:val="00994DCA"/>
    <w:rsid w:val="009960EC"/>
    <w:rsid w:val="009969B0"/>
    <w:rsid w:val="009970DD"/>
    <w:rsid w:val="009A0814"/>
    <w:rsid w:val="009A0FBA"/>
    <w:rsid w:val="009A1601"/>
    <w:rsid w:val="009A462D"/>
    <w:rsid w:val="009A5CBA"/>
    <w:rsid w:val="009B1F30"/>
    <w:rsid w:val="009B3AC2"/>
    <w:rsid w:val="009B4DF4"/>
    <w:rsid w:val="009B564E"/>
    <w:rsid w:val="009B64E5"/>
    <w:rsid w:val="009B7E87"/>
    <w:rsid w:val="009C403E"/>
    <w:rsid w:val="009D4FF0"/>
    <w:rsid w:val="009D51E3"/>
    <w:rsid w:val="009D703C"/>
    <w:rsid w:val="009D718F"/>
    <w:rsid w:val="009E068F"/>
    <w:rsid w:val="009E14E0"/>
    <w:rsid w:val="009E35DB"/>
    <w:rsid w:val="009E47A3"/>
    <w:rsid w:val="009F08F3"/>
    <w:rsid w:val="009F344F"/>
    <w:rsid w:val="009F3B2E"/>
    <w:rsid w:val="009F5136"/>
    <w:rsid w:val="00A02528"/>
    <w:rsid w:val="00A048A8"/>
    <w:rsid w:val="00A04F49"/>
    <w:rsid w:val="00A05F1D"/>
    <w:rsid w:val="00A13E54"/>
    <w:rsid w:val="00A17F63"/>
    <w:rsid w:val="00A2193B"/>
    <w:rsid w:val="00A2351A"/>
    <w:rsid w:val="00A264A9"/>
    <w:rsid w:val="00A27785"/>
    <w:rsid w:val="00A30187"/>
    <w:rsid w:val="00A3448A"/>
    <w:rsid w:val="00A36297"/>
    <w:rsid w:val="00A368AE"/>
    <w:rsid w:val="00A41E2B"/>
    <w:rsid w:val="00A4540D"/>
    <w:rsid w:val="00A45B74"/>
    <w:rsid w:val="00A52E1D"/>
    <w:rsid w:val="00A605BE"/>
    <w:rsid w:val="00A61499"/>
    <w:rsid w:val="00A62A77"/>
    <w:rsid w:val="00A63483"/>
    <w:rsid w:val="00A657D7"/>
    <w:rsid w:val="00A660AC"/>
    <w:rsid w:val="00A67E6C"/>
    <w:rsid w:val="00A71B99"/>
    <w:rsid w:val="00A739D0"/>
    <w:rsid w:val="00A761D4"/>
    <w:rsid w:val="00A76525"/>
    <w:rsid w:val="00A77EC4"/>
    <w:rsid w:val="00A92879"/>
    <w:rsid w:val="00A9442A"/>
    <w:rsid w:val="00AA016F"/>
    <w:rsid w:val="00AA1ED6"/>
    <w:rsid w:val="00AA200D"/>
    <w:rsid w:val="00AA51D6"/>
    <w:rsid w:val="00AB0BC8"/>
    <w:rsid w:val="00AB11CA"/>
    <w:rsid w:val="00AB14D9"/>
    <w:rsid w:val="00AB455F"/>
    <w:rsid w:val="00AB4AB8"/>
    <w:rsid w:val="00AB655E"/>
    <w:rsid w:val="00AC007F"/>
    <w:rsid w:val="00AC2ECD"/>
    <w:rsid w:val="00AC3119"/>
    <w:rsid w:val="00AC3A7B"/>
    <w:rsid w:val="00AC49FB"/>
    <w:rsid w:val="00AC5486"/>
    <w:rsid w:val="00AC5A10"/>
    <w:rsid w:val="00AD0AA3"/>
    <w:rsid w:val="00AD3F94"/>
    <w:rsid w:val="00AD4A5A"/>
    <w:rsid w:val="00AE1DB2"/>
    <w:rsid w:val="00AE27AC"/>
    <w:rsid w:val="00AE2834"/>
    <w:rsid w:val="00AE40E0"/>
    <w:rsid w:val="00AE4DBA"/>
    <w:rsid w:val="00AE4F07"/>
    <w:rsid w:val="00AE68E6"/>
    <w:rsid w:val="00AF1C5D"/>
    <w:rsid w:val="00AF332C"/>
    <w:rsid w:val="00AF42D7"/>
    <w:rsid w:val="00AF463F"/>
    <w:rsid w:val="00B006FE"/>
    <w:rsid w:val="00B007CB"/>
    <w:rsid w:val="00B01215"/>
    <w:rsid w:val="00B02AA9"/>
    <w:rsid w:val="00B02FA3"/>
    <w:rsid w:val="00B05084"/>
    <w:rsid w:val="00B103D9"/>
    <w:rsid w:val="00B157F9"/>
    <w:rsid w:val="00B15C02"/>
    <w:rsid w:val="00B17A60"/>
    <w:rsid w:val="00B20256"/>
    <w:rsid w:val="00B20D09"/>
    <w:rsid w:val="00B23684"/>
    <w:rsid w:val="00B2763F"/>
    <w:rsid w:val="00B27AAC"/>
    <w:rsid w:val="00B304F3"/>
    <w:rsid w:val="00B30929"/>
    <w:rsid w:val="00B31B04"/>
    <w:rsid w:val="00B372AA"/>
    <w:rsid w:val="00B40445"/>
    <w:rsid w:val="00B40BEF"/>
    <w:rsid w:val="00B41888"/>
    <w:rsid w:val="00B42208"/>
    <w:rsid w:val="00B45A52"/>
    <w:rsid w:val="00B46175"/>
    <w:rsid w:val="00B53ED3"/>
    <w:rsid w:val="00B6188F"/>
    <w:rsid w:val="00B63BB1"/>
    <w:rsid w:val="00B664C7"/>
    <w:rsid w:val="00B739F6"/>
    <w:rsid w:val="00B75ED6"/>
    <w:rsid w:val="00B76A9D"/>
    <w:rsid w:val="00B81118"/>
    <w:rsid w:val="00B81A6C"/>
    <w:rsid w:val="00B85811"/>
    <w:rsid w:val="00B85DE5"/>
    <w:rsid w:val="00B8766B"/>
    <w:rsid w:val="00B90F73"/>
    <w:rsid w:val="00B93B59"/>
    <w:rsid w:val="00B9406A"/>
    <w:rsid w:val="00B97752"/>
    <w:rsid w:val="00BA2280"/>
    <w:rsid w:val="00BA2A08"/>
    <w:rsid w:val="00BA56D2"/>
    <w:rsid w:val="00BA76E0"/>
    <w:rsid w:val="00BB2280"/>
    <w:rsid w:val="00BB2A25"/>
    <w:rsid w:val="00BB51E9"/>
    <w:rsid w:val="00BB6B36"/>
    <w:rsid w:val="00BC0FDC"/>
    <w:rsid w:val="00BC3053"/>
    <w:rsid w:val="00BC4D2E"/>
    <w:rsid w:val="00BD27AA"/>
    <w:rsid w:val="00BD48AC"/>
    <w:rsid w:val="00BD5F1A"/>
    <w:rsid w:val="00BE1234"/>
    <w:rsid w:val="00BE2FA6"/>
    <w:rsid w:val="00BE333F"/>
    <w:rsid w:val="00BE7406"/>
    <w:rsid w:val="00BE7603"/>
    <w:rsid w:val="00BF0EC6"/>
    <w:rsid w:val="00BF3279"/>
    <w:rsid w:val="00BF74C7"/>
    <w:rsid w:val="00C015F1"/>
    <w:rsid w:val="00C01F33"/>
    <w:rsid w:val="00C02CC6"/>
    <w:rsid w:val="00C040F7"/>
    <w:rsid w:val="00C041B0"/>
    <w:rsid w:val="00C044AB"/>
    <w:rsid w:val="00C05706"/>
    <w:rsid w:val="00C07377"/>
    <w:rsid w:val="00C10478"/>
    <w:rsid w:val="00C12107"/>
    <w:rsid w:val="00C122C2"/>
    <w:rsid w:val="00C14D4B"/>
    <w:rsid w:val="00C154BB"/>
    <w:rsid w:val="00C279B5"/>
    <w:rsid w:val="00C27C45"/>
    <w:rsid w:val="00C31D54"/>
    <w:rsid w:val="00C3719D"/>
    <w:rsid w:val="00C54995"/>
    <w:rsid w:val="00C54D41"/>
    <w:rsid w:val="00C60783"/>
    <w:rsid w:val="00C64672"/>
    <w:rsid w:val="00C70697"/>
    <w:rsid w:val="00C72EF4"/>
    <w:rsid w:val="00C75D2F"/>
    <w:rsid w:val="00C767BE"/>
    <w:rsid w:val="00C767C5"/>
    <w:rsid w:val="00C76E3C"/>
    <w:rsid w:val="00C81568"/>
    <w:rsid w:val="00C84966"/>
    <w:rsid w:val="00C87654"/>
    <w:rsid w:val="00C9027A"/>
    <w:rsid w:val="00C9068E"/>
    <w:rsid w:val="00C93C4B"/>
    <w:rsid w:val="00C944AB"/>
    <w:rsid w:val="00C95B40"/>
    <w:rsid w:val="00CA1ED8"/>
    <w:rsid w:val="00CB1F63"/>
    <w:rsid w:val="00CB2AF0"/>
    <w:rsid w:val="00CB7170"/>
    <w:rsid w:val="00CC040E"/>
    <w:rsid w:val="00CC0694"/>
    <w:rsid w:val="00CC111F"/>
    <w:rsid w:val="00CC2011"/>
    <w:rsid w:val="00CC3EA0"/>
    <w:rsid w:val="00CC41AA"/>
    <w:rsid w:val="00CC4DD9"/>
    <w:rsid w:val="00CC7B45"/>
    <w:rsid w:val="00CD116C"/>
    <w:rsid w:val="00CD1188"/>
    <w:rsid w:val="00CD17AA"/>
    <w:rsid w:val="00CD2ED1"/>
    <w:rsid w:val="00CD337B"/>
    <w:rsid w:val="00CD7898"/>
    <w:rsid w:val="00CE0424"/>
    <w:rsid w:val="00CE43DC"/>
    <w:rsid w:val="00CE49E5"/>
    <w:rsid w:val="00CE61C4"/>
    <w:rsid w:val="00CE7561"/>
    <w:rsid w:val="00CF1354"/>
    <w:rsid w:val="00CF3B1F"/>
    <w:rsid w:val="00CF3BF6"/>
    <w:rsid w:val="00CF52CC"/>
    <w:rsid w:val="00CF5F78"/>
    <w:rsid w:val="00CF625B"/>
    <w:rsid w:val="00CF687E"/>
    <w:rsid w:val="00D0349B"/>
    <w:rsid w:val="00D10249"/>
    <w:rsid w:val="00D115C3"/>
    <w:rsid w:val="00D11897"/>
    <w:rsid w:val="00D13135"/>
    <w:rsid w:val="00D13E4E"/>
    <w:rsid w:val="00D239A7"/>
    <w:rsid w:val="00D23F47"/>
    <w:rsid w:val="00D24BD1"/>
    <w:rsid w:val="00D3074B"/>
    <w:rsid w:val="00D30CDE"/>
    <w:rsid w:val="00D36E71"/>
    <w:rsid w:val="00D37D87"/>
    <w:rsid w:val="00D40B33"/>
    <w:rsid w:val="00D4318F"/>
    <w:rsid w:val="00D438BF"/>
    <w:rsid w:val="00D440F8"/>
    <w:rsid w:val="00D50570"/>
    <w:rsid w:val="00D50F97"/>
    <w:rsid w:val="00D546FF"/>
    <w:rsid w:val="00D55AD5"/>
    <w:rsid w:val="00D575A4"/>
    <w:rsid w:val="00D576CA"/>
    <w:rsid w:val="00D61AF5"/>
    <w:rsid w:val="00D6237B"/>
    <w:rsid w:val="00D652B5"/>
    <w:rsid w:val="00D66132"/>
    <w:rsid w:val="00D66155"/>
    <w:rsid w:val="00D708B0"/>
    <w:rsid w:val="00D7623A"/>
    <w:rsid w:val="00D77B1D"/>
    <w:rsid w:val="00D8021F"/>
    <w:rsid w:val="00D80383"/>
    <w:rsid w:val="00D823C6"/>
    <w:rsid w:val="00D86CA3"/>
    <w:rsid w:val="00D871CE"/>
    <w:rsid w:val="00D9196D"/>
    <w:rsid w:val="00D92982"/>
    <w:rsid w:val="00DA305E"/>
    <w:rsid w:val="00DA5417"/>
    <w:rsid w:val="00DA56E8"/>
    <w:rsid w:val="00DB0A9F"/>
    <w:rsid w:val="00DB377D"/>
    <w:rsid w:val="00DC22A7"/>
    <w:rsid w:val="00DC2D36"/>
    <w:rsid w:val="00DC53EF"/>
    <w:rsid w:val="00DE0156"/>
    <w:rsid w:val="00DE13FF"/>
    <w:rsid w:val="00DE3CE6"/>
    <w:rsid w:val="00DE5608"/>
    <w:rsid w:val="00DE58D0"/>
    <w:rsid w:val="00DE654F"/>
    <w:rsid w:val="00DF0B6E"/>
    <w:rsid w:val="00DF15E0"/>
    <w:rsid w:val="00DF3731"/>
    <w:rsid w:val="00DF37A0"/>
    <w:rsid w:val="00DF71A0"/>
    <w:rsid w:val="00E110E7"/>
    <w:rsid w:val="00E11B20"/>
    <w:rsid w:val="00E140EA"/>
    <w:rsid w:val="00E14D9A"/>
    <w:rsid w:val="00E17FA2"/>
    <w:rsid w:val="00E22330"/>
    <w:rsid w:val="00E22C24"/>
    <w:rsid w:val="00E30B5A"/>
    <w:rsid w:val="00E3123D"/>
    <w:rsid w:val="00E31461"/>
    <w:rsid w:val="00E31D43"/>
    <w:rsid w:val="00E32608"/>
    <w:rsid w:val="00E34188"/>
    <w:rsid w:val="00E34B6E"/>
    <w:rsid w:val="00E35559"/>
    <w:rsid w:val="00E3723A"/>
    <w:rsid w:val="00E37860"/>
    <w:rsid w:val="00E446F1"/>
    <w:rsid w:val="00E46886"/>
    <w:rsid w:val="00E476D5"/>
    <w:rsid w:val="00E47AEF"/>
    <w:rsid w:val="00E5233B"/>
    <w:rsid w:val="00E53B75"/>
    <w:rsid w:val="00E54E3B"/>
    <w:rsid w:val="00E57565"/>
    <w:rsid w:val="00E633D1"/>
    <w:rsid w:val="00E63838"/>
    <w:rsid w:val="00E64434"/>
    <w:rsid w:val="00E660D3"/>
    <w:rsid w:val="00E67C51"/>
    <w:rsid w:val="00E72EFC"/>
    <w:rsid w:val="00E758EC"/>
    <w:rsid w:val="00E8234C"/>
    <w:rsid w:val="00E83AA9"/>
    <w:rsid w:val="00E85928"/>
    <w:rsid w:val="00E87822"/>
    <w:rsid w:val="00E90395"/>
    <w:rsid w:val="00E90C4D"/>
    <w:rsid w:val="00E90E49"/>
    <w:rsid w:val="00E917F9"/>
    <w:rsid w:val="00E9291C"/>
    <w:rsid w:val="00E93FFE"/>
    <w:rsid w:val="00E94F8A"/>
    <w:rsid w:val="00EA0D68"/>
    <w:rsid w:val="00EA1541"/>
    <w:rsid w:val="00EA7A41"/>
    <w:rsid w:val="00EB077B"/>
    <w:rsid w:val="00EB4EA2"/>
    <w:rsid w:val="00EB6E29"/>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113D"/>
    <w:rsid w:val="00F12BED"/>
    <w:rsid w:val="00F154BD"/>
    <w:rsid w:val="00F15FA5"/>
    <w:rsid w:val="00F209B7"/>
    <w:rsid w:val="00F2376F"/>
    <w:rsid w:val="00F2413B"/>
    <w:rsid w:val="00F243D8"/>
    <w:rsid w:val="00F24644"/>
    <w:rsid w:val="00F24F8A"/>
    <w:rsid w:val="00F30314"/>
    <w:rsid w:val="00F30828"/>
    <w:rsid w:val="00F313D6"/>
    <w:rsid w:val="00F34AA7"/>
    <w:rsid w:val="00F40F0C"/>
    <w:rsid w:val="00F4766C"/>
    <w:rsid w:val="00F507D1"/>
    <w:rsid w:val="00F519CE"/>
    <w:rsid w:val="00F51ADA"/>
    <w:rsid w:val="00F5482F"/>
    <w:rsid w:val="00F607C5"/>
    <w:rsid w:val="00F60DEA"/>
    <w:rsid w:val="00F6302A"/>
    <w:rsid w:val="00F64C2B"/>
    <w:rsid w:val="00F651BE"/>
    <w:rsid w:val="00F674A7"/>
    <w:rsid w:val="00F67F53"/>
    <w:rsid w:val="00F703BE"/>
    <w:rsid w:val="00F70601"/>
    <w:rsid w:val="00F71F69"/>
    <w:rsid w:val="00F72B72"/>
    <w:rsid w:val="00F74BB9"/>
    <w:rsid w:val="00F75582"/>
    <w:rsid w:val="00F76EFA"/>
    <w:rsid w:val="00F804BE"/>
    <w:rsid w:val="00F817CE"/>
    <w:rsid w:val="00F818F8"/>
    <w:rsid w:val="00F8456C"/>
    <w:rsid w:val="00F859D8"/>
    <w:rsid w:val="00F868F5"/>
    <w:rsid w:val="00F9056A"/>
    <w:rsid w:val="00F90F8D"/>
    <w:rsid w:val="00F92782"/>
    <w:rsid w:val="00F93AA9"/>
    <w:rsid w:val="00F96985"/>
    <w:rsid w:val="00F97838"/>
    <w:rsid w:val="00FA2BB3"/>
    <w:rsid w:val="00FA79F0"/>
    <w:rsid w:val="00FB4C80"/>
    <w:rsid w:val="00FB6A6A"/>
    <w:rsid w:val="00FC3379"/>
    <w:rsid w:val="00FC727F"/>
    <w:rsid w:val="00FC7429"/>
    <w:rsid w:val="00FD07F6"/>
    <w:rsid w:val="00FD1EC8"/>
    <w:rsid w:val="00FD3E85"/>
    <w:rsid w:val="00FD47ED"/>
    <w:rsid w:val="00FD50EF"/>
    <w:rsid w:val="00FD511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20C4BA2"/>
  <w15:chartTrackingRefBased/>
  <w15:docId w15:val="{6BE00AE6-8052-4E0B-925B-0FE3A908F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table" w:styleId="TableGrid">
    <w:name w:val="Table Grid"/>
    <w:basedOn w:val="TableNormal"/>
    <w:rsid w:val="00F30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905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85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ftp://www.3gpp.org/Specs/archive/36_series/36.881/36881-e00.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5NUHHDQN7SK2-1-114533</_dlc_DocId>
    <_dlc_DocIdUrl xmlns="08b2df90-05d3-4030-90d4-c9feeb4a1cd9">
      <Url>https://ericoll.internal.ericsson.com/sites/STAR/_layouts/DocIdRedir.aspx?ID=5NUHHDQN7SK2-1-114533</Url>
      <Description>5NUHHDQN7SK2-1-114533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A7625-B9A6-455D-9DA1-07CE5FBADEA1}"/>
</file>

<file path=customXml/itemProps2.xml><?xml version="1.0" encoding="utf-8"?>
<ds:datastoreItem xmlns:ds="http://schemas.openxmlformats.org/officeDocument/2006/customXml" ds:itemID="{BED28515-FB98-4066-AFF6-FD3944B81941}"/>
</file>

<file path=customXml/itemProps3.xml><?xml version="1.0" encoding="utf-8"?>
<ds:datastoreItem xmlns:ds="http://schemas.openxmlformats.org/officeDocument/2006/customXml" ds:itemID="{0BCBC5D6-E851-40BC-A0F0-8844A50D1F0F}"/>
</file>

<file path=customXml/itemProps4.xml><?xml version="1.0" encoding="utf-8"?>
<ds:datastoreItem xmlns:ds="http://schemas.openxmlformats.org/officeDocument/2006/customXml" ds:itemID="{FCADE499-8107-4832-98E9-73B0E4FE2641}"/>
</file>

<file path=customXml/itemProps5.xml><?xml version="1.0" encoding="utf-8"?>
<ds:datastoreItem xmlns:ds="http://schemas.openxmlformats.org/officeDocument/2006/customXml" ds:itemID="{4887B350-DC57-4503-B072-C47A3D5338D9}"/>
</file>

<file path=customXml/itemProps6.xml><?xml version="1.0" encoding="utf-8"?>
<ds:datastoreItem xmlns:ds="http://schemas.openxmlformats.org/officeDocument/2006/customXml" ds:itemID="{89F46F36-59D5-4CE1-BE60-38A4C3EE0F60}"/>
</file>

<file path=customXml/itemProps7.xml><?xml version="1.0" encoding="utf-8"?>
<ds:datastoreItem xmlns:ds="http://schemas.openxmlformats.org/officeDocument/2006/customXml" ds:itemID="{7321DA52-5894-4060-8FB1-F78C8BFBEDBB}"/>
</file>

<file path=docProps/app.xml><?xml version="1.0" encoding="utf-8"?>
<Properties xmlns="http://schemas.openxmlformats.org/officeDocument/2006/extended-properties" xmlns:vt="http://schemas.openxmlformats.org/officeDocument/2006/docPropsVTypes">
  <Template>R2-15xxxx - Contribution template</Template>
  <TotalTime>343</TotalTime>
  <Pages>4</Pages>
  <Words>1747</Words>
  <Characters>9263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10989</CharactersWithSpaces>
  <SharedDoc>false</SharedDoc>
  <HLinks>
    <vt:vector size="18" baseType="variant">
      <vt:variant>
        <vt:i4>7405584</vt:i4>
      </vt:variant>
      <vt:variant>
        <vt:i4>51</vt:i4>
      </vt:variant>
      <vt:variant>
        <vt:i4>0</vt:i4>
      </vt:variant>
      <vt:variant>
        <vt:i4>5</vt:i4>
      </vt:variant>
      <vt:variant>
        <vt:lpwstr>ftp://www.3gpp.org/tsg_ran/WG1_RL1//TSGR1_88/Docs/R1-1703255.zip</vt:lpwstr>
      </vt:variant>
      <vt:variant>
        <vt:lpwstr/>
      </vt:variant>
      <vt:variant>
        <vt:i4>65569</vt:i4>
      </vt:variant>
      <vt:variant>
        <vt:i4>48</vt:i4>
      </vt:variant>
      <vt:variant>
        <vt:i4>0</vt:i4>
      </vt:variant>
      <vt:variant>
        <vt:i4>5</vt:i4>
      </vt:variant>
      <vt:variant>
        <vt:lpwstr>ftp://www.3gpp.org/Specs/archive/36_series/36.881/36881-e00.zip</vt:lpwstr>
      </vt:variant>
      <vt:variant>
        <vt:lpwstr/>
      </vt:variant>
      <vt:variant>
        <vt:i4>6619217</vt:i4>
      </vt:variant>
      <vt:variant>
        <vt:i4>45</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Laetitia Falconetti</cp:lastModifiedBy>
  <cp:revision>89</cp:revision>
  <cp:lastPrinted>2008-01-31T16:09:00Z</cp:lastPrinted>
  <dcterms:created xsi:type="dcterms:W3CDTF">2017-03-22T08:35:00Z</dcterms:created>
  <dcterms:modified xsi:type="dcterms:W3CDTF">2017-03-24T16:23:00Z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5NUHHDQN7SK2-1-114518</vt:lpwstr>
  </property>
  <property fmtid="{D5CDD505-2E9C-101B-9397-08002B2CF9AE}" pid="5" name="_dlc_DocIdItemGuid">
    <vt:lpwstr>9c8aee6c-31ae-4c80-b5aa-bca927c57ab2</vt:lpwstr>
  </property>
  <property fmtid="{D5CDD505-2E9C-101B-9397-08002B2CF9AE}" pid="6" name="_dlc_DocIdUrl">
    <vt:lpwstr>https://ericoll.internal.ericsson.com/sites/STAR/_layouts/DocIdRedir.aspx?ID=5NUHHDQN7SK2-1-114518, 5NUHHDQN7SK2-1-114518</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