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7323" w14:textId="77777777" w:rsidR="0015645C" w:rsidRDefault="0015645C" w:rsidP="00C07E87">
      <w:pPr>
        <w:pStyle w:val="3GPPHeader"/>
        <w:spacing w:after="60"/>
      </w:pPr>
    </w:p>
    <w:p w14:paraId="4645196F" w14:textId="0C390F48" w:rsidR="0015645C" w:rsidRPr="00D22346" w:rsidRDefault="0015645C" w:rsidP="0015645C">
      <w:pPr>
        <w:pStyle w:val="3GPPHeader"/>
        <w:spacing w:after="60"/>
        <w:rPr>
          <w:sz w:val="32"/>
          <w:szCs w:val="32"/>
          <w:highlight w:val="yellow"/>
        </w:rPr>
      </w:pPr>
      <w:r w:rsidRPr="00D22346">
        <w:t xml:space="preserve">3GPP TSG-RAN WG1 </w:t>
      </w:r>
      <w:r>
        <w:t>Meeting</w:t>
      </w:r>
      <w:r w:rsidRPr="00D22346">
        <w:t>#88</w:t>
      </w:r>
      <w:r>
        <w:t>bis</w:t>
      </w:r>
      <w:r w:rsidRPr="00D22346">
        <w:tab/>
      </w:r>
      <w:r w:rsidRPr="003220D0">
        <w:rPr>
          <w:sz w:val="22"/>
        </w:rPr>
        <w:t xml:space="preserve"> </w:t>
      </w:r>
      <w:r w:rsidRPr="0059423E">
        <w:rPr>
          <w:szCs w:val="32"/>
        </w:rPr>
        <w:t>R1-17</w:t>
      </w:r>
      <w:r w:rsidR="009A06FB" w:rsidRPr="0059423E">
        <w:rPr>
          <w:szCs w:val="32"/>
        </w:rPr>
        <w:t>06033</w:t>
      </w:r>
    </w:p>
    <w:p w14:paraId="63ED9775" w14:textId="77777777" w:rsidR="0015645C" w:rsidRDefault="0015645C" w:rsidP="0015645C">
      <w:pPr>
        <w:pStyle w:val="CRCoverPage"/>
        <w:outlineLvl w:val="0"/>
        <w:rPr>
          <w:b/>
          <w:noProof/>
          <w:sz w:val="24"/>
        </w:rPr>
      </w:pPr>
      <w:r>
        <w:rPr>
          <w:b/>
          <w:noProof/>
          <w:sz w:val="24"/>
        </w:rPr>
        <w:t>Spokane</w:t>
      </w:r>
      <w:r w:rsidRPr="00AB78B2">
        <w:rPr>
          <w:b/>
          <w:noProof/>
          <w:sz w:val="24"/>
        </w:rPr>
        <w:t>,</w:t>
      </w:r>
      <w:r>
        <w:rPr>
          <w:b/>
          <w:noProof/>
          <w:sz w:val="24"/>
        </w:rPr>
        <w:t xml:space="preserve"> USA,</w:t>
      </w:r>
      <w:r w:rsidRPr="00AB78B2">
        <w:rPr>
          <w:b/>
          <w:noProof/>
          <w:sz w:val="24"/>
        </w:rPr>
        <w:t xml:space="preserve"> </w:t>
      </w:r>
      <w:r>
        <w:rPr>
          <w:b/>
          <w:noProof/>
          <w:sz w:val="24"/>
        </w:rPr>
        <w:t>3</w:t>
      </w:r>
      <w:r>
        <w:rPr>
          <w:b/>
          <w:noProof/>
          <w:sz w:val="24"/>
          <w:vertAlign w:val="superscript"/>
        </w:rPr>
        <w:t xml:space="preserve">rd </w:t>
      </w:r>
      <w:r>
        <w:rPr>
          <w:b/>
          <w:noProof/>
          <w:sz w:val="24"/>
        </w:rPr>
        <w:t>- 7</w:t>
      </w:r>
      <w:r w:rsidRPr="00BD6748">
        <w:rPr>
          <w:b/>
          <w:noProof/>
          <w:sz w:val="24"/>
          <w:vertAlign w:val="superscript"/>
        </w:rPr>
        <w:t>th</w:t>
      </w:r>
      <w:r>
        <w:rPr>
          <w:b/>
          <w:noProof/>
          <w:sz w:val="24"/>
        </w:rPr>
        <w:t xml:space="preserve"> April 2017</w:t>
      </w:r>
    </w:p>
    <w:p w14:paraId="293CC8DE" w14:textId="1D5538B1"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15645C">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715A18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EA313F">
        <w:rPr>
          <w:sz w:val="22"/>
          <w:szCs w:val="22"/>
        </w:rPr>
        <w:t>Data Transmission on Control Resource Set</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CAC7ACF" w:rsidR="008E0156" w:rsidRDefault="00E30225" w:rsidP="00D22346">
      <w:pPr>
        <w:pStyle w:val="Heading1"/>
      </w:pPr>
      <w:r w:rsidRPr="00CE0424">
        <w:t>Introduction</w:t>
      </w:r>
    </w:p>
    <w:p w14:paraId="4645BE6F" w14:textId="4751B9CB" w:rsidR="0015645C" w:rsidRPr="0015645C" w:rsidRDefault="0015645C" w:rsidP="003579EB">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Pr>
          <w:rFonts w:cs="Arial"/>
        </w:rPr>
        <w:t>[1]</w:t>
      </w:r>
      <w:r>
        <w:rPr>
          <w:rFonts w:cs="Arial"/>
        </w:rPr>
        <w:fldChar w:fldCharType="end"/>
      </w:r>
      <w:r>
        <w:rPr>
          <w:rFonts w:cs="Arial"/>
        </w:rPr>
        <w:t xml:space="preserve">. The </w:t>
      </w:r>
      <w:r w:rsidRPr="002F4C18">
        <w:rPr>
          <w:rFonts w:cs="Arial"/>
          <w:b/>
        </w:rPr>
        <w:t>NR Work Item</w:t>
      </w:r>
      <w:r>
        <w:rPr>
          <w:rFonts w:cs="Arial"/>
        </w:rPr>
        <w:t xml:space="preserve"> was as well approved in </w:t>
      </w:r>
      <w:r>
        <w:rPr>
          <w:rFonts w:cs="Arial"/>
        </w:rPr>
        <w:fldChar w:fldCharType="begin"/>
      </w:r>
      <w:r>
        <w:rPr>
          <w:rFonts w:cs="Arial"/>
        </w:rPr>
        <w:instrText xml:space="preserve"> REF _Ref477803338 \n \h </w:instrText>
      </w:r>
      <w:r>
        <w:rPr>
          <w:rFonts w:cs="Arial"/>
        </w:rPr>
      </w:r>
      <w:r>
        <w:rPr>
          <w:rFonts w:cs="Arial"/>
        </w:rPr>
        <w:fldChar w:fldCharType="separate"/>
      </w:r>
      <w:r>
        <w:rPr>
          <w:rFonts w:cs="Arial"/>
        </w:rPr>
        <w:t>[2]</w:t>
      </w:r>
      <w:r>
        <w:rPr>
          <w:rFonts w:cs="Arial"/>
        </w:rPr>
        <w:fldChar w:fldCharType="end"/>
      </w:r>
      <w:r>
        <w:rPr>
          <w:rFonts w:cs="Arial"/>
        </w:rPr>
        <w:t xml:space="preserve"> where the WI targets to meet both eMBB and URLLC related 5G requirements in Rel-15. </w:t>
      </w:r>
      <w:r w:rsidRPr="008116DC">
        <w:t>The design of DL control channel is an essential part of the WI.</w:t>
      </w:r>
    </w:p>
    <w:p w14:paraId="11E7B77D" w14:textId="1D68911C" w:rsidR="00D16E32" w:rsidRPr="0055245F" w:rsidRDefault="0055245F" w:rsidP="003579EB">
      <w:pPr>
        <w:rPr>
          <w:rFonts w:eastAsia="MS Mincho"/>
          <w:lang w:eastAsia="ja-JP"/>
        </w:rPr>
      </w:pPr>
      <w:r>
        <w:rPr>
          <w:rFonts w:eastAsia="MS Mincho"/>
          <w:lang w:eastAsia="ja-JP"/>
        </w:rPr>
        <w:t>NR supports configuration of a time-fr</w:t>
      </w:r>
      <w:r w:rsidR="00B67A45">
        <w:rPr>
          <w:rFonts w:eastAsia="MS Mincho"/>
          <w:lang w:eastAsia="ja-JP"/>
        </w:rPr>
        <w:t>equency allocation co</w:t>
      </w:r>
      <w:bookmarkStart w:id="0" w:name="_GoBack"/>
      <w:bookmarkEnd w:id="0"/>
      <w:r w:rsidR="00B67A45">
        <w:rPr>
          <w:rFonts w:eastAsia="MS Mincho"/>
          <w:lang w:eastAsia="ja-JP"/>
        </w:rPr>
        <w:t xml:space="preserve">ntaining one or multiple search spaces for </w:t>
      </w:r>
      <w:r w:rsidR="00076453">
        <w:rPr>
          <w:rFonts w:eastAsia="MS Mincho"/>
          <w:lang w:eastAsia="ja-JP"/>
        </w:rPr>
        <w:t xml:space="preserve">DL </w:t>
      </w:r>
      <w:r w:rsidR="00B67A45">
        <w:rPr>
          <w:rFonts w:eastAsia="MS Mincho"/>
          <w:lang w:eastAsia="ja-JP"/>
        </w:rPr>
        <w:t>control channel which is referred to as the Control resource set.</w:t>
      </w:r>
      <w:r>
        <w:rPr>
          <w:rFonts w:eastAsia="MS Mincho"/>
          <w:lang w:eastAsia="ja-JP"/>
        </w:rPr>
        <w:t xml:space="preserve"> </w:t>
      </w:r>
      <w:r w:rsidR="00C61DA0">
        <w:rPr>
          <w:rFonts w:eastAsia="MS Mincho"/>
          <w:lang w:eastAsia="ja-JP"/>
        </w:rPr>
        <w:t>The discussion is ongoing to establish</w:t>
      </w:r>
      <w:r w:rsidR="00076453">
        <w:rPr>
          <w:rFonts w:eastAsia="MS Mincho"/>
          <w:lang w:eastAsia="ja-JP"/>
        </w:rPr>
        <w:t xml:space="preserve"> the structure of the control resource set</w:t>
      </w:r>
      <w:r w:rsidR="00C61DA0">
        <w:rPr>
          <w:rFonts w:eastAsia="MS Mincho"/>
          <w:lang w:eastAsia="ja-JP"/>
        </w:rPr>
        <w:t xml:space="preserve"> and other related aspects.</w:t>
      </w:r>
      <w:r w:rsidR="00076453">
        <w:rPr>
          <w:rFonts w:eastAsia="MS Mincho"/>
          <w:lang w:eastAsia="ja-JP"/>
        </w:rPr>
        <w:t xml:space="preserve"> One the</w:t>
      </w:r>
      <w:r w:rsidR="00C61DA0">
        <w:rPr>
          <w:rFonts w:eastAsia="MS Mincho"/>
          <w:lang w:eastAsia="ja-JP"/>
        </w:rPr>
        <w:t xml:space="preserve"> topics under discussion is how to reuse the available resources configured for</w:t>
      </w:r>
      <w:r w:rsidR="00976AB0">
        <w:rPr>
          <w:rFonts w:eastAsia="MS Mincho"/>
          <w:lang w:eastAsia="ja-JP"/>
        </w:rPr>
        <w:t xml:space="preserve"> a control resource set for </w:t>
      </w:r>
      <w:r w:rsidR="00C61DA0">
        <w:rPr>
          <w:rFonts w:eastAsia="MS Mincho"/>
          <w:lang w:eastAsia="ja-JP"/>
        </w:rPr>
        <w:t>data transmission</w:t>
      </w:r>
      <w:r w:rsidR="00976AB0">
        <w:rPr>
          <w:rFonts w:eastAsia="MS Mincho"/>
          <w:lang w:eastAsia="ja-JP"/>
        </w:rPr>
        <w:t xml:space="preserve"> in addition to the scheduled data outside the control resource set</w:t>
      </w:r>
      <w:r w:rsidR="00991484">
        <w:rPr>
          <w:rFonts w:eastAsia="MS Mincho"/>
          <w:lang w:eastAsia="ja-JP"/>
        </w:rPr>
        <w:t>.</w:t>
      </w:r>
      <w:r w:rsidR="007F532D">
        <w:rPr>
          <w:rFonts w:eastAsia="MS Mincho"/>
          <w:lang w:eastAsia="ja-JP"/>
        </w:rPr>
        <w:t xml:space="preserve"> </w:t>
      </w:r>
      <w:r w:rsidR="00976AB0">
        <w:rPr>
          <w:rFonts w:eastAsia="MS Mincho"/>
          <w:lang w:eastAsia="ja-JP"/>
        </w:rPr>
        <w:t>In the following we list the relevant agreements achieved in the last previous RAN1 meeting</w:t>
      </w:r>
      <w:r w:rsidR="00C12DA1">
        <w:rPr>
          <w:rFonts w:eastAsia="MS Mincho"/>
          <w:lang w:eastAsia="ja-JP"/>
        </w:rPr>
        <w:t xml:space="preserve">s </w:t>
      </w:r>
      <w:r w:rsidR="0015645C">
        <w:rPr>
          <w:rFonts w:eastAsia="MS Mincho"/>
          <w:lang w:eastAsia="ja-JP"/>
        </w:rPr>
        <w:fldChar w:fldCharType="begin"/>
      </w:r>
      <w:r w:rsidR="0015645C">
        <w:rPr>
          <w:rFonts w:eastAsia="MS Mincho"/>
          <w:lang w:eastAsia="ja-JP"/>
        </w:rPr>
        <w:instrText xml:space="preserve"> REF _Ref477805456 \n \h </w:instrText>
      </w:r>
      <w:r w:rsidR="0015645C">
        <w:rPr>
          <w:rFonts w:eastAsia="MS Mincho"/>
          <w:lang w:eastAsia="ja-JP"/>
        </w:rPr>
      </w:r>
      <w:r w:rsidR="0015645C">
        <w:rPr>
          <w:rFonts w:eastAsia="MS Mincho"/>
          <w:lang w:eastAsia="ja-JP"/>
        </w:rPr>
        <w:fldChar w:fldCharType="separate"/>
      </w:r>
      <w:r w:rsidR="0015645C">
        <w:rPr>
          <w:rFonts w:eastAsia="MS Mincho"/>
          <w:lang w:eastAsia="ja-JP"/>
        </w:rPr>
        <w:t>[3]</w:t>
      </w:r>
      <w:r w:rsidR="0015645C">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_Ref473896379 \n \h </w:instrText>
      </w:r>
      <w:r w:rsidR="00C12DA1">
        <w:rPr>
          <w:rFonts w:eastAsia="MS Mincho"/>
          <w:lang w:eastAsia="ja-JP"/>
        </w:rPr>
      </w:r>
      <w:r w:rsidR="00C12DA1">
        <w:rPr>
          <w:rFonts w:eastAsia="MS Mincho"/>
          <w:lang w:eastAsia="ja-JP"/>
        </w:rPr>
        <w:fldChar w:fldCharType="separate"/>
      </w:r>
      <w:r w:rsidR="0015645C">
        <w:rPr>
          <w:rFonts w:eastAsia="MS Mincho"/>
          <w:lang w:eastAsia="ja-JP"/>
        </w:rPr>
        <w:t>[4]</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_Ref473896381 \n \h </w:instrText>
      </w:r>
      <w:r w:rsidR="00C12DA1">
        <w:rPr>
          <w:rFonts w:eastAsia="MS Mincho"/>
          <w:lang w:eastAsia="ja-JP"/>
        </w:rPr>
      </w:r>
      <w:r w:rsidR="00C12DA1">
        <w:rPr>
          <w:rFonts w:eastAsia="MS Mincho"/>
          <w:lang w:eastAsia="ja-JP"/>
        </w:rPr>
        <w:fldChar w:fldCharType="separate"/>
      </w:r>
      <w:r w:rsidR="0015645C">
        <w:rPr>
          <w:rFonts w:eastAsia="MS Mincho"/>
          <w:lang w:eastAsia="ja-JP"/>
        </w:rPr>
        <w:t>[5]</w:t>
      </w:r>
      <w:r w:rsidR="00C12DA1">
        <w:rPr>
          <w:rFonts w:eastAsia="MS Mincho"/>
          <w:lang w:eastAsia="ja-JP"/>
        </w:rPr>
        <w:fldChar w:fldCharType="end"/>
      </w:r>
      <w:r w:rsidR="00C12DA1">
        <w:rPr>
          <w:rFonts w:eastAsia="MS Mincho"/>
          <w:lang w:eastAsia="ja-JP"/>
        </w:rPr>
        <w:t>.</w:t>
      </w:r>
      <w:r w:rsidR="00076453">
        <w:rPr>
          <w:rFonts w:eastAsia="MS Mincho"/>
          <w:lang w:eastAsia="ja-JP"/>
        </w:rPr>
        <w:t xml:space="preserve"> </w:t>
      </w:r>
    </w:p>
    <w:p w14:paraId="73B4E928" w14:textId="0D7A021D" w:rsidR="00076115" w:rsidRPr="00671DE0" w:rsidRDefault="00076115" w:rsidP="00076115">
      <w:pPr>
        <w:rPr>
          <w:rFonts w:eastAsia="MS Mincho"/>
          <w:b/>
          <w:u w:val="single"/>
          <w:lang w:eastAsia="ja-JP"/>
        </w:rPr>
      </w:pPr>
      <w:r w:rsidRPr="008E623F">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(RAN1#86bis)</w:t>
      </w:r>
      <w:r w:rsidRPr="008E623F">
        <w:rPr>
          <w:rFonts w:eastAsia="MS Mincho" w:hint="eastAsia"/>
          <w:b/>
          <w:highlight w:val="green"/>
          <w:u w:val="single"/>
          <w:lang w:eastAsia="ja-JP"/>
        </w:rPr>
        <w:t>:</w:t>
      </w:r>
    </w:p>
    <w:p w14:paraId="7E619E2F" w14:textId="77777777" w:rsidR="00076115" w:rsidRPr="00891E1F" w:rsidRDefault="00076115" w:rsidP="00076115">
      <w:pPr>
        <w:widowControl w:val="0"/>
        <w:numPr>
          <w:ilvl w:val="0"/>
          <w:numId w:val="14"/>
        </w:numPr>
        <w:tabs>
          <w:tab w:val="clear" w:pos="360"/>
          <w:tab w:val="num" w:pos="720"/>
        </w:tabs>
        <w:overflowPunct/>
        <w:autoSpaceDE/>
        <w:autoSpaceDN/>
        <w:adjustRightInd/>
        <w:spacing w:after="0"/>
        <w:textAlignment w:val="auto"/>
        <w:rPr>
          <w:rFonts w:cs="Arial"/>
        </w:rPr>
      </w:pPr>
      <w:r w:rsidRPr="00891E1F">
        <w:rPr>
          <w:rFonts w:cs="Arial"/>
        </w:rPr>
        <w:t>NR should support at least the following.</w:t>
      </w:r>
    </w:p>
    <w:p w14:paraId="01FE7E9E" w14:textId="77777777" w:rsidR="00076115" w:rsidRPr="00891E1F" w:rsidRDefault="00076115" w:rsidP="00076115">
      <w:pPr>
        <w:widowControl w:val="0"/>
        <w:numPr>
          <w:ilvl w:val="1"/>
          <w:numId w:val="14"/>
        </w:numPr>
        <w:overflowPunct/>
        <w:autoSpaceDE/>
        <w:autoSpaceDN/>
        <w:adjustRightInd/>
        <w:spacing w:after="0"/>
        <w:textAlignment w:val="auto"/>
        <w:rPr>
          <w:rFonts w:cs="Arial"/>
        </w:rPr>
      </w:pPr>
      <w:r w:rsidRPr="00891E1F">
        <w:rPr>
          <w:rFonts w:cs="Arial"/>
        </w:rPr>
        <w:t>In frequency-domain, a PRB (or a multiple of PRBs) is the resource unit size (may or may not including DM-RS) for control channel</w:t>
      </w:r>
    </w:p>
    <w:p w14:paraId="1B4C2B86" w14:textId="77777777" w:rsidR="00076115" w:rsidRPr="00891E1F" w:rsidRDefault="00076115" w:rsidP="00076115">
      <w:pPr>
        <w:widowControl w:val="0"/>
        <w:numPr>
          <w:ilvl w:val="2"/>
          <w:numId w:val="14"/>
        </w:numPr>
        <w:overflowPunct/>
        <w:autoSpaceDE/>
        <w:autoSpaceDN/>
        <w:adjustRightInd/>
        <w:spacing w:after="0"/>
        <w:textAlignment w:val="auto"/>
        <w:rPr>
          <w:rFonts w:cs="Arial"/>
        </w:rPr>
      </w:pPr>
      <w:r w:rsidRPr="00891E1F">
        <w:rPr>
          <w:rFonts w:cs="Arial"/>
        </w:rPr>
        <w:t>This is at least for the case where the DL control region consists of one or a few OFDM symbol(s) of a slot or a mini-slot</w:t>
      </w:r>
    </w:p>
    <w:p w14:paraId="542E6908" w14:textId="77777777" w:rsidR="00076115" w:rsidRPr="00891E1F" w:rsidRDefault="00076115" w:rsidP="00076115">
      <w:pPr>
        <w:widowControl w:val="0"/>
        <w:numPr>
          <w:ilvl w:val="2"/>
          <w:numId w:val="14"/>
        </w:numPr>
        <w:overflowPunct/>
        <w:autoSpaceDE/>
        <w:autoSpaceDN/>
        <w:adjustRightInd/>
        <w:spacing w:after="0"/>
        <w:textAlignment w:val="auto"/>
        <w:rPr>
          <w:rFonts w:cs="Arial"/>
        </w:rPr>
      </w:pPr>
      <w:r w:rsidRPr="00891E1F">
        <w:rPr>
          <w:rFonts w:cs="Arial"/>
        </w:rPr>
        <w:t>FFS: whether a PRB or a multiple PRBs is the resource unit size</w:t>
      </w:r>
    </w:p>
    <w:p w14:paraId="13802EFA" w14:textId="77777777" w:rsidR="00076115" w:rsidRPr="00891E1F" w:rsidRDefault="00076115" w:rsidP="00076115">
      <w:pPr>
        <w:widowControl w:val="0"/>
        <w:numPr>
          <w:ilvl w:val="3"/>
          <w:numId w:val="14"/>
        </w:numPr>
        <w:overflowPunct/>
        <w:autoSpaceDE/>
        <w:autoSpaceDN/>
        <w:adjustRightInd/>
        <w:spacing w:after="0"/>
        <w:textAlignment w:val="auto"/>
        <w:rPr>
          <w:rFonts w:cs="Arial"/>
        </w:rPr>
      </w:pPr>
      <w:r w:rsidRPr="00891E1F">
        <w:rPr>
          <w:rFonts w:eastAsia="MS Mincho" w:cs="Arial"/>
          <w:lang w:eastAsia="ja-JP"/>
        </w:rPr>
        <w:t xml:space="preserve">FFS: </w:t>
      </w:r>
      <w:r w:rsidRPr="00891E1F">
        <w:rPr>
          <w:rFonts w:cs="Arial"/>
        </w:rPr>
        <w:t>If multiple PRBs is the resource unit size, the multiple PRBs are contiguous</w:t>
      </w:r>
    </w:p>
    <w:p w14:paraId="3796E2D8" w14:textId="77777777" w:rsidR="00076115" w:rsidRPr="00891E1F" w:rsidRDefault="00076115" w:rsidP="00076115">
      <w:pPr>
        <w:widowControl w:val="0"/>
        <w:numPr>
          <w:ilvl w:val="1"/>
          <w:numId w:val="14"/>
        </w:numPr>
        <w:overflowPunct/>
        <w:autoSpaceDE/>
        <w:autoSpaceDN/>
        <w:adjustRightInd/>
        <w:spacing w:after="0"/>
        <w:textAlignment w:val="auto"/>
        <w:rPr>
          <w:rFonts w:cs="Arial"/>
        </w:rPr>
      </w:pPr>
      <w:r w:rsidRPr="00891E1F">
        <w:rPr>
          <w:rFonts w:cs="Arial"/>
        </w:rPr>
        <w:t>FFS: whether the resource unit size for a DL control channel is called as NR-REG or not</w:t>
      </w:r>
    </w:p>
    <w:p w14:paraId="00AEF7D4" w14:textId="77777777" w:rsidR="00076115" w:rsidRPr="003579EB" w:rsidRDefault="00076115" w:rsidP="003579EB">
      <w:pPr>
        <w:rPr>
          <w:rFonts w:eastAsia="MS Mincho"/>
          <w:lang w:eastAsia="ja-JP"/>
        </w:rPr>
      </w:pPr>
    </w:p>
    <w:p w14:paraId="669D2599" w14:textId="05956B7B" w:rsidR="00F35BF2" w:rsidRPr="00A21D4B" w:rsidRDefault="00F35BF2" w:rsidP="00F35BF2">
      <w:pPr>
        <w:pStyle w:val="BodyText"/>
        <w:spacing w:after="0"/>
        <w:rPr>
          <w:rFonts w:eastAsia="MS Mincho"/>
          <w:b/>
          <w:lang w:eastAsia="ja-JP"/>
        </w:rPr>
      </w:pPr>
      <w:r w:rsidRPr="00DF1B59">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35B84D2D" w14:textId="77777777" w:rsidR="00F35BF2" w:rsidRDefault="00F35BF2" w:rsidP="00FF083E">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7A759514" w14:textId="77777777" w:rsidR="00F35BF2" w:rsidRPr="000707EC"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0BE52963" w14:textId="77777777" w:rsidR="00F35BF2" w:rsidRPr="00304498"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762B7E7B" w14:textId="77777777" w:rsidR="00F35BF2" w:rsidRDefault="00F35BF2" w:rsidP="003579EB">
      <w:pPr>
        <w:rPr>
          <w:rFonts w:eastAsia="MS Mincho"/>
          <w:b/>
          <w:highlight w:val="green"/>
          <w:u w:val="single"/>
          <w:lang w:eastAsia="ja-JP"/>
        </w:rPr>
      </w:pPr>
    </w:p>
    <w:p w14:paraId="6A2DB5C8" w14:textId="7BA89703" w:rsidR="003579EB" w:rsidRPr="00226669" w:rsidRDefault="003579EB" w:rsidP="003579EB">
      <w:pPr>
        <w:rPr>
          <w:rFonts w:eastAsia="MS Mincho"/>
          <w:b/>
          <w:u w:val="single"/>
          <w:lang w:eastAsia="ja-JP"/>
        </w:rPr>
      </w:pPr>
      <w:r w:rsidRPr="005F37DC">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76A3B3B6" w14:textId="77777777" w:rsidR="003579EB" w:rsidRPr="00226669" w:rsidRDefault="003579EB" w:rsidP="00FF083E">
      <w:pPr>
        <w:numPr>
          <w:ilvl w:val="0"/>
          <w:numId w:val="11"/>
        </w:numPr>
        <w:overflowPunct/>
        <w:autoSpaceDE/>
        <w:autoSpaceDN/>
        <w:adjustRightInd/>
        <w:spacing w:after="0"/>
        <w:jc w:val="left"/>
        <w:textAlignment w:val="auto"/>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0132493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if resource reuse can be done in time domain as well</w:t>
      </w:r>
    </w:p>
    <w:p w14:paraId="012EFB9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14:paraId="02760C47"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time/frequency granularity of the resource reuse</w:t>
      </w:r>
    </w:p>
    <w:p w14:paraId="05C19E8D" w14:textId="787786C5" w:rsidR="003579EB"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signaling needed, if any</w:t>
      </w:r>
    </w:p>
    <w:p w14:paraId="1C7A1E1E" w14:textId="77777777" w:rsidR="001C7F04" w:rsidRPr="00226669" w:rsidRDefault="001C7F04" w:rsidP="001C7F04">
      <w:pPr>
        <w:overflowPunct/>
        <w:autoSpaceDE/>
        <w:autoSpaceDN/>
        <w:adjustRightInd/>
        <w:spacing w:after="0"/>
        <w:ind w:left="1440"/>
        <w:jc w:val="left"/>
        <w:textAlignment w:val="auto"/>
        <w:rPr>
          <w:rFonts w:eastAsia="MS Mincho"/>
          <w:lang w:eastAsia="ja-JP"/>
        </w:rPr>
      </w:pPr>
    </w:p>
    <w:p w14:paraId="7F0B9356" w14:textId="36AE9928" w:rsidR="004264D4" w:rsidRPr="00D810AA" w:rsidRDefault="004264D4" w:rsidP="004264D4">
      <w:pPr>
        <w:rPr>
          <w:rFonts w:eastAsia="MS Mincho"/>
          <w:b/>
          <w:u w:val="single"/>
          <w:lang w:eastAsia="ja-JP"/>
        </w:rPr>
      </w:pPr>
      <w:r w:rsidRPr="00D810AA">
        <w:rPr>
          <w:rFonts w:eastAsia="MS Mincho" w:hint="eastAsia"/>
          <w:b/>
          <w:highlight w:val="green"/>
          <w:u w:val="single"/>
          <w:lang w:eastAsia="ja-JP"/>
        </w:rPr>
        <w:t>Agreements</w:t>
      </w:r>
      <w:r w:rsidR="00891E1F">
        <w:rPr>
          <w:rFonts w:eastAsia="MS Mincho"/>
          <w:b/>
          <w:highlight w:val="green"/>
          <w:u w:val="single"/>
          <w:lang w:eastAsia="ja-JP"/>
        </w:rPr>
        <w:t xml:space="preserve"> (Last RAN1 meeting</w:t>
      </w:r>
      <w:r w:rsidR="001C7F04">
        <w:rPr>
          <w:rFonts w:eastAsia="MS Mincho"/>
          <w:b/>
          <w:highlight w:val="green"/>
          <w:u w:val="single"/>
          <w:lang w:eastAsia="ja-JP"/>
        </w:rPr>
        <w:t>(Ad-hoc)</w:t>
      </w:r>
      <w:r w:rsidR="00891E1F">
        <w:rPr>
          <w:rFonts w:eastAsia="MS Mincho"/>
          <w:b/>
          <w:highlight w:val="green"/>
          <w:u w:val="single"/>
          <w:lang w:eastAsia="ja-JP"/>
        </w:rPr>
        <w:t>)</w:t>
      </w:r>
      <w:r w:rsidRPr="00D810AA">
        <w:rPr>
          <w:rFonts w:eastAsia="MS Mincho" w:hint="eastAsia"/>
          <w:b/>
          <w:highlight w:val="green"/>
          <w:u w:val="single"/>
          <w:lang w:eastAsia="ja-JP"/>
        </w:rPr>
        <w:t>:</w:t>
      </w:r>
    </w:p>
    <w:p w14:paraId="7A20480B" w14:textId="77777777" w:rsidR="004264D4" w:rsidRPr="004264D4" w:rsidRDefault="004264D4" w:rsidP="00FF083E">
      <w:pPr>
        <w:pStyle w:val="ListParagraph"/>
        <w:numPr>
          <w:ilvl w:val="0"/>
          <w:numId w:val="10"/>
        </w:numPr>
        <w:contextualSpacing/>
        <w:rPr>
          <w:rFonts w:eastAsia="MS Mincho"/>
          <w:szCs w:val="20"/>
          <w:lang w:val="en-US" w:eastAsia="ja-JP"/>
        </w:rPr>
      </w:pPr>
      <w:r w:rsidRPr="004264D4">
        <w:rPr>
          <w:rFonts w:eastAsia="MS Mincho"/>
          <w:szCs w:val="20"/>
          <w:lang w:val="en-US" w:eastAsia="ja-JP"/>
        </w:rPr>
        <w:t>The staring position of downlink data in a slot can be explicitly and dynamically indicated to the UE.</w:t>
      </w:r>
    </w:p>
    <w:p w14:paraId="4378CD4D" w14:textId="77777777" w:rsidR="004264D4" w:rsidRPr="004264D4" w:rsidRDefault="004264D4" w:rsidP="00FF083E">
      <w:pPr>
        <w:pStyle w:val="ListParagraph"/>
        <w:numPr>
          <w:ilvl w:val="1"/>
          <w:numId w:val="10"/>
        </w:numPr>
        <w:contextualSpacing/>
        <w:rPr>
          <w:rFonts w:eastAsia="MS Mincho"/>
          <w:szCs w:val="20"/>
          <w:lang w:val="en-US" w:eastAsia="ja-JP"/>
        </w:rPr>
      </w:pPr>
      <w:r w:rsidRPr="004264D4">
        <w:rPr>
          <w:rFonts w:eastAsia="MS Mincho"/>
          <w:szCs w:val="20"/>
          <w:lang w:val="en-US" w:eastAsia="ja-JP"/>
        </w:rPr>
        <w:t>FFS: signaled in the UE-specific DCI and/or a ‘group-common PDCCH’</w:t>
      </w:r>
    </w:p>
    <w:p w14:paraId="0C68CDD4" w14:textId="77777777" w:rsidR="004264D4" w:rsidRPr="004264D4" w:rsidRDefault="004264D4" w:rsidP="00FF083E">
      <w:pPr>
        <w:pStyle w:val="ListParagraph"/>
        <w:numPr>
          <w:ilvl w:val="1"/>
          <w:numId w:val="10"/>
        </w:numPr>
        <w:contextualSpacing/>
        <w:rPr>
          <w:rFonts w:eastAsia="MS Mincho"/>
          <w:szCs w:val="20"/>
          <w:lang w:val="en-US" w:eastAsia="ja-JP"/>
        </w:rPr>
      </w:pPr>
      <w:r w:rsidRPr="004264D4">
        <w:rPr>
          <w:rFonts w:eastAsia="MS Mincho"/>
          <w:szCs w:val="20"/>
          <w:lang w:val="en-US" w:eastAsia="ja-JP"/>
        </w:rPr>
        <w:t>FFS: how and with what granularity the unused control resource set(s) can be used for data</w:t>
      </w:r>
    </w:p>
    <w:p w14:paraId="6FF0165C" w14:textId="790193D1" w:rsidR="00EA313F" w:rsidRDefault="002D4824" w:rsidP="00EA313F">
      <w:r>
        <w:lastRenderedPageBreak/>
        <w:t xml:space="preserve"> </w:t>
      </w:r>
    </w:p>
    <w:p w14:paraId="4C90AA24" w14:textId="2F57D162" w:rsidR="00976AB0" w:rsidRPr="004264D4" w:rsidRDefault="00976AB0" w:rsidP="00EA313F">
      <w:r>
        <w:t>In the following sections we discussed our view on viable options that enable efficient transmission of d</w:t>
      </w:r>
      <w:r w:rsidR="00337334">
        <w:t>ata in the control resource set.</w:t>
      </w:r>
      <w:r>
        <w:t xml:space="preserve">                                                                                                                                                                                                          </w:t>
      </w:r>
    </w:p>
    <w:p w14:paraId="0AF66C71" w14:textId="403916D9" w:rsidR="00975A0C" w:rsidRPr="00510362" w:rsidRDefault="005261FA" w:rsidP="0001638B">
      <w:pPr>
        <w:pStyle w:val="Heading1"/>
        <w:rPr>
          <w:rStyle w:val="IvDbodytextChar"/>
          <w:spacing w:val="0"/>
        </w:rPr>
      </w:pPr>
      <w:r>
        <w:t>Discussion</w:t>
      </w:r>
    </w:p>
    <w:p w14:paraId="4BA84F73" w14:textId="057CCB21" w:rsidR="0001638B" w:rsidRDefault="0001638B" w:rsidP="0001638B">
      <w:pPr>
        <w:pStyle w:val="IvDInstructiontext"/>
        <w:rPr>
          <w:rStyle w:val="IvDbodytextChar"/>
          <w:i w:val="0"/>
          <w:color w:val="auto"/>
          <w:sz w:val="20"/>
          <w:szCs w:val="20"/>
        </w:rPr>
      </w:pPr>
      <w:r>
        <w:rPr>
          <w:rStyle w:val="IvDbodytextChar"/>
          <w:i w:val="0"/>
          <w:color w:val="auto"/>
          <w:sz w:val="20"/>
          <w:szCs w:val="20"/>
        </w:rPr>
        <w:t>In o</w:t>
      </w:r>
      <w:r w:rsidR="00625728">
        <w:rPr>
          <w:rStyle w:val="IvDbodytextChar"/>
          <w:i w:val="0"/>
          <w:color w:val="auto"/>
          <w:sz w:val="20"/>
          <w:szCs w:val="20"/>
        </w:rPr>
        <w:t xml:space="preserve">rder to enable the reuse of </w:t>
      </w:r>
      <w:r>
        <w:rPr>
          <w:rStyle w:val="IvDbodytextChar"/>
          <w:i w:val="0"/>
          <w:color w:val="auto"/>
          <w:sz w:val="20"/>
          <w:szCs w:val="20"/>
        </w:rPr>
        <w:t>available resource</w:t>
      </w:r>
      <w:r w:rsidR="00625728">
        <w:rPr>
          <w:rStyle w:val="IvDbodytextChar"/>
          <w:i w:val="0"/>
          <w:color w:val="auto"/>
          <w:sz w:val="20"/>
          <w:szCs w:val="20"/>
        </w:rPr>
        <w:t>s</w:t>
      </w:r>
      <w:r>
        <w:rPr>
          <w:rStyle w:val="IvDbodytextChar"/>
          <w:i w:val="0"/>
          <w:color w:val="auto"/>
          <w:sz w:val="20"/>
          <w:szCs w:val="20"/>
        </w:rPr>
        <w:t xml:space="preserve"> in the control resource set for data transmissions, the design should be such that the following information has to be provided to the UE.</w:t>
      </w:r>
    </w:p>
    <w:p w14:paraId="524B1A5C" w14:textId="77777777" w:rsidR="0001638B" w:rsidRDefault="0001638B" w:rsidP="0001638B">
      <w:pPr>
        <w:pStyle w:val="IvDInstructiontext"/>
        <w:numPr>
          <w:ilvl w:val="0"/>
          <w:numId w:val="17"/>
        </w:numPr>
        <w:rPr>
          <w:rStyle w:val="IvDbodytextChar"/>
          <w:i w:val="0"/>
          <w:color w:val="auto"/>
          <w:sz w:val="20"/>
          <w:szCs w:val="20"/>
          <w:lang w:val="en-US"/>
        </w:rPr>
      </w:pPr>
      <w:r>
        <w:rPr>
          <w:rStyle w:val="IvDbodytextChar"/>
          <w:i w:val="0"/>
          <w:color w:val="auto"/>
          <w:sz w:val="20"/>
          <w:szCs w:val="20"/>
          <w:lang w:val="en-US"/>
        </w:rPr>
        <w:t>Which REGs are used for data?</w:t>
      </w:r>
    </w:p>
    <w:p w14:paraId="7934373E" w14:textId="77777777" w:rsidR="0001638B" w:rsidRDefault="0001638B" w:rsidP="0001638B">
      <w:pPr>
        <w:pStyle w:val="IvDInstructiontext"/>
        <w:numPr>
          <w:ilvl w:val="0"/>
          <w:numId w:val="17"/>
        </w:numPr>
        <w:rPr>
          <w:rStyle w:val="IvDbodytextChar"/>
          <w:i w:val="0"/>
          <w:color w:val="auto"/>
          <w:sz w:val="20"/>
          <w:szCs w:val="20"/>
          <w:lang w:val="en-US"/>
        </w:rPr>
      </w:pPr>
      <w:r w:rsidRPr="0001638B">
        <w:rPr>
          <w:rStyle w:val="IvDbodytextChar"/>
          <w:i w:val="0"/>
          <w:color w:val="auto"/>
          <w:sz w:val="20"/>
          <w:szCs w:val="20"/>
          <w:lang w:val="en-US"/>
        </w:rPr>
        <w:t>What is the start symbol for da</w:t>
      </w:r>
      <w:r>
        <w:rPr>
          <w:rStyle w:val="IvDbodytextChar"/>
          <w:i w:val="0"/>
          <w:color w:val="auto"/>
          <w:sz w:val="20"/>
          <w:szCs w:val="20"/>
          <w:lang w:val="en-US"/>
        </w:rPr>
        <w:t>ta in the control resource set?</w:t>
      </w:r>
    </w:p>
    <w:p w14:paraId="0FA0E0FB" w14:textId="7D0D1038" w:rsidR="0001638B" w:rsidRPr="0001638B" w:rsidRDefault="0001638B" w:rsidP="0001638B">
      <w:pPr>
        <w:pStyle w:val="IvDInstructiontext"/>
        <w:numPr>
          <w:ilvl w:val="0"/>
          <w:numId w:val="17"/>
        </w:numPr>
        <w:rPr>
          <w:rStyle w:val="IvDbodytextChar"/>
          <w:i w:val="0"/>
          <w:color w:val="auto"/>
          <w:sz w:val="20"/>
          <w:szCs w:val="20"/>
        </w:rPr>
      </w:pPr>
      <w:r w:rsidRPr="0001638B">
        <w:rPr>
          <w:rStyle w:val="IvDbodytextChar"/>
          <w:i w:val="0"/>
          <w:color w:val="auto"/>
          <w:sz w:val="20"/>
          <w:szCs w:val="20"/>
          <w:lang w:val="en-US"/>
        </w:rPr>
        <w:t>Which control resource sets are claimed for data and which are not?</w:t>
      </w:r>
    </w:p>
    <w:p w14:paraId="1329E11F" w14:textId="77777777" w:rsidR="0001638B" w:rsidRDefault="0001638B" w:rsidP="00EA313F">
      <w:pPr>
        <w:rPr>
          <w:lang w:val="en-GB"/>
        </w:rPr>
      </w:pPr>
    </w:p>
    <w:p w14:paraId="6984EAD2" w14:textId="2D6C56C5" w:rsidR="00AA01F8" w:rsidRDefault="00283E43" w:rsidP="00EA313F">
      <w:pPr>
        <w:rPr>
          <w:lang w:val="en-GB"/>
        </w:rPr>
      </w:pPr>
      <w:r>
        <w:rPr>
          <w:lang w:val="en-GB"/>
        </w:rPr>
        <w:t>Depending on the configurations and load in the system and scheduling policies</w:t>
      </w:r>
      <w:r w:rsidR="00625728">
        <w:rPr>
          <w:lang w:val="en-GB"/>
        </w:rPr>
        <w:t>,</w:t>
      </w:r>
      <w:r>
        <w:rPr>
          <w:lang w:val="en-GB"/>
        </w:rPr>
        <w:t xml:space="preserve"> different situation can occur. For example, a</w:t>
      </w:r>
      <w:r w:rsidR="003D549B">
        <w:rPr>
          <w:lang w:val="en-GB"/>
        </w:rPr>
        <w:t xml:space="preserve"> UE can be configured with one or</w:t>
      </w:r>
      <w:r>
        <w:rPr>
          <w:lang w:val="en-GB"/>
        </w:rPr>
        <w:t xml:space="preserve"> multiple control resource sets and</w:t>
      </w:r>
      <w:r w:rsidR="003D549B">
        <w:rPr>
          <w:lang w:val="en-GB"/>
        </w:rPr>
        <w:t xml:space="preserve"> </w:t>
      </w:r>
      <w:r>
        <w:rPr>
          <w:lang w:val="en-GB"/>
        </w:rPr>
        <w:t>m</w:t>
      </w:r>
      <w:r w:rsidR="003D549B">
        <w:rPr>
          <w:lang w:val="en-GB"/>
        </w:rPr>
        <w:t xml:space="preserve">ultiple UEs can share one or more control resource sets. </w:t>
      </w:r>
      <w:r>
        <w:rPr>
          <w:lang w:val="en-GB"/>
        </w:rPr>
        <w:t>On the other hand, t</w:t>
      </w:r>
      <w:r w:rsidR="003D549B">
        <w:rPr>
          <w:lang w:val="en-GB"/>
        </w:rPr>
        <w:t xml:space="preserve">he </w:t>
      </w:r>
      <w:r>
        <w:rPr>
          <w:lang w:val="en-GB"/>
        </w:rPr>
        <w:t xml:space="preserve">gNB based on different criteria such as the traffic load, can transmit PDCCHs to different UEs </w:t>
      </w:r>
      <w:r w:rsidR="00AA01F8">
        <w:rPr>
          <w:lang w:val="en-GB"/>
        </w:rPr>
        <w:t>that</w:t>
      </w:r>
      <w:r>
        <w:rPr>
          <w:lang w:val="en-GB"/>
        </w:rPr>
        <w:t xml:space="preserve"> </w:t>
      </w:r>
      <w:r w:rsidR="00B44CDC">
        <w:rPr>
          <w:lang w:val="en-GB"/>
        </w:rPr>
        <w:t>are mapped</w:t>
      </w:r>
      <w:r w:rsidR="00AA01F8">
        <w:rPr>
          <w:lang w:val="en-GB"/>
        </w:rPr>
        <w:t xml:space="preserve"> partially or completely in one of the configured</w:t>
      </w:r>
      <w:r w:rsidR="00510362">
        <w:rPr>
          <w:lang w:val="en-GB"/>
        </w:rPr>
        <w:t xml:space="preserve"> control resource sets.</w:t>
      </w:r>
      <w:r>
        <w:rPr>
          <w:lang w:val="en-GB"/>
        </w:rPr>
        <w:t xml:space="preserve"> </w:t>
      </w:r>
      <w:r w:rsidR="00F913A7">
        <w:rPr>
          <w:lang w:val="en-GB"/>
        </w:rPr>
        <w:t>Moreover,</w:t>
      </w:r>
      <w:r w:rsidR="00AA01F8">
        <w:rPr>
          <w:lang w:val="en-GB"/>
        </w:rPr>
        <w:t xml:space="preserve"> the scheduled bandwidth for PDSCH transmission </w:t>
      </w:r>
      <w:r w:rsidR="00B44CDC">
        <w:rPr>
          <w:lang w:val="en-GB"/>
        </w:rPr>
        <w:t>can overlap</w:t>
      </w:r>
      <w:r w:rsidR="00AA01F8">
        <w:rPr>
          <w:lang w:val="en-GB"/>
        </w:rPr>
        <w:t xml:space="preserve"> partly or completely with the</w:t>
      </w:r>
      <w:r w:rsidR="00B44CDC">
        <w:rPr>
          <w:lang w:val="en-GB"/>
        </w:rPr>
        <w:t xml:space="preserve"> bandwidth configured for the</w:t>
      </w:r>
      <w:r w:rsidR="00AA01F8">
        <w:rPr>
          <w:lang w:val="en-GB"/>
        </w:rPr>
        <w:t xml:space="preserve"> scheduling control resource set or not.</w:t>
      </w:r>
    </w:p>
    <w:p w14:paraId="3137F4A0" w14:textId="1AE6521D" w:rsidR="0069360B" w:rsidRPr="00944308" w:rsidRDefault="00435264" w:rsidP="00944308">
      <w:pPr>
        <w:rPr>
          <w:lang w:val="en-GB"/>
        </w:rPr>
      </w:pPr>
      <w:r>
        <w:rPr>
          <w:lang w:val="en-GB"/>
        </w:rPr>
        <w:t>D</w:t>
      </w:r>
      <w:r w:rsidR="006F6178">
        <w:rPr>
          <w:lang w:val="en-GB"/>
        </w:rPr>
        <w:t xml:space="preserve">ifferent cases that are of </w:t>
      </w:r>
      <w:r w:rsidR="008349CB">
        <w:rPr>
          <w:lang w:val="en-GB"/>
        </w:rPr>
        <w:t>interest in</w:t>
      </w:r>
      <w:r w:rsidR="006F6178">
        <w:rPr>
          <w:lang w:val="en-GB"/>
        </w:rPr>
        <w:t xml:space="preserve"> data transmission in the control resource sets</w:t>
      </w:r>
      <w:r>
        <w:rPr>
          <w:lang w:val="en-GB"/>
        </w:rPr>
        <w:t xml:space="preserve"> are illustrated </w:t>
      </w:r>
      <w:r w:rsidR="008349CB">
        <w:rPr>
          <w:lang w:val="en-GB"/>
        </w:rPr>
        <w:fldChar w:fldCharType="begin"/>
      </w:r>
      <w:r w:rsidR="008349CB">
        <w:rPr>
          <w:lang w:val="en-GB"/>
        </w:rPr>
        <w:instrText xml:space="preserve"> REF _Ref473895726 \h </w:instrText>
      </w:r>
      <w:r w:rsidR="008349CB">
        <w:rPr>
          <w:lang w:val="en-GB"/>
        </w:rPr>
      </w:r>
      <w:r w:rsidR="008349CB">
        <w:rPr>
          <w:lang w:val="en-GB"/>
        </w:rPr>
        <w:fldChar w:fldCharType="separate"/>
      </w:r>
      <w:r w:rsidR="0015645C">
        <w:t xml:space="preserve">Figure </w:t>
      </w:r>
      <w:r w:rsidR="0015645C">
        <w:rPr>
          <w:noProof/>
        </w:rPr>
        <w:t>1</w:t>
      </w:r>
      <w:r w:rsidR="008349CB">
        <w:rPr>
          <w:lang w:val="en-GB"/>
        </w:rPr>
        <w:fldChar w:fldCharType="end"/>
      </w:r>
      <w:r w:rsidR="008349CB">
        <w:rPr>
          <w:lang w:val="en-GB"/>
        </w:rPr>
        <w:t xml:space="preserve"> to</w:t>
      </w:r>
      <w:r w:rsidR="0015645C">
        <w:rPr>
          <w:lang w:val="en-GB"/>
        </w:rPr>
        <w:t xml:space="preserve"> </w:t>
      </w:r>
      <w:r w:rsidR="0015645C">
        <w:rPr>
          <w:lang w:val="en-GB"/>
        </w:rPr>
        <w:fldChar w:fldCharType="begin"/>
      </w:r>
      <w:r w:rsidR="0015645C">
        <w:rPr>
          <w:lang w:val="en-GB"/>
        </w:rPr>
        <w:instrText xml:space="preserve"> REF _Ref473895835 \h </w:instrText>
      </w:r>
      <w:r w:rsidR="0015645C">
        <w:rPr>
          <w:lang w:val="en-GB"/>
        </w:rPr>
      </w:r>
      <w:r w:rsidR="0015645C">
        <w:rPr>
          <w:lang w:val="en-GB"/>
        </w:rPr>
        <w:fldChar w:fldCharType="separate"/>
      </w:r>
      <w:r w:rsidR="0015645C">
        <w:t xml:space="preserve">Figure </w:t>
      </w:r>
      <w:r w:rsidR="0015645C">
        <w:rPr>
          <w:noProof/>
        </w:rPr>
        <w:t>4</w:t>
      </w:r>
      <w:r w:rsidR="0015645C">
        <w:rPr>
          <w:lang w:val="en-GB"/>
        </w:rPr>
        <w:fldChar w:fldCharType="end"/>
      </w:r>
      <w:r w:rsidR="008349CB">
        <w:rPr>
          <w:lang w:val="en-GB"/>
        </w:rPr>
        <w:t>.</w:t>
      </w:r>
      <w:r w:rsidR="009375A0">
        <w:rPr>
          <w:lang w:val="en-GB"/>
        </w:rPr>
        <w:tab/>
      </w:r>
      <w:r w:rsidR="009375A0">
        <w:rPr>
          <w:lang w:val="en-GB"/>
        </w:rPr>
        <w:tab/>
      </w:r>
      <w:r w:rsidR="0069360B" w:rsidRPr="0069360B">
        <w:rPr>
          <w:noProof/>
          <w:lang w:eastAsia="en-US"/>
        </w:rPr>
        <w:drawing>
          <wp:inline distT="0" distB="0" distL="0" distR="0" wp14:anchorId="36DA10D0" wp14:editId="1575E023">
            <wp:extent cx="6120765" cy="181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3D79B910" w14:textId="510B30F8" w:rsidR="00944308" w:rsidRDefault="0069360B" w:rsidP="00944308">
      <w:pPr>
        <w:pStyle w:val="Caption"/>
        <w:jc w:val="both"/>
      </w:pPr>
      <w:bookmarkStart w:id="1" w:name="_Ref473895726"/>
      <w:r>
        <w:t xml:space="preserve">Figure </w:t>
      </w:r>
      <w:fldSimple w:instr=" SEQ Figure \* ARABIC ">
        <w:r w:rsidR="0015645C">
          <w:rPr>
            <w:noProof/>
          </w:rPr>
          <w:t>1</w:t>
        </w:r>
      </w:fldSimple>
      <w:bookmarkEnd w:id="1"/>
      <w:r w:rsidR="00944308">
        <w:t>: One UE with corresponding</w:t>
      </w:r>
      <w:r w:rsidR="00435264">
        <w:t xml:space="preserve"> PDSCH and PDCCH in blue </w:t>
      </w:r>
      <w:r w:rsidR="00944308">
        <w:t>color (referred to as blue color coded UE)</w:t>
      </w:r>
      <w:r w:rsidR="00435264">
        <w:t xml:space="preserve"> </w:t>
      </w:r>
      <w:r w:rsidR="00944308">
        <w:t>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48CEA2B2" w14:textId="396EBA49" w:rsidR="00944308" w:rsidRDefault="00944308" w:rsidP="00944308">
      <w:pPr>
        <w:pStyle w:val="ListParagraph"/>
        <w:numPr>
          <w:ilvl w:val="0"/>
          <w:numId w:val="19"/>
        </w:numPr>
        <w:jc w:val="both"/>
        <w:rPr>
          <w:lang w:val="en-GB"/>
        </w:rPr>
      </w:pPr>
      <w:r>
        <w:rPr>
          <w:lang w:val="en-GB"/>
        </w:rPr>
        <w:t xml:space="preserve">Case 1: In example shown in </w:t>
      </w:r>
      <w:r w:rsidRPr="008349CB">
        <w:rPr>
          <w:lang w:val="en-GB"/>
        </w:rPr>
        <w:fldChar w:fldCharType="begin"/>
      </w:r>
      <w:r w:rsidRPr="008349CB">
        <w:rPr>
          <w:lang w:val="en-GB"/>
        </w:rPr>
        <w:instrText xml:space="preserve"> REF _Ref473895726 \h </w:instrText>
      </w:r>
      <w:r>
        <w:rPr>
          <w:lang w:val="en-GB"/>
        </w:rPr>
        <w:instrText xml:space="preserve"> \* MERGEFORMAT </w:instrText>
      </w:r>
      <w:r w:rsidRPr="008349CB">
        <w:rPr>
          <w:lang w:val="en-GB"/>
        </w:rPr>
      </w:r>
      <w:r w:rsidRPr="008349CB">
        <w:rPr>
          <w:lang w:val="en-GB"/>
        </w:rPr>
        <w:fldChar w:fldCharType="separate"/>
      </w:r>
      <w:r w:rsidR="0015645C" w:rsidRPr="0015645C">
        <w:rPr>
          <w:lang w:val="en-US"/>
        </w:rPr>
        <w:t xml:space="preserve">Figure </w:t>
      </w:r>
      <w:r w:rsidR="0015645C" w:rsidRPr="0015645C">
        <w:rPr>
          <w:noProof/>
          <w:lang w:val="en-US"/>
        </w:rPr>
        <w:t>1</w:t>
      </w:r>
      <w:r w:rsidRPr="008349CB">
        <w:rPr>
          <w:lang w:val="en-GB"/>
        </w:rPr>
        <w:fldChar w:fldCharType="end"/>
      </w:r>
      <w:r w:rsidRPr="008349CB">
        <w:rPr>
          <w:lang w:val="en-GB"/>
        </w:rPr>
        <w:t>,</w:t>
      </w:r>
      <w:r>
        <w:rPr>
          <w:lang w:val="en-GB"/>
        </w:rPr>
        <w:t xml:space="preserve"> the scheduling decisions at gNB imply that the UE (UE colour coded blue)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w:t>
      </w:r>
    </w:p>
    <w:p w14:paraId="455B2DF2" w14:textId="77777777" w:rsidR="00944308" w:rsidRPr="00944308" w:rsidRDefault="00944308" w:rsidP="00944308"/>
    <w:p w14:paraId="5366530B" w14:textId="0C6E504E" w:rsidR="0069360B" w:rsidRDefault="00435264" w:rsidP="0069360B">
      <w:pPr>
        <w:keepNext/>
      </w:pPr>
      <w:r w:rsidRPr="00435264">
        <w:rPr>
          <w:noProof/>
          <w:lang w:eastAsia="en-US"/>
        </w:rPr>
        <w:lastRenderedPageBreak/>
        <w:drawing>
          <wp:inline distT="0" distB="0" distL="0" distR="0" wp14:anchorId="12E5A3DD" wp14:editId="4EDF7473">
            <wp:extent cx="6120765" cy="1810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6C82BCE3" w14:textId="41AAB2C1" w:rsidR="00944308" w:rsidRDefault="0069360B" w:rsidP="00944308">
      <w:pPr>
        <w:pStyle w:val="Caption"/>
        <w:jc w:val="both"/>
      </w:pPr>
      <w:bookmarkStart w:id="2" w:name="_Ref473895771"/>
      <w:r>
        <w:t xml:space="preserve">Figure </w:t>
      </w:r>
      <w:fldSimple w:instr=" SEQ Figure \* ARABIC ">
        <w:r w:rsidR="0015645C">
          <w:rPr>
            <w:noProof/>
          </w:rPr>
          <w:t>2</w:t>
        </w:r>
      </w:fldSimple>
      <w:bookmarkEnd w:id="2"/>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547601E2" w14:textId="3094DF83" w:rsidR="00944308" w:rsidRPr="00CE0EEB" w:rsidRDefault="00944308" w:rsidP="00944308">
      <w:pPr>
        <w:pStyle w:val="ListParagraph"/>
        <w:numPr>
          <w:ilvl w:val="0"/>
          <w:numId w:val="19"/>
        </w:numPr>
        <w:jc w:val="both"/>
        <w:rPr>
          <w:lang w:val="en-GB"/>
        </w:rPr>
      </w:pPr>
      <w:r>
        <w:rPr>
          <w:lang w:val="en-GB"/>
        </w:rPr>
        <w:t xml:space="preserve">Case 2: The example shown in </w:t>
      </w:r>
      <w:r>
        <w:rPr>
          <w:lang w:val="en-GB"/>
        </w:rPr>
        <w:fldChar w:fldCharType="begin"/>
      </w:r>
      <w:r>
        <w:rPr>
          <w:lang w:val="en-GB"/>
        </w:rPr>
        <w:instrText xml:space="preserve"> REF _Ref473895771 \h </w:instrText>
      </w:r>
      <w:r>
        <w:rPr>
          <w:lang w:val="en-GB"/>
        </w:rPr>
      </w:r>
      <w:r>
        <w:rPr>
          <w:lang w:val="en-GB"/>
        </w:rPr>
        <w:fldChar w:fldCharType="separate"/>
      </w:r>
      <w:r w:rsidR="0015645C" w:rsidRPr="0015645C">
        <w:rPr>
          <w:lang w:val="en-US"/>
        </w:rPr>
        <w:t xml:space="preserve">Figure </w:t>
      </w:r>
      <w:r w:rsidR="0015645C" w:rsidRPr="0015645C">
        <w:rPr>
          <w:noProof/>
          <w:lang w:val="en-US"/>
        </w:rPr>
        <w:t>2</w:t>
      </w:r>
      <w:r>
        <w:rPr>
          <w:lang w:val="en-GB"/>
        </w:rPr>
        <w:fldChar w:fldCharType="end"/>
      </w:r>
      <w:r>
        <w:rPr>
          <w:lang w:val="en-GB"/>
        </w:rPr>
        <w:t xml:space="preserve"> is similar to </w:t>
      </w:r>
      <w:r>
        <w:rPr>
          <w:lang w:val="en-GB"/>
        </w:rPr>
        <w:fldChar w:fldCharType="begin"/>
      </w:r>
      <w:r>
        <w:rPr>
          <w:lang w:val="en-GB"/>
        </w:rPr>
        <w:instrText xml:space="preserve"> REF _Ref473895726 \h </w:instrText>
      </w:r>
      <w:r>
        <w:rPr>
          <w:lang w:val="en-GB"/>
        </w:rPr>
      </w:r>
      <w:r>
        <w:rPr>
          <w:lang w:val="en-GB"/>
        </w:rPr>
        <w:fldChar w:fldCharType="separate"/>
      </w:r>
      <w:r w:rsidR="0015645C" w:rsidRPr="0015645C">
        <w:rPr>
          <w:lang w:val="en-US"/>
        </w:rPr>
        <w:t xml:space="preserve">Figure </w:t>
      </w:r>
      <w:r w:rsidR="0015645C" w:rsidRPr="0015645C">
        <w:rPr>
          <w:noProof/>
          <w:lang w:val="en-US"/>
        </w:rPr>
        <w:t>1</w:t>
      </w:r>
      <w:r>
        <w:rPr>
          <w:lang w:val="en-GB"/>
        </w:rPr>
        <w:fldChar w:fldCharType="end"/>
      </w:r>
      <w:r>
        <w:rPr>
          <w:lang w:val="en-GB"/>
        </w:rPr>
        <w:t xml:space="preserve"> where the scheduling decisions at gNB imply that both UEs (UEs colour coded blue and yellow) should be informed with the new starting symbol for data. However, both UEs exclude the resources for their corresponding PDCCH for data transmission in the corresponding control resource set. </w:t>
      </w:r>
    </w:p>
    <w:p w14:paraId="67FE5B94" w14:textId="68B3E9D9" w:rsidR="0069360B" w:rsidRPr="00944308" w:rsidRDefault="0069360B" w:rsidP="0069360B">
      <w:pPr>
        <w:pStyle w:val="Caption"/>
        <w:jc w:val="both"/>
        <w:rPr>
          <w:lang w:val="en-GB"/>
        </w:rPr>
      </w:pPr>
    </w:p>
    <w:p w14:paraId="47013C11" w14:textId="1BE5666D" w:rsidR="0069360B" w:rsidRDefault="00435264" w:rsidP="0069360B">
      <w:pPr>
        <w:keepNext/>
      </w:pPr>
      <w:r w:rsidRPr="00435264">
        <w:rPr>
          <w:noProof/>
          <w:lang w:eastAsia="en-US"/>
        </w:rPr>
        <w:drawing>
          <wp:inline distT="0" distB="0" distL="0" distR="0" wp14:anchorId="4C8DF992" wp14:editId="15E65337">
            <wp:extent cx="6120765" cy="1807358"/>
            <wp:effectExtent l="0" t="0" r="0" b="25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807358"/>
                    </a:xfrm>
                    <a:prstGeom prst="rect">
                      <a:avLst/>
                    </a:prstGeom>
                    <a:noFill/>
                    <a:ln>
                      <a:noFill/>
                    </a:ln>
                  </pic:spPr>
                </pic:pic>
              </a:graphicData>
            </a:graphic>
          </wp:inline>
        </w:drawing>
      </w:r>
    </w:p>
    <w:p w14:paraId="23C3D460" w14:textId="327C371B" w:rsidR="00944308" w:rsidRDefault="0069360B" w:rsidP="00944308">
      <w:pPr>
        <w:pStyle w:val="Caption"/>
        <w:jc w:val="both"/>
      </w:pPr>
      <w:bookmarkStart w:id="3" w:name="_Ref473895787"/>
      <w:r>
        <w:t xml:space="preserve">Figure </w:t>
      </w:r>
      <w:fldSimple w:instr=" SEQ Figure \* ARABIC ">
        <w:r w:rsidR="0015645C">
          <w:rPr>
            <w:noProof/>
          </w:rPr>
          <w:t>3</w:t>
        </w:r>
      </w:fldSimple>
      <w:bookmarkEnd w:id="3"/>
      <w:r>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274A5DF3" w14:textId="58FA37E9" w:rsidR="00944308" w:rsidRPr="00971DFC" w:rsidRDefault="00944308" w:rsidP="00944308">
      <w:pPr>
        <w:pStyle w:val="ListParagraph"/>
        <w:numPr>
          <w:ilvl w:val="0"/>
          <w:numId w:val="19"/>
        </w:numPr>
        <w:jc w:val="both"/>
        <w:rPr>
          <w:lang w:val="en-GB"/>
        </w:rPr>
      </w:pPr>
      <w:r>
        <w:rPr>
          <w:lang w:val="en-GB"/>
        </w:rPr>
        <w:t xml:space="preserve">Case 3: In the example shown in </w:t>
      </w:r>
      <w:r>
        <w:rPr>
          <w:lang w:val="en-GB"/>
        </w:rPr>
        <w:fldChar w:fldCharType="begin"/>
      </w:r>
      <w:r>
        <w:rPr>
          <w:lang w:val="en-GB"/>
        </w:rPr>
        <w:instrText xml:space="preserve"> REF _Ref473895787 \h </w:instrText>
      </w:r>
      <w:r>
        <w:rPr>
          <w:lang w:val="en-GB"/>
        </w:rPr>
      </w:r>
      <w:r>
        <w:rPr>
          <w:lang w:val="en-GB"/>
        </w:rPr>
        <w:fldChar w:fldCharType="separate"/>
      </w:r>
      <w:r w:rsidR="0015645C" w:rsidRPr="0015645C">
        <w:rPr>
          <w:lang w:val="en-US"/>
        </w:rPr>
        <w:t xml:space="preserve">Figure </w:t>
      </w:r>
      <w:r w:rsidR="0015645C" w:rsidRPr="0015645C">
        <w:rPr>
          <w:noProof/>
          <w:lang w:val="en-US"/>
        </w:rPr>
        <w:t>3</w:t>
      </w:r>
      <w:r>
        <w:rPr>
          <w:lang w:val="en-GB"/>
        </w:rPr>
        <w:fldChar w:fldCharType="end"/>
      </w:r>
      <w:r>
        <w:rPr>
          <w:lang w:val="en-GB"/>
        </w:rPr>
        <w:t xml:space="preserve">, the scheduling decisions at gNB imply that the blue colour coded UE has the similar case as in </w:t>
      </w:r>
      <w:r>
        <w:rPr>
          <w:lang w:val="en-GB"/>
        </w:rPr>
        <w:fldChar w:fldCharType="begin"/>
      </w:r>
      <w:r>
        <w:rPr>
          <w:lang w:val="en-GB"/>
        </w:rPr>
        <w:instrText xml:space="preserve"> REF _Ref473895726 \h </w:instrText>
      </w:r>
      <w:r>
        <w:rPr>
          <w:lang w:val="en-GB"/>
        </w:rPr>
      </w:r>
      <w:r>
        <w:rPr>
          <w:lang w:val="en-GB"/>
        </w:rPr>
        <w:fldChar w:fldCharType="separate"/>
      </w:r>
      <w:r w:rsidR="0015645C" w:rsidRPr="0015645C">
        <w:rPr>
          <w:lang w:val="en-US"/>
        </w:rPr>
        <w:t xml:space="preserve">Figure </w:t>
      </w:r>
      <w:r w:rsidR="0015645C" w:rsidRPr="0015645C">
        <w:rPr>
          <w:noProof/>
          <w:lang w:val="en-US"/>
        </w:rPr>
        <w:t>1</w:t>
      </w:r>
      <w:r>
        <w:rPr>
          <w:lang w:val="en-GB"/>
        </w:rPr>
        <w:fldChar w:fldCharType="end"/>
      </w:r>
      <w:r>
        <w:rPr>
          <w:lang w:val="en-GB"/>
        </w:rPr>
        <w:t xml:space="preserve">, i.e. it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xml:space="preserve">. The yellow color coded UE is </w:t>
      </w:r>
      <w:r>
        <w:rPr>
          <w:lang w:val="en-GB"/>
        </w:rPr>
        <w:t xml:space="preserve">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excluding the resources in the control resource set with the corresponding PDCCH. In this case, the gNB has rate matches data around the PDCCH resources.</w:t>
      </w:r>
    </w:p>
    <w:p w14:paraId="46AD72DC" w14:textId="3B7499D0" w:rsidR="0069360B" w:rsidRPr="00944308" w:rsidRDefault="0069360B" w:rsidP="0069360B">
      <w:pPr>
        <w:pStyle w:val="Caption"/>
        <w:jc w:val="both"/>
        <w:rPr>
          <w:lang w:val="en-GB"/>
        </w:rPr>
      </w:pPr>
    </w:p>
    <w:p w14:paraId="37572E18" w14:textId="38448DC6" w:rsidR="0069360B" w:rsidRDefault="00435264" w:rsidP="0069360B">
      <w:pPr>
        <w:keepNext/>
      </w:pPr>
      <w:r w:rsidRPr="00435264">
        <w:rPr>
          <w:noProof/>
          <w:lang w:eastAsia="en-US"/>
        </w:rPr>
        <w:lastRenderedPageBreak/>
        <w:drawing>
          <wp:inline distT="0" distB="0" distL="0" distR="0" wp14:anchorId="49949371" wp14:editId="6B0439B9">
            <wp:extent cx="6120765" cy="1814844"/>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814844"/>
                    </a:xfrm>
                    <a:prstGeom prst="rect">
                      <a:avLst/>
                    </a:prstGeom>
                    <a:noFill/>
                    <a:ln>
                      <a:noFill/>
                    </a:ln>
                  </pic:spPr>
                </pic:pic>
              </a:graphicData>
            </a:graphic>
          </wp:inline>
        </w:drawing>
      </w:r>
    </w:p>
    <w:p w14:paraId="132755DD" w14:textId="7BBA4DBD" w:rsidR="00944308" w:rsidRDefault="0069360B" w:rsidP="00944308">
      <w:pPr>
        <w:pStyle w:val="Caption"/>
        <w:jc w:val="both"/>
      </w:pPr>
      <w:bookmarkStart w:id="4" w:name="_Ref473895835"/>
      <w:r>
        <w:t xml:space="preserve">Figure </w:t>
      </w:r>
      <w:fldSimple w:instr=" SEQ Figure \* ARABIC ">
        <w:r w:rsidR="0015645C">
          <w:rPr>
            <w:noProof/>
          </w:rPr>
          <w:t>4</w:t>
        </w:r>
      </w:fldSimple>
      <w:bookmarkEnd w:id="4"/>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60EB0764" w14:textId="2D119A57" w:rsidR="00944308" w:rsidRPr="00981206" w:rsidRDefault="00944308" w:rsidP="00944308">
      <w:pPr>
        <w:pStyle w:val="ListParagraph"/>
        <w:numPr>
          <w:ilvl w:val="0"/>
          <w:numId w:val="19"/>
        </w:numPr>
        <w:jc w:val="both"/>
        <w:rPr>
          <w:lang w:val="en-GB"/>
        </w:rPr>
      </w:pPr>
      <w:r>
        <w:rPr>
          <w:lang w:val="en-US"/>
        </w:rPr>
        <w:t xml:space="preserve">Case 4: In the example in </w:t>
      </w:r>
      <w:r>
        <w:rPr>
          <w:lang w:val="en-US"/>
        </w:rPr>
        <w:fldChar w:fldCharType="begin"/>
      </w:r>
      <w:r>
        <w:rPr>
          <w:lang w:val="en-US"/>
        </w:rPr>
        <w:instrText xml:space="preserve"> REF _Ref473895835 \h </w:instrText>
      </w:r>
      <w:r>
        <w:rPr>
          <w:lang w:val="en-US"/>
        </w:rPr>
      </w:r>
      <w:r>
        <w:rPr>
          <w:lang w:val="en-US"/>
        </w:rPr>
        <w:fldChar w:fldCharType="separate"/>
      </w:r>
      <w:r w:rsidR="0015645C" w:rsidRPr="0015645C">
        <w:rPr>
          <w:lang w:val="en-US"/>
        </w:rPr>
        <w:t xml:space="preserve">Figure </w:t>
      </w:r>
      <w:r w:rsidR="0015645C" w:rsidRPr="0015645C">
        <w:rPr>
          <w:noProof/>
          <w:lang w:val="en-US"/>
        </w:rPr>
        <w:t>4</w:t>
      </w:r>
      <w:r>
        <w:rPr>
          <w:lang w:val="en-US"/>
        </w:rPr>
        <w:fldChar w:fldCharType="end"/>
      </w:r>
      <w:r>
        <w:rPr>
          <w:lang w:val="en-US"/>
        </w:rPr>
        <w:t xml:space="preserve">, </w:t>
      </w:r>
      <w:r>
        <w:rPr>
          <w:lang w:val="en-GB"/>
        </w:rPr>
        <w:t xml:space="preserve">the scheduling decisions at gNB imply that the blue colour coded UE has the similar case as in </w:t>
      </w:r>
      <w:r w:rsidRPr="008349CB">
        <w:rPr>
          <w:lang w:val="en-GB"/>
        </w:rPr>
        <w:fldChar w:fldCharType="begin"/>
      </w:r>
      <w:r w:rsidRPr="008349CB">
        <w:rPr>
          <w:lang w:val="en-GB"/>
        </w:rPr>
        <w:instrText xml:space="preserve"> REF _Ref473895726 \h </w:instrText>
      </w:r>
      <w:r>
        <w:rPr>
          <w:lang w:val="en-GB"/>
        </w:rPr>
        <w:instrText xml:space="preserve"> \* MERGEFORMAT </w:instrText>
      </w:r>
      <w:r w:rsidRPr="008349CB">
        <w:rPr>
          <w:lang w:val="en-GB"/>
        </w:rPr>
      </w:r>
      <w:r w:rsidRPr="008349CB">
        <w:rPr>
          <w:lang w:val="en-GB"/>
        </w:rPr>
        <w:fldChar w:fldCharType="separate"/>
      </w:r>
      <w:r w:rsidR="0015645C" w:rsidRPr="0015645C">
        <w:rPr>
          <w:lang w:val="en-US"/>
        </w:rPr>
        <w:t xml:space="preserve">Figure </w:t>
      </w:r>
      <w:r w:rsidR="0015645C" w:rsidRPr="0015645C">
        <w:rPr>
          <w:noProof/>
          <w:lang w:val="en-US"/>
        </w:rPr>
        <w:t>1</w:t>
      </w:r>
      <w:r w:rsidRPr="008349CB">
        <w:rPr>
          <w:lang w:val="en-GB"/>
        </w:rPr>
        <w:fldChar w:fldCharType="end"/>
      </w:r>
      <w:r w:rsidRPr="008349CB">
        <w:rPr>
          <w:lang w:val="en-GB"/>
        </w:rPr>
        <w:t>, i.</w:t>
      </w:r>
      <w:r>
        <w:rPr>
          <w:lang w:val="en-GB"/>
        </w:rPr>
        <w:t xml:space="preserve">e. it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xml:space="preserve">. The yellow color coded UE has the similar case as in </w:t>
      </w:r>
      <w:r>
        <w:rPr>
          <w:lang w:val="en-US"/>
        </w:rPr>
        <w:fldChar w:fldCharType="begin"/>
      </w:r>
      <w:r>
        <w:rPr>
          <w:lang w:val="en-US"/>
        </w:rPr>
        <w:instrText xml:space="preserve"> REF _Ref473895771 \h </w:instrText>
      </w:r>
      <w:r>
        <w:rPr>
          <w:lang w:val="en-US"/>
        </w:rPr>
      </w:r>
      <w:r>
        <w:rPr>
          <w:lang w:val="en-US"/>
        </w:rPr>
        <w:fldChar w:fldCharType="separate"/>
      </w:r>
      <w:r w:rsidR="0015645C" w:rsidRPr="0015645C">
        <w:rPr>
          <w:lang w:val="en-US"/>
        </w:rPr>
        <w:t xml:space="preserve">Figure </w:t>
      </w:r>
      <w:r w:rsidR="0015645C" w:rsidRPr="0015645C">
        <w:rPr>
          <w:noProof/>
          <w:lang w:val="en-US"/>
        </w:rPr>
        <w:t>2</w:t>
      </w:r>
      <w:r>
        <w:rPr>
          <w:lang w:val="en-US"/>
        </w:rPr>
        <w:fldChar w:fldCharType="end"/>
      </w:r>
      <w:r>
        <w:rPr>
          <w:lang w:val="en-US"/>
        </w:rPr>
        <w:t xml:space="preserve"> with a different starting point for data transmission being 2</w:t>
      </w:r>
      <w:r w:rsidRPr="00722763">
        <w:rPr>
          <w:vertAlign w:val="superscript"/>
          <w:lang w:val="en-US"/>
        </w:rPr>
        <w:t>nd</w:t>
      </w:r>
      <w:r>
        <w:rPr>
          <w:lang w:val="en-US"/>
        </w:rPr>
        <w:t xml:space="preserve"> symbol here as compared to the 1</w:t>
      </w:r>
      <w:r w:rsidRPr="00722763">
        <w:rPr>
          <w:vertAlign w:val="superscript"/>
          <w:lang w:val="en-US"/>
        </w:rPr>
        <w:t>st</w:t>
      </w:r>
      <w:r>
        <w:rPr>
          <w:lang w:val="en-US"/>
        </w:rPr>
        <w:t xml:space="preserve"> symbol in </w:t>
      </w:r>
      <w:r>
        <w:rPr>
          <w:lang w:val="en-US"/>
        </w:rPr>
        <w:fldChar w:fldCharType="begin"/>
      </w:r>
      <w:r>
        <w:rPr>
          <w:lang w:val="en-US"/>
        </w:rPr>
        <w:instrText xml:space="preserve"> REF _Ref473895726 \h </w:instrText>
      </w:r>
      <w:r>
        <w:rPr>
          <w:lang w:val="en-US"/>
        </w:rPr>
      </w:r>
      <w:r>
        <w:rPr>
          <w:lang w:val="en-US"/>
        </w:rPr>
        <w:fldChar w:fldCharType="separate"/>
      </w:r>
      <w:r w:rsidR="0015645C" w:rsidRPr="0015645C">
        <w:rPr>
          <w:lang w:val="en-US"/>
        </w:rPr>
        <w:t xml:space="preserve">Figure </w:t>
      </w:r>
      <w:r w:rsidR="0015645C" w:rsidRPr="0015645C">
        <w:rPr>
          <w:noProof/>
          <w:lang w:val="en-US"/>
        </w:rPr>
        <w:t>1</w:t>
      </w:r>
      <w:r>
        <w:rPr>
          <w:lang w:val="en-US"/>
        </w:rPr>
        <w:fldChar w:fldCharType="end"/>
      </w:r>
      <w:r>
        <w:rPr>
          <w:lang w:val="en-US"/>
        </w:rPr>
        <w:t>. This UE uses t</w:t>
      </w:r>
      <w:r w:rsidRPr="003959F6">
        <w:rPr>
          <w:lang w:val="en-US"/>
        </w:rPr>
        <w:t xml:space="preserve">he resources in the control region are only reused within the time and frequency region indicated by the scheduled PRBs and </w:t>
      </w:r>
      <w:r>
        <w:rPr>
          <w:lang w:val="en-US"/>
        </w:rPr>
        <w:t xml:space="preserve">the new </w:t>
      </w:r>
      <w:r w:rsidRPr="003959F6">
        <w:rPr>
          <w:lang w:val="en-US"/>
        </w:rPr>
        <w:t>start symbol for data</w:t>
      </w:r>
      <w:r w:rsidRPr="00722763">
        <w:rPr>
          <w:lang w:val="en-US"/>
        </w:rPr>
        <w:t xml:space="preserve"> </w:t>
      </w:r>
      <w:r>
        <w:rPr>
          <w:lang w:val="en-US"/>
        </w:rPr>
        <w:t>excluding the resources in the control resource set with the corresponding PDCCH.</w:t>
      </w:r>
    </w:p>
    <w:p w14:paraId="413C2C43" w14:textId="73A6F3E2" w:rsidR="0069360B" w:rsidRPr="00944308" w:rsidRDefault="0069360B" w:rsidP="0069360B">
      <w:pPr>
        <w:pStyle w:val="Caption"/>
        <w:jc w:val="both"/>
        <w:rPr>
          <w:lang w:val="en-GB"/>
        </w:rPr>
      </w:pPr>
    </w:p>
    <w:p w14:paraId="2CA4FC8F" w14:textId="25A96A25" w:rsidR="00B44CDC" w:rsidRPr="00C83223" w:rsidRDefault="00C83223" w:rsidP="009B1990">
      <w:r w:rsidRPr="00C83223">
        <w:t>Based on the above discussion</w:t>
      </w:r>
      <w:r w:rsidR="00FD0AAA">
        <w:t xml:space="preserve"> and analyzing different cases,</w:t>
      </w:r>
      <w:r w:rsidRPr="00C83223">
        <w:t xml:space="preserve"> if the gNB intends to utilize the resources in the control region for data transmission, </w:t>
      </w:r>
      <w:r w:rsidR="002F73DD">
        <w:t>the gNB signals some information in the UE-specific DCI to the UE and UE makes some assumptions accordingly.</w:t>
      </w:r>
    </w:p>
    <w:p w14:paraId="00CBC0B5" w14:textId="04595A8B" w:rsidR="00C83223" w:rsidRDefault="002F73DD" w:rsidP="009B1990">
      <w:r>
        <w:t>In more detail, i</w:t>
      </w:r>
      <w:r w:rsidR="00080FF1">
        <w:t>n the baseline operation, i.e. without enabling data transmission in the control region</w:t>
      </w:r>
      <w:r w:rsidR="00FD0AAA">
        <w:t>, a UE can make</w:t>
      </w:r>
      <w:r w:rsidR="00080FF1">
        <w:t xml:space="preserve"> t</w:t>
      </w:r>
      <w:r w:rsidR="00FD0AAA">
        <w:t xml:space="preserve">he following assumptions </w:t>
      </w:r>
      <w:r w:rsidR="00080FF1">
        <w:t>based on the RRC configurations and DCI messages</w:t>
      </w:r>
      <w:r w:rsidR="00C83223">
        <w:t>:</w:t>
      </w:r>
    </w:p>
    <w:p w14:paraId="14A5E386" w14:textId="1A8067A9" w:rsidR="00080FF1" w:rsidRPr="00080FF1" w:rsidRDefault="00F913A7" w:rsidP="00C83223">
      <w:pPr>
        <w:pStyle w:val="ListParagraph"/>
        <w:numPr>
          <w:ilvl w:val="0"/>
          <w:numId w:val="20"/>
        </w:numPr>
        <w:rPr>
          <w:lang w:val="en-US"/>
        </w:rPr>
      </w:pPr>
      <w:r>
        <w:rPr>
          <w:lang w:val="en-US"/>
        </w:rPr>
        <w:t>The following information is available at the UE</w:t>
      </w:r>
      <w:r w:rsidR="00080FF1">
        <w:rPr>
          <w:lang w:val="en-US"/>
        </w:rPr>
        <w:t>:</w:t>
      </w:r>
    </w:p>
    <w:p w14:paraId="23B3F38C" w14:textId="5225F146" w:rsidR="00C83223" w:rsidRPr="00080FF1" w:rsidRDefault="00C83223" w:rsidP="00080FF1">
      <w:pPr>
        <w:pStyle w:val="ListParagraph"/>
        <w:numPr>
          <w:ilvl w:val="1"/>
          <w:numId w:val="20"/>
        </w:numPr>
        <w:rPr>
          <w:lang w:val="en-US"/>
        </w:rPr>
      </w:pPr>
      <w:r w:rsidRPr="00080FF1">
        <w:rPr>
          <w:lang w:val="en-US"/>
        </w:rPr>
        <w:t>UE is informed of the configured control resource sets.</w:t>
      </w:r>
    </w:p>
    <w:p w14:paraId="6D347A2E" w14:textId="4CBE23E4" w:rsidR="00C83223" w:rsidRPr="00FD0AAA" w:rsidRDefault="00C83223" w:rsidP="00080FF1">
      <w:pPr>
        <w:pStyle w:val="ListParagraph"/>
        <w:numPr>
          <w:ilvl w:val="1"/>
          <w:numId w:val="20"/>
        </w:numPr>
        <w:rPr>
          <w:lang w:val="en-US"/>
        </w:rPr>
      </w:pPr>
      <w:r w:rsidRPr="00FD0AAA">
        <w:rPr>
          <w:lang w:val="en-US"/>
        </w:rPr>
        <w:t>UE can make the assumption</w:t>
      </w:r>
      <w:r w:rsidR="00FD0AAA" w:rsidRPr="00FD0AAA">
        <w:rPr>
          <w:lang w:val="en-US"/>
        </w:rPr>
        <w:t>s</w:t>
      </w:r>
      <w:r w:rsidRPr="00FD0AAA">
        <w:rPr>
          <w:lang w:val="en-US"/>
        </w:rPr>
        <w:t xml:space="preserve"> on which of the configured control resource sets includes PDCCH(s) for that UE.</w:t>
      </w:r>
    </w:p>
    <w:p w14:paraId="4249B918" w14:textId="31ECDB24" w:rsidR="00C83223" w:rsidRPr="00FD0AAA" w:rsidRDefault="00C83223" w:rsidP="00080FF1">
      <w:pPr>
        <w:pStyle w:val="ListParagraph"/>
        <w:numPr>
          <w:ilvl w:val="1"/>
          <w:numId w:val="20"/>
        </w:numPr>
        <w:rPr>
          <w:lang w:val="en-US"/>
        </w:rPr>
      </w:pPr>
      <w:r w:rsidRPr="00FD0AAA">
        <w:rPr>
          <w:lang w:val="en-US"/>
        </w:rPr>
        <w:t xml:space="preserve">UE can make the assumptions </w:t>
      </w:r>
      <w:r w:rsidR="00FD0AAA">
        <w:rPr>
          <w:lang w:val="en-US"/>
        </w:rPr>
        <w:t>which</w:t>
      </w:r>
      <w:r w:rsidR="00FD0AAA" w:rsidRPr="00FD0AAA">
        <w:rPr>
          <w:lang w:val="en-US"/>
        </w:rPr>
        <w:t xml:space="preserve"> resources in the configured</w:t>
      </w:r>
      <w:r w:rsidRPr="00FD0AAA">
        <w:rPr>
          <w:lang w:val="en-US"/>
        </w:rPr>
        <w:t xml:space="preserve"> control resource set including PDCCH(s) are utilized by PDCCHs.</w:t>
      </w:r>
    </w:p>
    <w:p w14:paraId="18046CE3" w14:textId="65C06585" w:rsidR="00C83223" w:rsidRPr="00CA4CE9" w:rsidRDefault="00C83223" w:rsidP="00080FF1">
      <w:pPr>
        <w:pStyle w:val="ListParagraph"/>
        <w:numPr>
          <w:ilvl w:val="1"/>
          <w:numId w:val="20"/>
        </w:numPr>
        <w:rPr>
          <w:lang w:val="en-US"/>
        </w:rPr>
      </w:pPr>
      <w:r w:rsidRPr="00CA4CE9">
        <w:rPr>
          <w:lang w:val="en-US"/>
        </w:rPr>
        <w:t>UE can make the assumption of the starting symbol for data transmission.</w:t>
      </w:r>
    </w:p>
    <w:p w14:paraId="3BA64E85" w14:textId="3B13788A" w:rsidR="00C83223" w:rsidRPr="00CA4CE9" w:rsidRDefault="00C83223" w:rsidP="00080FF1">
      <w:pPr>
        <w:pStyle w:val="ListParagraph"/>
        <w:numPr>
          <w:ilvl w:val="1"/>
          <w:numId w:val="20"/>
        </w:numPr>
        <w:rPr>
          <w:lang w:val="en-US"/>
        </w:rPr>
      </w:pPr>
      <w:r w:rsidRPr="00CA4CE9">
        <w:rPr>
          <w:lang w:val="en-US"/>
        </w:rPr>
        <w:t xml:space="preserve">UE can make the assumption on the time-frequency resources on the scheduled PRBs. </w:t>
      </w:r>
    </w:p>
    <w:p w14:paraId="750421FE" w14:textId="3178D0DC" w:rsidR="00080FF1" w:rsidRPr="00CA4CE9" w:rsidRDefault="00080FF1" w:rsidP="00080FF1">
      <w:pPr>
        <w:pStyle w:val="ListParagraph"/>
        <w:ind w:left="927"/>
        <w:rPr>
          <w:lang w:val="en-US"/>
        </w:rPr>
      </w:pPr>
    </w:p>
    <w:p w14:paraId="02F161FD" w14:textId="25849D4A" w:rsidR="00080FF1" w:rsidRDefault="002F73DD" w:rsidP="00F913A7">
      <w:pPr>
        <w:pStyle w:val="ListParagraph"/>
        <w:ind w:left="0"/>
        <w:jc w:val="both"/>
        <w:rPr>
          <w:lang w:val="en-US"/>
        </w:rPr>
      </w:pPr>
      <w:r w:rsidRPr="002F73DD">
        <w:rPr>
          <w:lang w:val="en-US"/>
        </w:rPr>
        <w:t>On the other hand</w:t>
      </w:r>
      <w:r>
        <w:rPr>
          <w:lang w:val="en-US"/>
        </w:rPr>
        <w:t>, i</w:t>
      </w:r>
      <w:r w:rsidR="00080FF1" w:rsidRPr="00080FF1">
        <w:rPr>
          <w:lang w:val="en-US"/>
        </w:rPr>
        <w:t xml:space="preserve">f the gNB decides to enable data transmissions for one of multiple UEs in the control region, </w:t>
      </w:r>
      <w:r w:rsidR="00080FF1">
        <w:rPr>
          <w:lang w:val="en-US"/>
        </w:rPr>
        <w:t xml:space="preserve">based on different cases that </w:t>
      </w:r>
      <w:r w:rsidR="00930004">
        <w:rPr>
          <w:lang w:val="en-US"/>
        </w:rPr>
        <w:t xml:space="preserve">are </w:t>
      </w:r>
      <w:r w:rsidR="00080FF1">
        <w:rPr>
          <w:lang w:val="en-US"/>
        </w:rPr>
        <w:t xml:space="preserve">illustrated in </w:t>
      </w:r>
      <w:r w:rsidR="00C12DA1">
        <w:rPr>
          <w:highlight w:val="yellow"/>
          <w:lang w:val="en-US"/>
        </w:rPr>
        <w:fldChar w:fldCharType="begin"/>
      </w:r>
      <w:r w:rsidR="00C12DA1">
        <w:rPr>
          <w:lang w:val="en-US"/>
        </w:rPr>
        <w:instrText xml:space="preserve"> REF _Ref473895726 \h </w:instrText>
      </w:r>
      <w:r w:rsidR="00C12DA1">
        <w:rPr>
          <w:highlight w:val="yellow"/>
          <w:lang w:val="en-US"/>
        </w:rPr>
      </w:r>
      <w:r w:rsidR="00C12DA1">
        <w:rPr>
          <w:highlight w:val="yellow"/>
          <w:lang w:val="en-US"/>
        </w:rPr>
        <w:fldChar w:fldCharType="separate"/>
      </w:r>
      <w:r w:rsidR="0015645C" w:rsidRPr="0015645C">
        <w:rPr>
          <w:lang w:val="en-US"/>
        </w:rPr>
        <w:t xml:space="preserve">Figure </w:t>
      </w:r>
      <w:r w:rsidR="0015645C" w:rsidRPr="0015645C">
        <w:rPr>
          <w:noProof/>
          <w:lang w:val="en-US"/>
        </w:rPr>
        <w:t>1</w:t>
      </w:r>
      <w:r w:rsidR="00C12DA1">
        <w:rPr>
          <w:highlight w:val="yellow"/>
          <w:lang w:val="en-US"/>
        </w:rPr>
        <w:fldChar w:fldCharType="end"/>
      </w:r>
      <w:r w:rsidR="00C12DA1">
        <w:rPr>
          <w:lang w:val="en-US"/>
        </w:rPr>
        <w:t xml:space="preserve"> to</w:t>
      </w:r>
      <w:r w:rsidR="0015645C">
        <w:rPr>
          <w:lang w:val="en-US"/>
        </w:rPr>
        <w:t xml:space="preserve"> </w:t>
      </w:r>
      <w:r w:rsidR="0015645C">
        <w:rPr>
          <w:highlight w:val="yellow"/>
          <w:lang w:val="en-US"/>
        </w:rPr>
        <w:fldChar w:fldCharType="begin"/>
      </w:r>
      <w:r w:rsidR="0015645C">
        <w:rPr>
          <w:lang w:val="en-US"/>
        </w:rPr>
        <w:instrText xml:space="preserve"> REF _Ref473895835 \h </w:instrText>
      </w:r>
      <w:r w:rsidR="0015645C">
        <w:rPr>
          <w:highlight w:val="yellow"/>
          <w:lang w:val="en-US"/>
        </w:rPr>
      </w:r>
      <w:r w:rsidR="0015645C">
        <w:rPr>
          <w:highlight w:val="yellow"/>
          <w:lang w:val="en-US"/>
        </w:rPr>
        <w:fldChar w:fldCharType="separate"/>
      </w:r>
      <w:r w:rsidR="0015645C" w:rsidRPr="0015645C">
        <w:rPr>
          <w:lang w:val="en-US"/>
        </w:rPr>
        <w:t xml:space="preserve">Figure </w:t>
      </w:r>
      <w:r w:rsidR="0015645C" w:rsidRPr="0015645C">
        <w:rPr>
          <w:noProof/>
          <w:lang w:val="en-US"/>
        </w:rPr>
        <w:t>4</w:t>
      </w:r>
      <w:r w:rsidR="0015645C">
        <w:rPr>
          <w:highlight w:val="yellow"/>
          <w:lang w:val="en-US"/>
        </w:rPr>
        <w:fldChar w:fldCharType="end"/>
      </w:r>
      <w:r w:rsidR="00080FF1">
        <w:rPr>
          <w:lang w:val="en-US"/>
        </w:rPr>
        <w:t>, it can provide additional information to the UE that assist</w:t>
      </w:r>
      <w:r w:rsidR="00930004">
        <w:rPr>
          <w:lang w:val="en-US"/>
        </w:rPr>
        <w:t>s</w:t>
      </w:r>
      <w:r w:rsidR="00080FF1">
        <w:rPr>
          <w:lang w:val="en-US"/>
        </w:rPr>
        <w:t xml:space="preserve"> the UE </w:t>
      </w:r>
      <w:r w:rsidR="00930004">
        <w:rPr>
          <w:lang w:val="en-US"/>
        </w:rPr>
        <w:t>in</w:t>
      </w:r>
      <w:r w:rsidR="00080FF1">
        <w:rPr>
          <w:lang w:val="en-US"/>
        </w:rPr>
        <w:t xml:space="preserve"> determin</w:t>
      </w:r>
      <w:r w:rsidR="00930004">
        <w:rPr>
          <w:lang w:val="en-US"/>
        </w:rPr>
        <w:t>ing</w:t>
      </w:r>
      <w:r w:rsidR="00080FF1">
        <w:rPr>
          <w:lang w:val="en-US"/>
        </w:rPr>
        <w:t xml:space="preserve"> how to use the resources in the control region</w:t>
      </w:r>
      <w:r w:rsidR="00011802">
        <w:rPr>
          <w:lang w:val="en-US"/>
        </w:rPr>
        <w:t xml:space="preserve"> if the UE is intended to do</w:t>
      </w:r>
      <w:r w:rsidR="00F913A7">
        <w:rPr>
          <w:lang w:val="en-US"/>
        </w:rPr>
        <w:t xml:space="preserve"> so</w:t>
      </w:r>
      <w:r w:rsidR="00080FF1">
        <w:rPr>
          <w:lang w:val="en-US"/>
        </w:rPr>
        <w:t>.</w:t>
      </w:r>
    </w:p>
    <w:p w14:paraId="34C6648A" w14:textId="76BC7C35" w:rsidR="00344243" w:rsidRPr="00344243" w:rsidRDefault="00080FF1" w:rsidP="00344243">
      <w:pPr>
        <w:pStyle w:val="ListParagraph"/>
        <w:numPr>
          <w:ilvl w:val="0"/>
          <w:numId w:val="20"/>
        </w:numPr>
        <w:rPr>
          <w:lang w:val="en-US"/>
        </w:rPr>
      </w:pPr>
      <w:r>
        <w:rPr>
          <w:lang w:val="en-US"/>
        </w:rPr>
        <w:t>The g</w:t>
      </w:r>
      <w:r w:rsidR="00F913A7">
        <w:rPr>
          <w:lang w:val="en-US"/>
        </w:rPr>
        <w:t xml:space="preserve">NB signals the UE </w:t>
      </w:r>
      <w:r w:rsidR="00930004">
        <w:rPr>
          <w:lang w:val="en-US"/>
        </w:rPr>
        <w:t xml:space="preserve">a potentially </w:t>
      </w:r>
      <w:r w:rsidR="00F913A7">
        <w:rPr>
          <w:lang w:val="en-US"/>
        </w:rPr>
        <w:t xml:space="preserve">new </w:t>
      </w:r>
      <w:r w:rsidR="00930004">
        <w:rPr>
          <w:lang w:val="en-US"/>
        </w:rPr>
        <w:t xml:space="preserve">value for the </w:t>
      </w:r>
      <w:r>
        <w:rPr>
          <w:lang w:val="en-US"/>
        </w:rPr>
        <w:t>data starting symbol.</w:t>
      </w:r>
    </w:p>
    <w:p w14:paraId="4E23C599" w14:textId="37F5FEF5" w:rsidR="00344243" w:rsidRDefault="00011802" w:rsidP="00F913A7">
      <w:pPr>
        <w:pStyle w:val="ListParagraph"/>
        <w:numPr>
          <w:ilvl w:val="0"/>
          <w:numId w:val="20"/>
        </w:numPr>
        <w:jc w:val="both"/>
        <w:rPr>
          <w:lang w:val="en-US"/>
        </w:rPr>
      </w:pPr>
      <w:r>
        <w:rPr>
          <w:lang w:val="en-US"/>
        </w:rPr>
        <w:t xml:space="preserve">The gNB signals </w:t>
      </w:r>
      <w:r w:rsidR="00344243">
        <w:rPr>
          <w:lang w:val="en-US"/>
        </w:rPr>
        <w:t xml:space="preserve">whether the UE should assume the resources inside the configured control resource sets (and in this case which ones in case of multiple </w:t>
      </w:r>
      <w:r w:rsidR="00F913A7">
        <w:rPr>
          <w:lang w:val="en-US"/>
        </w:rPr>
        <w:t>configured control resource sets</w:t>
      </w:r>
      <w:r w:rsidR="00344243">
        <w:rPr>
          <w:lang w:val="en-US"/>
        </w:rPr>
        <w:t>) and or the resources outside the configured control resource sets</w:t>
      </w:r>
      <w:r w:rsidR="00F913A7">
        <w:rPr>
          <w:lang w:val="en-US"/>
        </w:rPr>
        <w:t xml:space="preserve"> should be used for data</w:t>
      </w:r>
      <w:r w:rsidR="00344243">
        <w:rPr>
          <w:lang w:val="en-US"/>
        </w:rPr>
        <w:t>.</w:t>
      </w:r>
    </w:p>
    <w:p w14:paraId="6AA6EF1A" w14:textId="2A3D07F1" w:rsidR="00080FF1" w:rsidRDefault="00344243" w:rsidP="00F913A7">
      <w:pPr>
        <w:pStyle w:val="ListParagraph"/>
        <w:numPr>
          <w:ilvl w:val="1"/>
          <w:numId w:val="20"/>
        </w:numPr>
        <w:jc w:val="both"/>
        <w:rPr>
          <w:lang w:val="en-US"/>
        </w:rPr>
      </w:pPr>
      <w:r>
        <w:rPr>
          <w:lang w:val="en-US"/>
        </w:rPr>
        <w:t xml:space="preserve">In case of using the resources of a configured control resource set with PDCCH, </w:t>
      </w:r>
      <w:r w:rsidR="002F73DD">
        <w:rPr>
          <w:lang w:val="en-US"/>
        </w:rPr>
        <w:t>gNB rate matches data around resources for the PDCCH and</w:t>
      </w:r>
      <w:r>
        <w:rPr>
          <w:lang w:val="en-US"/>
        </w:rPr>
        <w:t xml:space="preserve"> UE assumes resources for the PDCCH are excluded</w:t>
      </w:r>
      <w:r w:rsidR="00F913A7">
        <w:rPr>
          <w:lang w:val="en-US"/>
        </w:rPr>
        <w:t xml:space="preserve"> for data</w:t>
      </w:r>
      <w:r>
        <w:rPr>
          <w:lang w:val="en-US"/>
        </w:rPr>
        <w:t>.</w:t>
      </w:r>
    </w:p>
    <w:p w14:paraId="2B9764DD" w14:textId="1E727FC8" w:rsidR="00344243" w:rsidRDefault="00344243" w:rsidP="00344243">
      <w:pPr>
        <w:pStyle w:val="ListParagraph"/>
        <w:numPr>
          <w:ilvl w:val="2"/>
          <w:numId w:val="20"/>
        </w:numPr>
        <w:rPr>
          <w:lang w:val="en-US"/>
        </w:rPr>
      </w:pPr>
      <w:r>
        <w:rPr>
          <w:lang w:val="en-US"/>
        </w:rPr>
        <w:t>This in practice implies a granularity of a CCE in the frequency domain as the baseline.</w:t>
      </w:r>
    </w:p>
    <w:p w14:paraId="4627949C" w14:textId="57EA6B99" w:rsidR="002F73DD" w:rsidRDefault="00344243" w:rsidP="00F913A7">
      <w:pPr>
        <w:pStyle w:val="ListParagraph"/>
        <w:numPr>
          <w:ilvl w:val="0"/>
          <w:numId w:val="20"/>
        </w:numPr>
        <w:jc w:val="both"/>
        <w:rPr>
          <w:lang w:val="en-US"/>
        </w:rPr>
      </w:pPr>
      <w:r>
        <w:rPr>
          <w:lang w:val="en-US"/>
        </w:rPr>
        <w:lastRenderedPageBreak/>
        <w:t xml:space="preserve">The gNB signals whether the reused resources are within the </w:t>
      </w:r>
      <w:r w:rsidR="00F913A7">
        <w:rPr>
          <w:lang w:val="en-US"/>
        </w:rPr>
        <w:t>scheduled</w:t>
      </w:r>
      <w:r>
        <w:rPr>
          <w:lang w:val="en-US"/>
        </w:rPr>
        <w:t xml:space="preserve"> bandwidth of PDSCH transmission </w:t>
      </w:r>
      <w:r w:rsidR="00930004">
        <w:rPr>
          <w:lang w:val="en-US"/>
        </w:rPr>
        <w:t xml:space="preserve">after the control region </w:t>
      </w:r>
      <w:r w:rsidR="002F73DD">
        <w:rPr>
          <w:lang w:val="en-US"/>
        </w:rPr>
        <w:t>in the slot.</w:t>
      </w:r>
    </w:p>
    <w:p w14:paraId="73081FAC" w14:textId="536011D6" w:rsidR="00080FF1" w:rsidRDefault="00080FF1" w:rsidP="00080FF1">
      <w:pPr>
        <w:pStyle w:val="ListParagraph"/>
        <w:ind w:left="0"/>
        <w:rPr>
          <w:lang w:val="en-US"/>
        </w:rPr>
      </w:pPr>
    </w:p>
    <w:p w14:paraId="27991E0E" w14:textId="54C0E69B" w:rsidR="002F73DD" w:rsidRDefault="002F73DD" w:rsidP="00080FF1">
      <w:pPr>
        <w:pStyle w:val="ListParagraph"/>
        <w:ind w:left="0"/>
        <w:rPr>
          <w:lang w:val="en-US"/>
        </w:rPr>
      </w:pPr>
      <w:r>
        <w:rPr>
          <w:lang w:val="en-US"/>
        </w:rPr>
        <w:t>Based on the above discussion we propose the following</w:t>
      </w:r>
      <w:r w:rsidR="00F913A7">
        <w:rPr>
          <w:lang w:val="en-US"/>
        </w:rPr>
        <w:t xml:space="preserve"> simple approach for reusing the resources in the control region for data transmission</w:t>
      </w:r>
      <w:r>
        <w:rPr>
          <w:lang w:val="en-US"/>
        </w:rPr>
        <w:t>:</w:t>
      </w:r>
    </w:p>
    <w:p w14:paraId="77995A35" w14:textId="77777777" w:rsidR="00080FF1" w:rsidRPr="00080FF1" w:rsidRDefault="00080FF1" w:rsidP="00080FF1">
      <w:pPr>
        <w:pStyle w:val="ListParagraph"/>
        <w:ind w:left="0"/>
        <w:rPr>
          <w:lang w:val="en-US"/>
        </w:rPr>
      </w:pPr>
    </w:p>
    <w:p w14:paraId="4490BF11" w14:textId="71E25AB4" w:rsidR="009B1990" w:rsidRDefault="009B1990" w:rsidP="009B1990">
      <w:pPr>
        <w:rPr>
          <w:b/>
        </w:rPr>
      </w:pPr>
      <w:r w:rsidRPr="00400F1F">
        <w:rPr>
          <w:b/>
        </w:rPr>
        <w:t>Proposals:</w:t>
      </w:r>
    </w:p>
    <w:p w14:paraId="2E098B46" w14:textId="77777777" w:rsidR="00303563" w:rsidRDefault="00303563" w:rsidP="00303563">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3F30B527" w14:textId="4E0C997A" w:rsidR="00303563" w:rsidRPr="007A7298" w:rsidRDefault="00303563" w:rsidP="00303563">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4AA276E7" w14:textId="77777777" w:rsidR="00303563" w:rsidRP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55B85EAC"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1D14D5C3"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359552F" w14:textId="2EE2E497" w:rsidR="00303563" w:rsidRPr="00303563" w:rsidRDefault="00303563" w:rsidP="00303563">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sidR="00F913A7">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13BE956B" w14:textId="3FC5B408" w:rsidR="00303563" w:rsidRPr="0015645C" w:rsidRDefault="00303563" w:rsidP="009B1990">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52194F8F" w14:textId="5F2EDD0E" w:rsidR="00AE553B" w:rsidRDefault="00AE553B" w:rsidP="00AE553B">
      <w:pPr>
        <w:pStyle w:val="Heading1"/>
      </w:pPr>
      <w:r>
        <w:t>Conclusion</w:t>
      </w:r>
    </w:p>
    <w:p w14:paraId="23E35B52" w14:textId="701BFC80" w:rsidR="00F913A7" w:rsidRPr="00F913A7" w:rsidRDefault="00F913A7" w:rsidP="00F913A7">
      <w:r>
        <w:t xml:space="preserve">In this contribution we discussed our view on viable options that enable efficient transmission of data in the control resource set and proposed the following:                                                                                                                                                                                                          </w:t>
      </w:r>
    </w:p>
    <w:p w14:paraId="78A76564" w14:textId="3D8B5542" w:rsidR="00303563" w:rsidRPr="00303563" w:rsidRDefault="00400F1F" w:rsidP="00303563">
      <w:pPr>
        <w:rPr>
          <w:b/>
        </w:rPr>
      </w:pPr>
      <w:r w:rsidRPr="00400F1F">
        <w:rPr>
          <w:b/>
        </w:rPr>
        <w:t>Proposals:</w:t>
      </w:r>
    </w:p>
    <w:p w14:paraId="3301ED68" w14:textId="77777777" w:rsidR="00F913A7" w:rsidRDefault="00F913A7" w:rsidP="00F913A7">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6BFD80D3" w14:textId="77777777" w:rsidR="00F913A7" w:rsidRPr="007A7298" w:rsidRDefault="00F913A7" w:rsidP="00F913A7">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77441AE1" w14:textId="77777777" w:rsidR="00F913A7" w:rsidRPr="00303563"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0AC8303D"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3CEF496F"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2E106C8" w14:textId="77777777" w:rsidR="00F913A7" w:rsidRPr="00303563" w:rsidRDefault="00F913A7" w:rsidP="00F913A7">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4DCE103B" w14:textId="6DD3BB9B"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683E751C" w14:textId="0DC6F013" w:rsidR="00400F1F" w:rsidRPr="005A4122" w:rsidRDefault="00400F1F" w:rsidP="005A4122">
      <w:pPr>
        <w:spacing w:before="40" w:after="40"/>
        <w:ind w:left="360"/>
        <w:rPr>
          <w:rFonts w:cs="Arial"/>
        </w:rPr>
      </w:pPr>
    </w:p>
    <w:p w14:paraId="3CA25FCB" w14:textId="67E15E7F" w:rsidR="00F507D1" w:rsidRPr="00CE0424" w:rsidRDefault="00F507D1" w:rsidP="0009033B">
      <w:pPr>
        <w:pStyle w:val="Heading1"/>
      </w:pPr>
      <w:bookmarkStart w:id="5" w:name="_In-sequence_SDU_delivery"/>
      <w:bookmarkEnd w:id="5"/>
      <w:r w:rsidRPr="00CE0424">
        <w:t>References</w:t>
      </w:r>
    </w:p>
    <w:p w14:paraId="151ADCA7" w14:textId="77777777" w:rsidR="0015645C" w:rsidRDefault="0015645C" w:rsidP="0015645C">
      <w:pPr>
        <w:pStyle w:val="Reference"/>
      </w:pPr>
      <w:bookmarkStart w:id="6" w:name="_Ref477803323"/>
      <w:bookmarkStart w:id="7" w:name="_Ref473896376"/>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r>
        <w:t>RP-170377</w:t>
      </w:r>
      <w:bookmarkEnd w:id="6"/>
      <w:r>
        <w:tab/>
      </w:r>
      <w:r>
        <w:tab/>
      </w:r>
      <w:r w:rsidRPr="00D54B8E">
        <w:t>TR 38.802 v2.0.0 on Study on New Radio (NR) Access Technology Phys</w:t>
      </w:r>
      <w:r>
        <w:t>ical Layer Aspects; NTT DOCOMO</w:t>
      </w:r>
    </w:p>
    <w:p w14:paraId="31AD3E2E" w14:textId="0AFF713A" w:rsidR="0015645C" w:rsidRDefault="0015645C" w:rsidP="0015645C">
      <w:pPr>
        <w:pStyle w:val="Reference"/>
      </w:pPr>
      <w:bookmarkStart w:id="15" w:name="_Ref477803338"/>
      <w:r>
        <w:t>RP-170855</w:t>
      </w:r>
      <w:bookmarkEnd w:id="15"/>
      <w:r>
        <w:tab/>
      </w:r>
      <w:r>
        <w:tab/>
      </w:r>
      <w:r w:rsidRPr="0098532B">
        <w:t>New WID on New Radio Access Technology</w:t>
      </w:r>
      <w:r>
        <w:t>; NTT DOCOMO</w:t>
      </w:r>
    </w:p>
    <w:p w14:paraId="02CEF540" w14:textId="4B8B14E4" w:rsidR="003579EB" w:rsidRDefault="003579EB" w:rsidP="003B365D">
      <w:pPr>
        <w:pStyle w:val="Reference"/>
      </w:pPr>
      <w:bookmarkStart w:id="16" w:name="_Ref477805456"/>
      <w:r>
        <w:t>Chairman’s Note</w:t>
      </w:r>
      <w:r w:rsidR="00976AB0">
        <w:t>s, 3GPP TSG RAN WG1 Meeting #86bis</w:t>
      </w:r>
      <w:bookmarkEnd w:id="7"/>
      <w:bookmarkEnd w:id="16"/>
    </w:p>
    <w:p w14:paraId="795820B7" w14:textId="2A1B701B" w:rsidR="00976AB0" w:rsidRDefault="00976AB0" w:rsidP="00976AB0">
      <w:pPr>
        <w:pStyle w:val="Reference"/>
      </w:pPr>
      <w:bookmarkStart w:id="17" w:name="_Ref473896379"/>
      <w:r>
        <w:t>Chairman’s Notes, 3GPP TSG RAN WG1 Meeting #87</w:t>
      </w:r>
      <w:bookmarkEnd w:id="17"/>
    </w:p>
    <w:p w14:paraId="7BD1958E" w14:textId="140CE891" w:rsidR="002F43C5" w:rsidRPr="00BE3726" w:rsidRDefault="00EA313F" w:rsidP="0015645C">
      <w:pPr>
        <w:pStyle w:val="Reference"/>
      </w:pPr>
      <w:bookmarkStart w:id="18" w:name="_Ref473896381"/>
      <w:r>
        <w:t>C</w:t>
      </w:r>
      <w:r w:rsidR="003579EB">
        <w:t>hairman’s N</w:t>
      </w:r>
      <w:r w:rsidR="009C3520">
        <w:t xml:space="preserve">otes, 3GPP TSG RAN WG1 Meeting#87 </w:t>
      </w:r>
      <w:bookmarkEnd w:id="8"/>
      <w:bookmarkEnd w:id="18"/>
      <w:r w:rsidR="009C3520">
        <w:t>ad-hoc</w:t>
      </w:r>
      <w:bookmarkEnd w:id="9"/>
      <w:bookmarkEnd w:id="10"/>
      <w:bookmarkEnd w:id="11"/>
      <w:bookmarkEnd w:id="12"/>
      <w:bookmarkEnd w:id="13"/>
      <w:bookmarkEnd w:id="14"/>
    </w:p>
    <w:sectPr w:rsidR="002F43C5" w:rsidRPr="00BE372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75AB" w14:textId="77777777" w:rsidR="00C765AC" w:rsidRDefault="00C765AC">
      <w:r>
        <w:separator/>
      </w:r>
    </w:p>
  </w:endnote>
  <w:endnote w:type="continuationSeparator" w:id="0">
    <w:p w14:paraId="57B00297" w14:textId="77777777" w:rsidR="00C765AC" w:rsidRDefault="00C765AC">
      <w:r>
        <w:continuationSeparator/>
      </w:r>
    </w:p>
  </w:endnote>
  <w:endnote w:type="continuationNotice" w:id="1">
    <w:p w14:paraId="05704FB8" w14:textId="77777777" w:rsidR="00C765AC" w:rsidRDefault="00C7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4C07EA0"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42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23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FFA2D" w14:textId="77777777" w:rsidR="00C765AC" w:rsidRDefault="00C765AC">
      <w:r>
        <w:separator/>
      </w:r>
    </w:p>
  </w:footnote>
  <w:footnote w:type="continuationSeparator" w:id="0">
    <w:p w14:paraId="519B0ABE" w14:textId="77777777" w:rsidR="00C765AC" w:rsidRDefault="00C765AC">
      <w:r>
        <w:continuationSeparator/>
      </w:r>
    </w:p>
  </w:footnote>
  <w:footnote w:type="continuationNotice" w:id="1">
    <w:p w14:paraId="1BE6A389" w14:textId="77777777" w:rsidR="00C765AC" w:rsidRDefault="00C76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6"/>
  </w:num>
  <w:num w:numId="8">
    <w:abstractNumId w:val="7"/>
  </w:num>
  <w:num w:numId="9">
    <w:abstractNumId w:val="15"/>
  </w:num>
  <w:num w:numId="10">
    <w:abstractNumId w:val="3"/>
  </w:num>
  <w:num w:numId="11">
    <w:abstractNumId w:val="1"/>
  </w:num>
  <w:num w:numId="12">
    <w:abstractNumId w:val="2"/>
  </w:num>
  <w:num w:numId="13">
    <w:abstractNumId w:val="18"/>
  </w:num>
  <w:num w:numId="14">
    <w:abstractNumId w:val="9"/>
  </w:num>
  <w:num w:numId="15">
    <w:abstractNumId w:val="4"/>
  </w:num>
  <w:num w:numId="16">
    <w:abstractNumId w:val="17"/>
  </w:num>
  <w:num w:numId="17">
    <w:abstractNumId w:val="11"/>
  </w:num>
  <w:num w:numId="18">
    <w:abstractNumId w:val="5"/>
  </w:num>
  <w:num w:numId="19">
    <w:abstractNumId w:val="13"/>
  </w:num>
  <w:num w:numId="2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45C"/>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754"/>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2B53"/>
    <w:rsid w:val="00452CAC"/>
    <w:rsid w:val="00457565"/>
    <w:rsid w:val="00457B71"/>
    <w:rsid w:val="004669E2"/>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23E"/>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337"/>
    <w:rsid w:val="0060283C"/>
    <w:rsid w:val="00604F14"/>
    <w:rsid w:val="00611B83"/>
    <w:rsid w:val="00613257"/>
    <w:rsid w:val="00617C2C"/>
    <w:rsid w:val="00620A71"/>
    <w:rsid w:val="00620D80"/>
    <w:rsid w:val="00621B29"/>
    <w:rsid w:val="006234A6"/>
    <w:rsid w:val="006238D8"/>
    <w:rsid w:val="0062431E"/>
    <w:rsid w:val="00624B66"/>
    <w:rsid w:val="00625728"/>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49CB"/>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0004"/>
    <w:rsid w:val="00931BD9"/>
    <w:rsid w:val="0093544A"/>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6FB"/>
    <w:rsid w:val="009A0FBA"/>
    <w:rsid w:val="009A1601"/>
    <w:rsid w:val="009A4572"/>
    <w:rsid w:val="009A462D"/>
    <w:rsid w:val="009A5835"/>
    <w:rsid w:val="009A5CBA"/>
    <w:rsid w:val="009B1990"/>
    <w:rsid w:val="009B1F30"/>
    <w:rsid w:val="009B3AC2"/>
    <w:rsid w:val="009B4DF4"/>
    <w:rsid w:val="009B4FF0"/>
    <w:rsid w:val="009B564E"/>
    <w:rsid w:val="009B7E87"/>
    <w:rsid w:val="009C11C1"/>
    <w:rsid w:val="009C2D17"/>
    <w:rsid w:val="009C3520"/>
    <w:rsid w:val="009C403E"/>
    <w:rsid w:val="009C5D6A"/>
    <w:rsid w:val="009D475A"/>
    <w:rsid w:val="009D4FF0"/>
    <w:rsid w:val="009D60A6"/>
    <w:rsid w:val="009D6F94"/>
    <w:rsid w:val="009D703C"/>
    <w:rsid w:val="009D718F"/>
    <w:rsid w:val="009E068F"/>
    <w:rsid w:val="009E14E0"/>
    <w:rsid w:val="009E35DB"/>
    <w:rsid w:val="009E47A3"/>
    <w:rsid w:val="009E6849"/>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15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FE1"/>
    <w:rsid w:val="00C47B3C"/>
    <w:rsid w:val="00C5028B"/>
    <w:rsid w:val="00C543E6"/>
    <w:rsid w:val="00C54995"/>
    <w:rsid w:val="00C54D41"/>
    <w:rsid w:val="00C57688"/>
    <w:rsid w:val="00C57B03"/>
    <w:rsid w:val="00C60783"/>
    <w:rsid w:val="00C61DA0"/>
    <w:rsid w:val="00C64672"/>
    <w:rsid w:val="00C66FD4"/>
    <w:rsid w:val="00C704D9"/>
    <w:rsid w:val="00C70697"/>
    <w:rsid w:val="00C72EF4"/>
    <w:rsid w:val="00C73DD5"/>
    <w:rsid w:val="00C75D2F"/>
    <w:rsid w:val="00C765AC"/>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CE9"/>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06842"/>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5NUHHDQN7SK2-1-114365</_dlc_DocId>
    <_dlc_DocIdUrl xmlns="08b2df90-05d3-4030-90d4-c9feeb4a1cd9">
      <Url>https://ericoll.internal.ericsson.com/sites/STAR/_layouts/DocIdRedir.aspx?ID=5NUHHDQN7SK2-1-114365</Url>
      <Description>5NUHHDQN7SK2-1-114365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file>

<file path=customXml/itemProps2.xml><?xml version="1.0" encoding="utf-8"?>
<ds:datastoreItem xmlns:ds="http://schemas.openxmlformats.org/officeDocument/2006/customXml" ds:itemID="{7D5EBA1F-9572-4081-BE8D-BA994752E804}"/>
</file>

<file path=customXml/itemProps3.xml><?xml version="1.0" encoding="utf-8"?>
<ds:datastoreItem xmlns:ds="http://schemas.openxmlformats.org/officeDocument/2006/customXml" ds:itemID="{6979AB85-48EB-4851-8F67-6B2640DED805}"/>
</file>

<file path=customXml/itemProps4.xml><?xml version="1.0" encoding="utf-8"?>
<ds:datastoreItem xmlns:ds="http://schemas.openxmlformats.org/officeDocument/2006/customXml" ds:itemID="{FCE6CB99-58BA-4926-9784-E27CA59E4392}"/>
</file>

<file path=customXml/itemProps5.xml><?xml version="1.0" encoding="utf-8"?>
<ds:datastoreItem xmlns:ds="http://schemas.openxmlformats.org/officeDocument/2006/customXml" ds:itemID="{2E33E1AB-6DE7-4875-9F29-551655435112}"/>
</file>

<file path=customXml/itemProps6.xml><?xml version="1.0" encoding="utf-8"?>
<ds:datastoreItem xmlns:ds="http://schemas.openxmlformats.org/officeDocument/2006/customXml" ds:itemID="{EBC454EA-1AAC-495C-890A-619F29AA8CE6}"/>
</file>

<file path=customXml/itemProps7.xml><?xml version="1.0" encoding="utf-8"?>
<ds:datastoreItem xmlns:ds="http://schemas.openxmlformats.org/officeDocument/2006/customXml" ds:itemID="{D8C2942F-34AA-4524-AE28-0BE10A1FB24B}"/>
</file>

<file path=docProps/app.xml><?xml version="1.0" encoding="utf-8"?>
<Properties xmlns="http://schemas.openxmlformats.org/officeDocument/2006/extended-properties" xmlns:vt="http://schemas.openxmlformats.org/officeDocument/2006/docPropsVTypes">
  <Template>R2-15xxxx - Contribution template</Template>
  <TotalTime>7</TotalTime>
  <Pages>5</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Thomas Cheng</cp:lastModifiedBy>
  <cp:revision>8</cp:revision>
  <cp:lastPrinted>2008-01-31T07:09:00Z</cp:lastPrinted>
  <dcterms:created xsi:type="dcterms:W3CDTF">2017-02-07T04:54:00Z</dcterms:created>
  <dcterms:modified xsi:type="dcterms:W3CDTF">2017-03-25T01:00:00Z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db2e5e65-8456-42f7-9689-e7e14c03efc3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