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6F33D04E" w:rsidR="00D42D5D" w:rsidRDefault="009F3C5F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88bis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="00D42D5D"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1B4BDA">
        <w:rPr>
          <w:rFonts w:ascii="Arial" w:hAnsi="Arial" w:cs="Arial"/>
          <w:b/>
          <w:sz w:val="24"/>
          <w:szCs w:val="24"/>
        </w:rPr>
        <w:t>1705602</w:t>
      </w:r>
    </w:p>
    <w:p w14:paraId="43B7F879" w14:textId="17157CA5" w:rsidR="00D1303E" w:rsidRPr="00FD021C" w:rsidRDefault="008D793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April </w:t>
      </w:r>
      <w:r w:rsidR="00AC00EB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D1303E" w:rsidRPr="00AF0112">
        <w:rPr>
          <w:rFonts w:ascii="Arial" w:hAnsi="Arial" w:cs="Arial"/>
          <w:b/>
          <w:sz w:val="24"/>
          <w:szCs w:val="24"/>
        </w:rPr>
        <w:t xml:space="preserve"> – </w:t>
      </w:r>
      <w:r w:rsidR="00AC00EB">
        <w:rPr>
          <w:rFonts w:ascii="Arial" w:hAnsi="Arial" w:cs="Arial"/>
          <w:b/>
          <w:sz w:val="24"/>
          <w:szCs w:val="24"/>
        </w:rPr>
        <w:t>7</w:t>
      </w:r>
      <w:r w:rsidR="00CA6BDF" w:rsidRPr="00AF0112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CA6BDF" w:rsidRPr="00AF0112">
        <w:rPr>
          <w:rFonts w:ascii="Arial" w:hAnsi="Arial" w:cs="Arial"/>
          <w:b/>
          <w:sz w:val="24"/>
          <w:szCs w:val="24"/>
        </w:rPr>
        <w:t>201</w:t>
      </w:r>
      <w:r w:rsidR="00AC00EB">
        <w:rPr>
          <w:rFonts w:ascii="Arial" w:hAnsi="Arial" w:cs="Arial"/>
          <w:b/>
          <w:sz w:val="24"/>
          <w:szCs w:val="24"/>
        </w:rPr>
        <w:t>7</w:t>
      </w:r>
    </w:p>
    <w:p w14:paraId="43B7F87A" w14:textId="6D59CB5A" w:rsidR="00D1303E" w:rsidRPr="00FD021C" w:rsidRDefault="008D7939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WA, USA</w:t>
      </w:r>
    </w:p>
    <w:p w14:paraId="43B7F87B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43B7F87C" w14:textId="0BAC2445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414F6B">
        <w:rPr>
          <w:rFonts w:ascii="Arial" w:hAnsi="Arial"/>
          <w:sz w:val="24"/>
        </w:rPr>
        <w:t>8.1.3.1.</w:t>
      </w:r>
      <w:r w:rsidR="007572E3">
        <w:rPr>
          <w:rFonts w:ascii="Arial" w:hAnsi="Arial"/>
          <w:sz w:val="24"/>
        </w:rPr>
        <w:t>2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53035C92" w:rsidR="00C10599" w:rsidRPr="000A64D8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7572E3">
        <w:rPr>
          <w:rFonts w:ascii="Arial" w:hAnsi="Arial"/>
          <w:sz w:val="24"/>
        </w:rPr>
        <w:t>Non-contiguous frequency allocation</w:t>
      </w:r>
      <w:r w:rsidR="00414F6B" w:rsidRPr="00B20128">
        <w:rPr>
          <w:rFonts w:ascii="Arial" w:hAnsi="Arial"/>
          <w:sz w:val="24"/>
        </w:rPr>
        <w:t xml:space="preserve"> for PDCCH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6538024B" w:rsidR="004503F9" w:rsidRDefault="004503F9" w:rsidP="004503F9">
      <w:pPr>
        <w:pStyle w:val="Heading1"/>
      </w:pPr>
      <w:r w:rsidRPr="00183CB7">
        <w:t>Introduction</w:t>
      </w:r>
    </w:p>
    <w:p w14:paraId="7D46A47F" w14:textId="5AF160C0" w:rsidR="00A847B7" w:rsidRPr="00D94732" w:rsidRDefault="00A847B7" w:rsidP="008D7939">
      <w:pPr>
        <w:rPr>
          <w:lang w:val="en-GB"/>
        </w:rPr>
      </w:pPr>
      <w:r>
        <w:rPr>
          <w:lang w:val="en-GB"/>
        </w:rPr>
        <w:t xml:space="preserve">In the last </w:t>
      </w:r>
      <w:r w:rsidR="008D7939">
        <w:rPr>
          <w:lang w:val="en-GB"/>
        </w:rPr>
        <w:t>meeting</w:t>
      </w:r>
      <w:r w:rsidR="00F67C43">
        <w:rPr>
          <w:lang w:val="en-GB"/>
        </w:rPr>
        <w:t xml:space="preserve"> [1]</w:t>
      </w:r>
      <w:r w:rsidR="008D7939">
        <w:rPr>
          <w:lang w:val="en-GB"/>
        </w:rPr>
        <w:t>,</w:t>
      </w:r>
      <w:r>
        <w:rPr>
          <w:lang w:val="en-GB"/>
        </w:rPr>
        <w:t xml:space="preserve"> </w:t>
      </w:r>
      <w:r w:rsidR="008D7939">
        <w:rPr>
          <w:lang w:val="en-GB"/>
        </w:rPr>
        <w:t>aspects of mapping NR-PDCCH over frequency were discussed. Below are the agreements.</w:t>
      </w:r>
      <w:r w:rsidR="00D94732">
        <w:rPr>
          <w:lang w:val="en-GB"/>
        </w:rPr>
        <w:t xml:space="preserve"> </w:t>
      </w:r>
    </w:p>
    <w:p w14:paraId="11545417" w14:textId="77777777" w:rsidR="003C7106" w:rsidRPr="00AF1296" w:rsidRDefault="003C7106" w:rsidP="003C7106">
      <w:pPr>
        <w:rPr>
          <w:rFonts w:eastAsia="MS Mincho"/>
          <w:lang w:eastAsia="ja-JP"/>
        </w:rPr>
      </w:pPr>
      <w:r w:rsidRPr="00AF1296">
        <w:rPr>
          <w:rFonts w:eastAsia="MS Mincho"/>
          <w:highlight w:val="green"/>
          <w:lang w:eastAsia="ja-JP"/>
        </w:rPr>
        <w:t>Agreements</w:t>
      </w:r>
      <w:r w:rsidRPr="00AF1296">
        <w:rPr>
          <w:rFonts w:eastAsia="MS Mincho"/>
          <w:lang w:eastAsia="ja-JP"/>
        </w:rPr>
        <w:t>:</w:t>
      </w:r>
    </w:p>
    <w:p w14:paraId="6B2AB0A6" w14:textId="77777777" w:rsidR="003C7106" w:rsidRPr="00AF1296" w:rsidRDefault="003C7106" w:rsidP="003C7106">
      <w:pPr>
        <w:pStyle w:val="ListParagraph"/>
        <w:numPr>
          <w:ilvl w:val="0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>NR-PDCCH can be mapped contiguously or non-contiguously in frequency</w:t>
      </w:r>
    </w:p>
    <w:p w14:paraId="5FC7B648" w14:textId="77777777" w:rsidR="003C7106" w:rsidRPr="00AF1296" w:rsidRDefault="003C7106" w:rsidP="003C7106">
      <w:pPr>
        <w:pStyle w:val="ListParagraph"/>
        <w:numPr>
          <w:ilvl w:val="0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>The following may be considered to achieve the above (in the physical domain)</w:t>
      </w:r>
    </w:p>
    <w:p w14:paraId="0BA8CA3E" w14:textId="77777777" w:rsidR="003C7106" w:rsidRPr="00AF1296" w:rsidRDefault="003C7106" w:rsidP="003C7106">
      <w:pPr>
        <w:pStyle w:val="ListParagraph"/>
        <w:numPr>
          <w:ilvl w:val="1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 xml:space="preserve">Option 1: Localized or distributed mapping of REGs to a CCE. </w:t>
      </w:r>
    </w:p>
    <w:p w14:paraId="65635715" w14:textId="77777777" w:rsidR="003C7106" w:rsidRPr="00AF1296" w:rsidRDefault="003C7106" w:rsidP="003C7106">
      <w:pPr>
        <w:pStyle w:val="ListParagraph"/>
        <w:numPr>
          <w:ilvl w:val="1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>Option 2: Localized mapping of REGs to a CCE. Localized or distributed mapping of CCEs when multiple CCEs are needed for an NR-PDCCH</w:t>
      </w:r>
    </w:p>
    <w:p w14:paraId="2F10A110" w14:textId="77777777" w:rsidR="003C7106" w:rsidRPr="00AF1296" w:rsidRDefault="003C7106" w:rsidP="003C7106">
      <w:pPr>
        <w:pStyle w:val="ListParagraph"/>
        <w:numPr>
          <w:ilvl w:val="1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>Down-selection between Opt 1 and Opt 2 should be further discussed</w:t>
      </w:r>
    </w:p>
    <w:p w14:paraId="6C94AE26" w14:textId="6EEB56E5" w:rsidR="009D4939" w:rsidRPr="00F82782" w:rsidRDefault="003C7106" w:rsidP="00044A20">
      <w:pPr>
        <w:pStyle w:val="ListParagraph"/>
        <w:numPr>
          <w:ilvl w:val="2"/>
          <w:numId w:val="18"/>
        </w:numPr>
        <w:spacing w:after="200" w:line="276" w:lineRule="auto"/>
        <w:contextualSpacing/>
        <w:rPr>
          <w:szCs w:val="20"/>
        </w:rPr>
      </w:pPr>
      <w:r w:rsidRPr="00AF1296">
        <w:rPr>
          <w:szCs w:val="20"/>
        </w:rPr>
        <w:t>Companies are encouraged to perform evaluations considering aspects such as channel estimation, frequency diversity, impact of resource reuse for NR-PDSCH, etc., especially for one CCE case</w:t>
      </w:r>
    </w:p>
    <w:p w14:paraId="0D641404" w14:textId="4236608A" w:rsidR="00E57623" w:rsidRDefault="00663F72" w:rsidP="00C9638E">
      <w:pPr>
        <w:pStyle w:val="Heading1"/>
      </w:pPr>
      <w:r>
        <w:t>Discussion</w:t>
      </w:r>
    </w:p>
    <w:p w14:paraId="20465873" w14:textId="4B578600" w:rsidR="00B720C6" w:rsidRDefault="003C6BF6" w:rsidP="00B720C6">
      <w:pPr>
        <w:rPr>
          <w:sz w:val="22"/>
          <w:lang w:val="en-GB"/>
        </w:rPr>
      </w:pPr>
      <w:r>
        <w:rPr>
          <w:sz w:val="22"/>
          <w:lang w:val="en-GB"/>
        </w:rPr>
        <w:t>We study the performance of localized vs distributed mapping of REGs to CCE.  We present results for the 1 CCE case. In our study, we considered a CCE size of 6 PRB. A CCE is divided into</w:t>
      </w:r>
      <w:r w:rsidR="002C6147">
        <w:rPr>
          <w:sz w:val="22"/>
          <w:lang w:val="en-GB"/>
        </w:rPr>
        <w:t xml:space="preserve"> </w:t>
      </w:r>
      <m:oMath>
        <m:r>
          <w:rPr>
            <w:rFonts w:ascii="Cambria Math" w:hAnsi="Cambria Math"/>
            <w:sz w:val="22"/>
            <w:lang w:val="en-GB"/>
          </w:rPr>
          <m:t>6/N</m:t>
        </m:r>
      </m:oMath>
      <w:r>
        <w:rPr>
          <w:sz w:val="22"/>
          <w:lang w:val="en-GB"/>
        </w:rPr>
        <w:t xml:space="preserve"> N</w:t>
      </w:r>
      <w:r w:rsidR="002C6147">
        <w:rPr>
          <w:sz w:val="22"/>
          <w:lang w:val="en-GB"/>
        </w:rPr>
        <w:t>-</w:t>
      </w:r>
      <w:r>
        <w:rPr>
          <w:sz w:val="22"/>
          <w:lang w:val="en-GB"/>
        </w:rPr>
        <w:t>PRB</w:t>
      </w:r>
      <w:r w:rsidR="002C6147">
        <w:rPr>
          <w:sz w:val="22"/>
          <w:lang w:val="en-GB"/>
        </w:rPr>
        <w:t xml:space="preserve"> bundles</w:t>
      </w:r>
      <w:r>
        <w:rPr>
          <w:sz w:val="22"/>
          <w:lang w:val="en-GB"/>
        </w:rPr>
        <w:t xml:space="preserve">, </w:t>
      </w:r>
      <w:proofErr w:type="gramStart"/>
      <w:r>
        <w:rPr>
          <w:sz w:val="22"/>
          <w:lang w:val="en-GB"/>
        </w:rPr>
        <w:t xml:space="preserve">where </w:t>
      </w:r>
      <w:proofErr w:type="gramEnd"/>
      <m:oMath>
        <m:r>
          <w:rPr>
            <w:rFonts w:ascii="Cambria Math" w:hAnsi="Cambria Math"/>
            <w:sz w:val="22"/>
            <w:lang w:val="en-GB"/>
          </w:rPr>
          <m:t xml:space="preserve">N∈{2,3,6} </m:t>
        </m:r>
      </m:oMath>
      <w:r w:rsidR="002C6147">
        <w:rPr>
          <w:sz w:val="22"/>
          <w:lang w:val="en-GB"/>
        </w:rPr>
        <w:t xml:space="preserve">. An N-PRB bundle consists of N PRBS mapped contiguously in frequency. Each of the N-PRB bundle is spread out uniformly over the </w:t>
      </w:r>
      <w:r w:rsidR="0073335E">
        <w:rPr>
          <w:sz w:val="22"/>
          <w:lang w:val="en-GB"/>
        </w:rPr>
        <w:t>control resource set (</w:t>
      </w:r>
      <w:r w:rsidR="002C6147">
        <w:rPr>
          <w:sz w:val="22"/>
          <w:lang w:val="en-GB"/>
        </w:rPr>
        <w:t>CORESET</w:t>
      </w:r>
      <w:r w:rsidR="0073335E">
        <w:rPr>
          <w:sz w:val="22"/>
          <w:lang w:val="en-GB"/>
        </w:rPr>
        <w:t>)</w:t>
      </w:r>
      <w:r>
        <w:rPr>
          <w:sz w:val="22"/>
          <w:lang w:val="en-GB"/>
        </w:rPr>
        <w:t xml:space="preserve">. </w:t>
      </w:r>
      <m:oMath>
        <m:r>
          <w:rPr>
            <w:rFonts w:ascii="Cambria Math" w:hAnsi="Cambria Math"/>
            <w:sz w:val="22"/>
            <w:lang w:val="en-GB"/>
          </w:rPr>
          <m:t>N=6</m:t>
        </m:r>
      </m:oMath>
      <w:r>
        <w:rPr>
          <w:sz w:val="22"/>
          <w:lang w:val="en-GB"/>
        </w:rPr>
        <w:t xml:space="preserve"> </w:t>
      </w:r>
      <w:proofErr w:type="gramStart"/>
      <w:r>
        <w:rPr>
          <w:sz w:val="22"/>
          <w:lang w:val="en-GB"/>
        </w:rPr>
        <w:t>corresponds</w:t>
      </w:r>
      <w:proofErr w:type="gramEnd"/>
      <w:r>
        <w:rPr>
          <w:sz w:val="22"/>
          <w:lang w:val="en-GB"/>
        </w:rPr>
        <w:t xml:space="preserve"> to localized mapping of CCE to REG, while the other cases correspond to distributed mapping of CCE to REGs. Channel estimation was performed assuming bundling over </w:t>
      </w:r>
      <m:oMath>
        <m:r>
          <w:rPr>
            <w:rFonts w:ascii="Cambria Math" w:hAnsi="Cambria Math"/>
            <w:sz w:val="22"/>
            <w:lang w:val="en-GB"/>
          </w:rPr>
          <m:t>N</m:t>
        </m:r>
      </m:oMath>
      <w:r>
        <w:rPr>
          <w:sz w:val="22"/>
          <w:lang w:val="en-GB"/>
        </w:rPr>
        <w:t xml:space="preserve"> PRBs. </w:t>
      </w:r>
      <w:r w:rsidR="0073335E">
        <w:rPr>
          <w:sz w:val="22"/>
          <w:lang w:val="en-GB"/>
        </w:rPr>
        <w:t>Table 1</w:t>
      </w:r>
      <w:r w:rsidR="002C6147">
        <w:rPr>
          <w:sz w:val="22"/>
          <w:lang w:val="en-GB"/>
        </w:rPr>
        <w:t xml:space="preserve"> captures the </w:t>
      </w:r>
      <w:r w:rsidR="00082B5A">
        <w:rPr>
          <w:sz w:val="22"/>
          <w:lang w:val="en-GB"/>
        </w:rPr>
        <w:t>simulations assumptions for our study.</w:t>
      </w:r>
    </w:p>
    <w:p w14:paraId="6E20BE3F" w14:textId="77777777" w:rsidR="00082B5A" w:rsidRPr="00B720C6" w:rsidRDefault="00082B5A" w:rsidP="00B720C6">
      <w:pPr>
        <w:rPr>
          <w:sz w:val="22"/>
          <w:lang w:val="en-GB"/>
        </w:rPr>
      </w:pPr>
    </w:p>
    <w:p w14:paraId="18136204" w14:textId="19C9E098" w:rsidR="0073335E" w:rsidRDefault="0073335E" w:rsidP="0073335E">
      <w:pPr>
        <w:pStyle w:val="Caption"/>
        <w:keepNext/>
      </w:pPr>
      <w:r>
        <w:t xml:space="preserve">Table </w:t>
      </w:r>
      <w:r w:rsidR="00EF5B9A">
        <w:fldChar w:fldCharType="begin"/>
      </w:r>
      <w:r w:rsidR="00EF5B9A">
        <w:instrText xml:space="preserve"> SEQ Table \* ARABIC </w:instrText>
      </w:r>
      <w:r w:rsidR="00EF5B9A">
        <w:fldChar w:fldCharType="separate"/>
      </w:r>
      <w:r>
        <w:rPr>
          <w:noProof/>
        </w:rPr>
        <w:t>1</w:t>
      </w:r>
      <w:r w:rsidR="00EF5B9A">
        <w:rPr>
          <w:noProof/>
        </w:rPr>
        <w:fldChar w:fldCharType="end"/>
      </w:r>
      <w:r>
        <w:t>: Evaluation assumptions</w:t>
      </w:r>
    </w:p>
    <w:tbl>
      <w:tblPr>
        <w:tblStyle w:val="GridTable4-Accent1"/>
        <w:tblW w:w="9355" w:type="dxa"/>
        <w:jc w:val="center"/>
        <w:tblInd w:w="0" w:type="dxa"/>
        <w:tblLook w:val="0420" w:firstRow="1" w:lastRow="0" w:firstColumn="0" w:lastColumn="0" w:noHBand="0" w:noVBand="1"/>
      </w:tblPr>
      <w:tblGrid>
        <w:gridCol w:w="3685"/>
        <w:gridCol w:w="5670"/>
      </w:tblGrid>
      <w:tr w:rsidR="00864011" w14:paraId="0C6C998E" w14:textId="77777777" w:rsidTr="00850C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"/>
          <w:jc w:val="center"/>
        </w:trPr>
        <w:tc>
          <w:tcPr>
            <w:tcW w:w="3685" w:type="dxa"/>
            <w:hideMark/>
          </w:tcPr>
          <w:p w14:paraId="14BB7122" w14:textId="77777777" w:rsidR="00864011" w:rsidRPr="004B32E8" w:rsidRDefault="00864011">
            <w:pPr>
              <w:spacing w:after="0"/>
              <w:jc w:val="center"/>
              <w:rPr>
                <w:rFonts w:cs="Times New Roman"/>
                <w:b w:val="0"/>
                <w:szCs w:val="24"/>
              </w:rPr>
            </w:pPr>
            <w:r w:rsidRPr="004B32E8">
              <w:rPr>
                <w:rFonts w:cs="Times New Roman"/>
                <w:szCs w:val="24"/>
              </w:rPr>
              <w:t>Parameter</w:t>
            </w:r>
          </w:p>
        </w:tc>
        <w:tc>
          <w:tcPr>
            <w:tcW w:w="5670" w:type="dxa"/>
            <w:hideMark/>
          </w:tcPr>
          <w:p w14:paraId="75EFD288" w14:textId="77777777" w:rsidR="00864011" w:rsidRPr="004B32E8" w:rsidRDefault="00864011">
            <w:pPr>
              <w:spacing w:after="0"/>
              <w:jc w:val="center"/>
              <w:rPr>
                <w:rFonts w:cs="Times New Roman"/>
                <w:b w:val="0"/>
                <w:szCs w:val="24"/>
              </w:rPr>
            </w:pPr>
            <w:r w:rsidRPr="004B32E8">
              <w:rPr>
                <w:rFonts w:cs="Times New Roman"/>
                <w:szCs w:val="24"/>
              </w:rPr>
              <w:t>Value</w:t>
            </w:r>
          </w:p>
        </w:tc>
      </w:tr>
      <w:tr w:rsidR="00864011" w14:paraId="1DBA7C35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68EFB67" w14:textId="07952D4C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Channel profile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364F5D49" w14:textId="3B11F84A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 xml:space="preserve">TDL-C </w:t>
            </w:r>
            <w:r w:rsidR="00BC7949">
              <w:rPr>
                <w:rFonts w:cs="Times New Roman"/>
                <w:szCs w:val="24"/>
              </w:rPr>
              <w:t>30</w:t>
            </w:r>
            <w:r w:rsidRPr="004B32E8">
              <w:rPr>
                <w:rFonts w:cs="Times New Roman"/>
                <w:szCs w:val="24"/>
              </w:rPr>
              <w:t>ns</w:t>
            </w:r>
            <w:r w:rsidR="00BC7949">
              <w:rPr>
                <w:rFonts w:cs="Times New Roman"/>
                <w:szCs w:val="24"/>
              </w:rPr>
              <w:t>,</w:t>
            </w:r>
            <w:r w:rsidRPr="004B32E8">
              <w:rPr>
                <w:rFonts w:cs="Times New Roman"/>
                <w:szCs w:val="24"/>
              </w:rPr>
              <w:t xml:space="preserve"> 300ns</w:t>
            </w:r>
            <w:r w:rsidR="00B93BFA">
              <w:rPr>
                <w:rFonts w:cs="Times New Roman"/>
                <w:szCs w:val="24"/>
              </w:rPr>
              <w:t xml:space="preserve"> and </w:t>
            </w:r>
            <w:r w:rsidR="00BC7949">
              <w:rPr>
                <w:rFonts w:cs="Times New Roman"/>
                <w:szCs w:val="24"/>
              </w:rPr>
              <w:t>10</w:t>
            </w:r>
            <w:r w:rsidR="00B93BFA">
              <w:rPr>
                <w:rFonts w:cs="Times New Roman"/>
                <w:szCs w:val="24"/>
              </w:rPr>
              <w:t xml:space="preserve">00 </w:t>
            </w:r>
            <w:proofErr w:type="spellStart"/>
            <w:r w:rsidR="00B93BFA">
              <w:rPr>
                <w:rFonts w:cs="Times New Roman"/>
                <w:szCs w:val="24"/>
              </w:rPr>
              <w:t>nsec</w:t>
            </w:r>
            <w:proofErr w:type="spellEnd"/>
          </w:p>
        </w:tc>
      </w:tr>
      <w:tr w:rsidR="00864011" w14:paraId="77A92DBD" w14:textId="77777777" w:rsidTr="00850CAD">
        <w:trPr>
          <w:trHeight w:val="309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163BCA0F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Number of BTS antennas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EC35BE6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2</w:t>
            </w:r>
          </w:p>
        </w:tc>
      </w:tr>
      <w:tr w:rsidR="00864011" w14:paraId="798BFC3E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304CABCA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Number of UE antennas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8672F3D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2</w:t>
            </w:r>
          </w:p>
        </w:tc>
      </w:tr>
      <w:tr w:rsidR="00C5435A" w14:paraId="44BB6E3E" w14:textId="77777777" w:rsidTr="00850CAD">
        <w:trPr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580B3279" w14:textId="65811976" w:rsidR="00C5435A" w:rsidRPr="004B32E8" w:rsidRDefault="00C5435A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beamforming scheme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409C3C20" w14:textId="24BAB503" w:rsidR="00C5435A" w:rsidRPr="004B32E8" w:rsidRDefault="00C5435A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no beamforming</w:t>
            </w:r>
          </w:p>
        </w:tc>
      </w:tr>
      <w:tr w:rsidR="00864011" w14:paraId="14A1A84F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A58C280" w14:textId="5053083D" w:rsidR="00864011" w:rsidRPr="004B32E8" w:rsidRDefault="00850CAD" w:rsidP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Number of REGs(containing RS) for each CCE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A2A523D" w14:textId="77BC9C5E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 xml:space="preserve">6 REGs (1 REG = </w:t>
            </w:r>
            <w:r w:rsidR="0073335E" w:rsidRPr="004B32E8">
              <w:rPr>
                <w:rFonts w:cs="Times New Roman"/>
                <w:szCs w:val="24"/>
              </w:rPr>
              <w:t>1PR</w:t>
            </w:r>
            <w:r w:rsidR="0073335E">
              <w:rPr>
                <w:rFonts w:cs="Times New Roman"/>
                <w:szCs w:val="24"/>
              </w:rPr>
              <w:t>B</w:t>
            </w:r>
            <w:r w:rsidR="0073335E" w:rsidRPr="004B32E8">
              <w:rPr>
                <w:rFonts w:cs="Times New Roman"/>
                <w:szCs w:val="24"/>
              </w:rPr>
              <w:t xml:space="preserve"> </w:t>
            </w:r>
            <w:r w:rsidRPr="004B32E8">
              <w:rPr>
                <w:rFonts w:cs="Times New Roman"/>
                <w:szCs w:val="24"/>
              </w:rPr>
              <w:t>in a single OFDM symbol)</w:t>
            </w:r>
          </w:p>
        </w:tc>
      </w:tr>
      <w:tr w:rsidR="00864011" w14:paraId="067D9DD5" w14:textId="77777777" w:rsidTr="00850CAD">
        <w:trPr>
          <w:trHeight w:val="278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18C29061" w14:textId="2011CA1E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Number of symbols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7B299D1F" w14:textId="039AFBA8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1</w:t>
            </w:r>
          </w:p>
        </w:tc>
      </w:tr>
      <w:tr w:rsidR="00850CAD" w14:paraId="1639150F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250EC05A" w14:textId="26E9AA7B" w:rsidR="00850CAD" w:rsidRPr="004B32E8" w:rsidRDefault="00850CAD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lastRenderedPageBreak/>
              <w:t>subcarrier spacing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41F60560" w14:textId="02AE867D" w:rsidR="00850CAD" w:rsidRPr="004B32E8" w:rsidRDefault="00044A20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850CAD" w:rsidRPr="004B32E8">
              <w:rPr>
                <w:szCs w:val="24"/>
              </w:rPr>
              <w:t>KHz</w:t>
            </w:r>
          </w:p>
        </w:tc>
      </w:tr>
      <w:tr w:rsidR="00850CAD" w14:paraId="233BE30D" w14:textId="77777777" w:rsidTr="00850CAD">
        <w:trPr>
          <w:trHeight w:val="278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56CD6812" w14:textId="4B822D88" w:rsidR="00850CAD" w:rsidRPr="004B32E8" w:rsidRDefault="00850CAD" w:rsidP="00850CAD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CORESET BW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5903BC1F" w14:textId="7F54E326" w:rsidR="005C3858" w:rsidRPr="004B32E8" w:rsidRDefault="005C3858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17.28MHz</w:t>
            </w:r>
          </w:p>
          <w:p w14:paraId="211E51FC" w14:textId="10685527" w:rsidR="00850CAD" w:rsidRPr="004B32E8" w:rsidRDefault="00B93BFA" w:rsidP="00B93BF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1152 REs = 12*6*8*2</w:t>
            </w:r>
            <w:r w:rsidR="006552DA" w:rsidRPr="004B32E8">
              <w:rPr>
                <w:szCs w:val="24"/>
              </w:rPr>
              <w:t xml:space="preserve"> REs (can accommodate </w:t>
            </w:r>
            <w:r>
              <w:rPr>
                <w:szCs w:val="24"/>
              </w:rPr>
              <w:t>2</w:t>
            </w:r>
            <w:r w:rsidR="006552DA" w:rsidRPr="004B32E8">
              <w:rPr>
                <w:szCs w:val="24"/>
              </w:rPr>
              <w:t xml:space="preserve"> AL8)</w:t>
            </w:r>
          </w:p>
        </w:tc>
      </w:tr>
      <w:tr w:rsidR="00B93BFA" w14:paraId="7BFD871C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42881217" w14:textId="0CF6BE5D" w:rsidR="00B93BFA" w:rsidRPr="004B32E8" w:rsidRDefault="00B93BF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DCI Size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792ADA16" w14:textId="0B3CC654" w:rsidR="00B93BFA" w:rsidRDefault="00D94732" w:rsidP="00B93BF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20,</w:t>
            </w:r>
            <w:r w:rsidR="00082B5A">
              <w:rPr>
                <w:szCs w:val="24"/>
              </w:rPr>
              <w:t xml:space="preserve"> 30, 44, </w:t>
            </w:r>
            <w:r w:rsidR="00B93BFA">
              <w:rPr>
                <w:szCs w:val="24"/>
              </w:rPr>
              <w:t>60 (w CRC)</w:t>
            </w:r>
          </w:p>
        </w:tc>
      </w:tr>
      <w:tr w:rsidR="00864011" w14:paraId="191C78CE" w14:textId="77777777" w:rsidTr="00850CAD">
        <w:trPr>
          <w:trHeight w:val="70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1C1CB9B1" w14:textId="2F8ACECD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RS overhead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150C6F74" w14:textId="4E59B0F6" w:rsidR="00864011" w:rsidRPr="004B32E8" w:rsidRDefault="00850CAD" w:rsidP="00B93BFA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 xml:space="preserve"> 1/3 </w:t>
            </w:r>
          </w:p>
        </w:tc>
      </w:tr>
      <w:tr w:rsidR="00864011" w14:paraId="26684321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5915E143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Coding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537E113D" w14:textId="2E8C9594" w:rsidR="00864011" w:rsidRPr="004B32E8" w:rsidRDefault="00850CAD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TBCC list=1</w:t>
            </w:r>
          </w:p>
        </w:tc>
      </w:tr>
      <w:tr w:rsidR="00864011" w14:paraId="7BFA84C1" w14:textId="77777777" w:rsidTr="00850CAD">
        <w:trPr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0F7835A6" w14:textId="77777777" w:rsidR="00864011" w:rsidRPr="004B32E8" w:rsidRDefault="00864011">
            <w:pPr>
              <w:spacing w:after="0"/>
              <w:jc w:val="center"/>
              <w:rPr>
                <w:rFonts w:cs="Times New Roman"/>
                <w:szCs w:val="24"/>
              </w:rPr>
            </w:pPr>
            <w:r w:rsidRPr="004B32E8">
              <w:rPr>
                <w:rFonts w:cs="Times New Roman"/>
                <w:szCs w:val="24"/>
              </w:rPr>
              <w:t>Channel Estimation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hideMark/>
          </w:tcPr>
          <w:p w14:paraId="11AEDA54" w14:textId="2C9A200E" w:rsidR="00864011" w:rsidRPr="004B32E8" w:rsidRDefault="005B503E">
            <w:pPr>
              <w:spacing w:after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One shot </w:t>
            </w:r>
            <w:r w:rsidR="00B93BFA">
              <w:rPr>
                <w:rFonts w:cs="Times New Roman"/>
                <w:szCs w:val="24"/>
              </w:rPr>
              <w:t>MMSE</w:t>
            </w:r>
            <w:r w:rsidR="00D94732">
              <w:rPr>
                <w:rFonts w:cs="Times New Roman"/>
                <w:szCs w:val="24"/>
              </w:rPr>
              <w:t xml:space="preserve"> Channel Estimation</w:t>
            </w:r>
          </w:p>
        </w:tc>
      </w:tr>
      <w:tr w:rsidR="00850CAD" w14:paraId="6D71E1B4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4BFA81E9" w14:textId="44ECAC7A" w:rsidR="00850CAD" w:rsidRPr="004B32E8" w:rsidRDefault="00850CAD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Channel estimation bundle-size == minimum resource allocation unit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6456B530" w14:textId="19C7B158" w:rsidR="00850CAD" w:rsidRPr="004B32E8" w:rsidRDefault="00850CAD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2,3</w:t>
            </w:r>
            <w:r w:rsidR="00B93BFA">
              <w:rPr>
                <w:szCs w:val="24"/>
              </w:rPr>
              <w:t>,6</w:t>
            </w:r>
            <w:r w:rsidRPr="004B32E8">
              <w:rPr>
                <w:szCs w:val="24"/>
              </w:rPr>
              <w:t xml:space="preserve"> REGs (1REG = </w:t>
            </w:r>
            <w:r w:rsidR="0073335E" w:rsidRPr="004B32E8">
              <w:rPr>
                <w:szCs w:val="24"/>
              </w:rPr>
              <w:t>1PR</w:t>
            </w:r>
            <w:r w:rsidR="0073335E">
              <w:rPr>
                <w:szCs w:val="24"/>
              </w:rPr>
              <w:t>B</w:t>
            </w:r>
            <w:r w:rsidR="0073335E" w:rsidRPr="004B32E8">
              <w:rPr>
                <w:szCs w:val="24"/>
              </w:rPr>
              <w:t xml:space="preserve"> </w:t>
            </w:r>
            <w:r w:rsidRPr="004B32E8">
              <w:rPr>
                <w:szCs w:val="24"/>
              </w:rPr>
              <w:t>in a single OFDM symbol)</w:t>
            </w:r>
          </w:p>
        </w:tc>
      </w:tr>
      <w:tr w:rsidR="006552DA" w14:paraId="1B857242" w14:textId="77777777" w:rsidTr="00850CAD">
        <w:trPr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787AD75B" w14:textId="3DD054C0" w:rsidR="006552DA" w:rsidRPr="004B32E8" w:rsidRDefault="00923283" w:rsidP="006552D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Search S</w:t>
            </w:r>
            <w:r w:rsidR="006552DA" w:rsidRPr="004B32E8">
              <w:rPr>
                <w:szCs w:val="24"/>
              </w:rPr>
              <w:t>pace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1BA4C77B" w14:textId="4CB3F25D" w:rsidR="006552DA" w:rsidRPr="004B32E8" w:rsidRDefault="006552DA" w:rsidP="002A7DD2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distributed search space (the m</w:t>
            </w:r>
            <w:r w:rsidR="002A7DD2" w:rsidRPr="004B32E8">
              <w:rPr>
                <w:szCs w:val="24"/>
              </w:rPr>
              <w:t>inimum resource allocation units</w:t>
            </w:r>
            <w:r w:rsidR="00BB43C3" w:rsidRPr="004B32E8">
              <w:rPr>
                <w:szCs w:val="24"/>
              </w:rPr>
              <w:t xml:space="preserve"> for each aggregation level</w:t>
            </w:r>
            <w:r w:rsidR="002A7DD2" w:rsidRPr="004B32E8">
              <w:rPr>
                <w:szCs w:val="24"/>
              </w:rPr>
              <w:t xml:space="preserve"> are </w:t>
            </w:r>
            <w:r w:rsidRPr="004B32E8">
              <w:rPr>
                <w:szCs w:val="24"/>
              </w:rPr>
              <w:t>equally spread within the entire</w:t>
            </w:r>
            <w:r w:rsidR="00482BD8" w:rsidRPr="004B32E8">
              <w:rPr>
                <w:szCs w:val="24"/>
              </w:rPr>
              <w:t xml:space="preserve"> 17.28MHz</w:t>
            </w:r>
            <w:r w:rsidRPr="004B32E8">
              <w:rPr>
                <w:szCs w:val="24"/>
              </w:rPr>
              <w:t xml:space="preserve"> CORESET)</w:t>
            </w:r>
          </w:p>
        </w:tc>
      </w:tr>
      <w:tr w:rsidR="00C211C4" w14:paraId="6356F46A" w14:textId="77777777" w:rsidTr="00850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"/>
          <w:jc w:val="center"/>
        </w:trPr>
        <w:tc>
          <w:tcPr>
            <w:tcW w:w="368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53C417D8" w14:textId="6C166EB0" w:rsidR="00C211C4" w:rsidRPr="004B32E8" w:rsidRDefault="00C211C4" w:rsidP="00312ECE">
            <w:pPr>
              <w:spacing w:after="0"/>
              <w:jc w:val="center"/>
              <w:rPr>
                <w:szCs w:val="24"/>
              </w:rPr>
            </w:pPr>
            <w:r w:rsidRPr="004B32E8">
              <w:rPr>
                <w:szCs w:val="24"/>
              </w:rPr>
              <w:t>Amount of cyclic delay</w:t>
            </w:r>
            <w:r w:rsidR="00F71612" w:rsidRPr="004B32E8">
              <w:rPr>
                <w:szCs w:val="24"/>
              </w:rPr>
              <w:t xml:space="preserve"> in case of </w:t>
            </w:r>
            <w:r w:rsidR="00312ECE">
              <w:rPr>
                <w:szCs w:val="24"/>
              </w:rPr>
              <w:t>SCDD</w:t>
            </w:r>
          </w:p>
        </w:tc>
        <w:tc>
          <w:tcPr>
            <w:tcW w:w="5670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</w:tcPr>
          <w:p w14:paraId="24D39063" w14:textId="41DC7E70" w:rsidR="00C211C4" w:rsidRPr="004B32E8" w:rsidRDefault="00B93BFA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  <w:r w:rsidR="00F71612" w:rsidRPr="004B32E8">
              <w:rPr>
                <w:szCs w:val="24"/>
              </w:rPr>
              <w:t>00ns</w:t>
            </w:r>
          </w:p>
        </w:tc>
      </w:tr>
    </w:tbl>
    <w:p w14:paraId="67228734" w14:textId="5FD4DE11" w:rsidR="00AA1FB3" w:rsidRDefault="00AA1FB3" w:rsidP="00AA1FB3">
      <w:pPr>
        <w:rPr>
          <w:lang w:val="en-GB"/>
        </w:rPr>
      </w:pPr>
    </w:p>
    <w:p w14:paraId="6EEA3CCA" w14:textId="5B4C807B" w:rsidR="00ED3E14" w:rsidRPr="00ED3E14" w:rsidRDefault="003C7106" w:rsidP="00AA1FB3">
      <w:pPr>
        <w:pStyle w:val="Heading2"/>
      </w:pPr>
      <w:r>
        <w:t>Contiguous vs Non-Contiguous Freq</w:t>
      </w:r>
      <w:r w:rsidR="0073335E">
        <w:t>uency</w:t>
      </w:r>
      <w:r w:rsidR="00FB07D4">
        <w:t xml:space="preserve"> </w:t>
      </w:r>
      <w:r>
        <w:t>Allocation</w:t>
      </w:r>
    </w:p>
    <w:p w14:paraId="7768460A" w14:textId="409D597E" w:rsidR="0079244B" w:rsidRDefault="00082B5A" w:rsidP="003C7106">
      <w:pPr>
        <w:rPr>
          <w:sz w:val="22"/>
          <w:lang w:val="en-GB"/>
        </w:rPr>
      </w:pPr>
      <w:r>
        <w:rPr>
          <w:sz w:val="22"/>
          <w:lang w:val="en-GB"/>
        </w:rPr>
        <w:t xml:space="preserve">Based on </w:t>
      </w:r>
      <w:r w:rsidR="002C6147">
        <w:rPr>
          <w:sz w:val="22"/>
          <w:lang w:val="en-GB"/>
        </w:rPr>
        <w:t>the</w:t>
      </w:r>
      <w:r>
        <w:rPr>
          <w:sz w:val="22"/>
          <w:lang w:val="en-GB"/>
        </w:rPr>
        <w:t xml:space="preserve"> simulation results</w:t>
      </w:r>
      <w:r w:rsidR="005B503E">
        <w:rPr>
          <w:sz w:val="22"/>
          <w:lang w:val="en-GB"/>
        </w:rPr>
        <w:t xml:space="preserve"> for a single port transmit diversity scheme</w:t>
      </w:r>
      <w:r>
        <w:rPr>
          <w:sz w:val="22"/>
          <w:lang w:val="en-GB"/>
        </w:rPr>
        <w:t>, we have the following observations</w:t>
      </w:r>
    </w:p>
    <w:p w14:paraId="62753346" w14:textId="4371FBE0" w:rsidR="00082B5A" w:rsidRPr="000E7150" w:rsidRDefault="00082B5A" w:rsidP="003C7106">
      <w:pPr>
        <w:rPr>
          <w:i/>
          <w:sz w:val="22"/>
          <w:lang w:val="en-GB"/>
        </w:rPr>
      </w:pPr>
      <w:r w:rsidRPr="000E7150">
        <w:rPr>
          <w:b/>
          <w:i/>
          <w:sz w:val="22"/>
          <w:u w:val="single"/>
          <w:lang w:val="en-GB"/>
        </w:rPr>
        <w:t>Observation 1:</w:t>
      </w:r>
      <w:r w:rsidRPr="000E7150">
        <w:rPr>
          <w:i/>
          <w:sz w:val="22"/>
          <w:lang w:val="en-GB"/>
        </w:rPr>
        <w:t xml:space="preserve"> 2RB distributed mapping for CCE to REG, performs better than localized 6RB CCE to REG mapping </w:t>
      </w:r>
      <w:r w:rsidR="002D4CBD">
        <w:rPr>
          <w:i/>
          <w:sz w:val="22"/>
          <w:lang w:val="en-GB"/>
        </w:rPr>
        <w:t>across</w:t>
      </w:r>
      <w:r w:rsidRPr="000E7150">
        <w:rPr>
          <w:i/>
          <w:sz w:val="22"/>
          <w:lang w:val="en-GB"/>
        </w:rPr>
        <w:t xml:space="preserve"> almost all of the payloads and channel models studied</w:t>
      </w:r>
      <w:r w:rsidR="002D4CBD">
        <w:rPr>
          <w:i/>
          <w:sz w:val="22"/>
          <w:lang w:val="en-GB"/>
        </w:rPr>
        <w:t>.</w:t>
      </w:r>
    </w:p>
    <w:p w14:paraId="4D2497D9" w14:textId="2BB2BD98" w:rsidR="00082B5A" w:rsidRPr="000E7150" w:rsidRDefault="00082B5A" w:rsidP="00082B5A">
      <w:pPr>
        <w:rPr>
          <w:i/>
          <w:sz w:val="22"/>
          <w:lang w:val="en-GB"/>
        </w:rPr>
      </w:pPr>
      <w:r w:rsidRPr="000E7150">
        <w:rPr>
          <w:b/>
          <w:i/>
          <w:sz w:val="22"/>
          <w:u w:val="single"/>
          <w:lang w:val="en-GB"/>
        </w:rPr>
        <w:t>Observation 2:</w:t>
      </w:r>
      <w:r w:rsidRPr="000E7150">
        <w:rPr>
          <w:i/>
          <w:sz w:val="22"/>
          <w:lang w:val="en-GB"/>
        </w:rPr>
        <w:t xml:space="preserve"> 2RB distributed mapping for CCE to REG, has non-trivial gain compared to localized 6RB CCE to REG mapping in the following cases</w:t>
      </w:r>
      <w:r w:rsidR="002C1BE2" w:rsidRPr="000E7150">
        <w:rPr>
          <w:i/>
          <w:sz w:val="22"/>
          <w:lang w:val="en-GB"/>
        </w:rPr>
        <w:t xml:space="preserve"> at 1% PER point</w:t>
      </w:r>
    </w:p>
    <w:p w14:paraId="55C51CB0" w14:textId="0A39DCDF" w:rsidR="007C721F" w:rsidRPr="000E7150" w:rsidRDefault="00082B5A" w:rsidP="00082B5A">
      <w:pPr>
        <w:pStyle w:val="ListParagraph"/>
        <w:numPr>
          <w:ilvl w:val="0"/>
          <w:numId w:val="19"/>
        </w:numPr>
        <w:rPr>
          <w:i/>
        </w:rPr>
      </w:pPr>
      <w:r w:rsidRPr="000E7150">
        <w:rPr>
          <w:i/>
          <w:lang w:val="en-GB"/>
        </w:rPr>
        <w:t>At Payload size 20</w:t>
      </w:r>
      <w:r w:rsidR="007C721F" w:rsidRPr="000E7150">
        <w:rPr>
          <w:i/>
          <w:lang w:val="en-GB"/>
        </w:rPr>
        <w:t>:</w:t>
      </w:r>
      <w:r w:rsidRPr="000E7150">
        <w:rPr>
          <w:i/>
          <w:lang w:val="en-GB"/>
        </w:rPr>
        <w:t xml:space="preserve"> </w:t>
      </w:r>
      <w:r w:rsidR="007C721F" w:rsidRPr="000E7150">
        <w:rPr>
          <w:i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 xml:space="preserve">≈&gt;0.3dB </m:t>
        </m:r>
      </m:oMath>
      <w:r w:rsidRPr="000E7150">
        <w:rPr>
          <w:i/>
          <w:lang w:val="en-GB"/>
        </w:rPr>
        <w:t>gain at TDLC-</w:t>
      </w:r>
      <w:r w:rsidR="007C721F" w:rsidRPr="000E7150">
        <w:rPr>
          <w:i/>
          <w:lang w:val="en-GB"/>
        </w:rPr>
        <w:t>300</w:t>
      </w:r>
      <w:r w:rsidRPr="000E7150">
        <w:rPr>
          <w:i/>
          <w:lang w:val="en-GB"/>
        </w:rPr>
        <w:t xml:space="preserve">nsec and TDLC-1000 </w:t>
      </w:r>
      <w:proofErr w:type="spellStart"/>
      <w:r w:rsidRPr="000E7150">
        <w:rPr>
          <w:i/>
          <w:lang w:val="en-GB"/>
        </w:rPr>
        <w:t>nsec</w:t>
      </w:r>
      <w:proofErr w:type="spellEnd"/>
    </w:p>
    <w:p w14:paraId="3E5AACBA" w14:textId="522E2EDF" w:rsidR="007C721F" w:rsidRPr="000E7150" w:rsidRDefault="00082B5A" w:rsidP="007C721F">
      <w:pPr>
        <w:pStyle w:val="ListParagraph"/>
        <w:numPr>
          <w:ilvl w:val="0"/>
          <w:numId w:val="19"/>
        </w:numPr>
        <w:rPr>
          <w:i/>
          <w:lang w:val="en-GB"/>
        </w:rPr>
      </w:pPr>
      <w:r w:rsidRPr="000E7150">
        <w:rPr>
          <w:i/>
          <w:lang w:val="en-GB"/>
        </w:rPr>
        <w:t>At Payload size 30: 0.4dB gain for TDLC-300 and 0.67dB gain at TDL-C 1000nsec</w:t>
      </w:r>
    </w:p>
    <w:p w14:paraId="56E4422E" w14:textId="7E3CBB4F" w:rsidR="00E963D0" w:rsidRPr="00082B5A" w:rsidRDefault="00082B5A" w:rsidP="00082B5A">
      <w:pPr>
        <w:pStyle w:val="ListParagraph"/>
        <w:numPr>
          <w:ilvl w:val="0"/>
          <w:numId w:val="19"/>
        </w:numPr>
        <w:rPr>
          <w:b/>
          <w:lang w:val="en-GB"/>
        </w:rPr>
      </w:pPr>
      <w:r w:rsidRPr="000E7150">
        <w:rPr>
          <w:i/>
          <w:lang w:val="en-GB"/>
        </w:rPr>
        <w:t xml:space="preserve">At Payload size 44: 0.6dB gain for TDLC-300 </w:t>
      </w:r>
      <w:proofErr w:type="spellStart"/>
      <w:r w:rsidRPr="000E7150">
        <w:rPr>
          <w:i/>
          <w:lang w:val="en-GB"/>
        </w:rPr>
        <w:t>nsec</w:t>
      </w:r>
      <w:proofErr w:type="spellEnd"/>
    </w:p>
    <w:p w14:paraId="7C8CB7CC" w14:textId="77777777" w:rsidR="002C1BE2" w:rsidRDefault="002C1BE2" w:rsidP="00082B5A">
      <w:pPr>
        <w:rPr>
          <w:sz w:val="22"/>
          <w:szCs w:val="22"/>
          <w:lang w:val="en-GB"/>
        </w:rPr>
      </w:pPr>
    </w:p>
    <w:p w14:paraId="4D3D6F83" w14:textId="5482F157" w:rsidR="002C1BE2" w:rsidRPr="002C1BE2" w:rsidRDefault="002C1BE2" w:rsidP="00082B5A">
      <w:pPr>
        <w:rPr>
          <w:sz w:val="22"/>
          <w:szCs w:val="22"/>
          <w:lang w:val="en-GB"/>
        </w:rPr>
      </w:pPr>
      <w:r w:rsidRPr="002C1BE2">
        <w:rPr>
          <w:sz w:val="22"/>
          <w:szCs w:val="22"/>
          <w:lang w:val="en-GB"/>
        </w:rPr>
        <w:t>It</w:t>
      </w:r>
      <w:r>
        <w:rPr>
          <w:sz w:val="22"/>
          <w:szCs w:val="22"/>
          <w:lang w:val="en-GB"/>
        </w:rPr>
        <w:t xml:space="preserve"> should be noted, that 6RB bundled channel estimation has a higher complexity compared to 2RB bundled channel estimation. In spite of the increased complexity, there is a non-trivial performance loss in some channel models and payload sizes. </w:t>
      </w:r>
      <w:r w:rsidR="00662DD8">
        <w:rPr>
          <w:sz w:val="22"/>
          <w:szCs w:val="22"/>
          <w:lang w:val="en-GB"/>
        </w:rPr>
        <w:t>As observed above, the</w:t>
      </w:r>
      <w:r w:rsidR="00662DD8" w:rsidRPr="00662DD8">
        <w:rPr>
          <w:sz w:val="22"/>
          <w:szCs w:val="22"/>
          <w:lang w:val="en-GB"/>
        </w:rPr>
        <w:t xml:space="preserve"> main problem with option 2 is, for an aggregation level 1 decoding candidate, there is no frequency di</w:t>
      </w:r>
      <w:r w:rsidR="00662DD8">
        <w:rPr>
          <w:sz w:val="22"/>
          <w:szCs w:val="22"/>
          <w:lang w:val="en-GB"/>
        </w:rPr>
        <w:t>versity possible</w:t>
      </w:r>
      <w:r w:rsidR="00662DD8" w:rsidRPr="00662DD8">
        <w:rPr>
          <w:sz w:val="22"/>
          <w:szCs w:val="22"/>
          <w:lang w:val="en-GB"/>
        </w:rPr>
        <w:t xml:space="preserve">. On the other hand, if time-first CCE to REG mapping </w:t>
      </w:r>
      <w:r w:rsidR="00F02B2D">
        <w:rPr>
          <w:sz w:val="22"/>
          <w:szCs w:val="22"/>
          <w:lang w:val="en-GB"/>
        </w:rPr>
        <w:t xml:space="preserve">is </w:t>
      </w:r>
      <w:r w:rsidR="00662DD8" w:rsidRPr="00662DD8">
        <w:rPr>
          <w:sz w:val="22"/>
          <w:szCs w:val="22"/>
          <w:lang w:val="en-GB"/>
        </w:rPr>
        <w:t>adopted, in frequency domain, each CCE may not have more than one REG bundles. Then it is inevitable to have a localized CCE to REG mapping</w:t>
      </w:r>
      <w:r w:rsidR="00F02B2D">
        <w:rPr>
          <w:sz w:val="22"/>
          <w:szCs w:val="22"/>
          <w:lang w:val="en-GB"/>
        </w:rPr>
        <w:t xml:space="preserve"> in that case</w:t>
      </w:r>
      <w:r w:rsidR="00662DD8" w:rsidRPr="00662DD8">
        <w:rPr>
          <w:sz w:val="22"/>
          <w:szCs w:val="22"/>
          <w:lang w:val="en-GB"/>
        </w:rPr>
        <w:t xml:space="preserve">. We believe this is the only case that a localize CCE to REG mapping is used when we attempt to map NR-PDCCH non-contiguously in frequency domain. </w:t>
      </w:r>
      <w:r>
        <w:rPr>
          <w:sz w:val="22"/>
          <w:szCs w:val="22"/>
          <w:lang w:val="en-GB"/>
        </w:rPr>
        <w:t>Based on the above observations we have the following proposal.</w:t>
      </w:r>
    </w:p>
    <w:p w14:paraId="13FB22DC" w14:textId="1CEB45BA" w:rsidR="00662DD8" w:rsidRPr="0030305A" w:rsidRDefault="002C1BE2" w:rsidP="00D93D6B">
      <w:pPr>
        <w:pStyle w:val="bullet"/>
        <w:numPr>
          <w:ilvl w:val="0"/>
          <w:numId w:val="0"/>
        </w:numPr>
        <w:rPr>
          <w:b/>
        </w:rPr>
      </w:pPr>
      <w:r w:rsidRPr="000E7150">
        <w:rPr>
          <w:b/>
          <w:i/>
          <w:sz w:val="22"/>
          <w:szCs w:val="22"/>
          <w:u w:val="single"/>
        </w:rPr>
        <w:t>Proposal:</w:t>
      </w:r>
      <w:r w:rsidRPr="000E7150">
        <w:rPr>
          <w:i/>
          <w:sz w:val="22"/>
          <w:szCs w:val="22"/>
        </w:rPr>
        <w:t xml:space="preserve">  </w:t>
      </w:r>
      <w:r w:rsidR="00662DD8" w:rsidRPr="0030305A">
        <w:rPr>
          <w:b/>
        </w:rPr>
        <w:t>To support mapping NR-PDCCH non-contiguously in frequency domain</w:t>
      </w:r>
    </w:p>
    <w:p w14:paraId="2475101D" w14:textId="77777777" w:rsidR="00662DD8" w:rsidRPr="0030305A" w:rsidRDefault="00662DD8" w:rsidP="00D93D6B">
      <w:pPr>
        <w:pStyle w:val="bullet"/>
        <w:numPr>
          <w:ilvl w:val="0"/>
          <w:numId w:val="21"/>
        </w:numPr>
        <w:rPr>
          <w:b/>
        </w:rPr>
      </w:pPr>
      <w:r w:rsidRPr="0030305A">
        <w:rPr>
          <w:b/>
        </w:rPr>
        <w:t>When there are more than one REG bundles per CCE, distributed CCE to REG bundle mapping is used.</w:t>
      </w:r>
    </w:p>
    <w:p w14:paraId="39F7F93C" w14:textId="3EC7C929" w:rsidR="00662DD8" w:rsidRPr="0030305A" w:rsidRDefault="00662DD8" w:rsidP="00D93D6B">
      <w:pPr>
        <w:pStyle w:val="bullet"/>
        <w:numPr>
          <w:ilvl w:val="0"/>
          <w:numId w:val="21"/>
        </w:numPr>
        <w:rPr>
          <w:b/>
        </w:rPr>
      </w:pPr>
      <w:r w:rsidRPr="0030305A">
        <w:rPr>
          <w:b/>
        </w:rPr>
        <w:t xml:space="preserve">When there is only one REG bundle </w:t>
      </w:r>
      <w:r w:rsidR="00F02B2D">
        <w:rPr>
          <w:b/>
        </w:rPr>
        <w:t xml:space="preserve">available </w:t>
      </w:r>
      <w:r w:rsidRPr="0030305A">
        <w:rPr>
          <w:b/>
        </w:rPr>
        <w:t xml:space="preserve">per CCE, </w:t>
      </w:r>
      <w:r>
        <w:rPr>
          <w:b/>
        </w:rPr>
        <w:t>localized</w:t>
      </w:r>
      <w:r w:rsidRPr="0030305A">
        <w:rPr>
          <w:b/>
        </w:rPr>
        <w:t xml:space="preserve"> </w:t>
      </w:r>
      <w:r w:rsidR="00F02B2D">
        <w:rPr>
          <w:b/>
        </w:rPr>
        <w:t xml:space="preserve">CCE to REG bundle mapping is used and distributed </w:t>
      </w:r>
      <w:r w:rsidRPr="0030305A">
        <w:rPr>
          <w:b/>
        </w:rPr>
        <w:t>NR-PDCCH to CCE mapping is used.</w:t>
      </w:r>
    </w:p>
    <w:p w14:paraId="7AEACD04" w14:textId="0D922AEC" w:rsidR="00082B5A" w:rsidRPr="002C1BE2" w:rsidRDefault="00662DD8">
      <w:pPr>
        <w:rPr>
          <w:sz w:val="22"/>
          <w:szCs w:val="22"/>
          <w:u w:val="single"/>
          <w:lang w:val="en-GB"/>
        </w:rPr>
      </w:pPr>
      <w:r w:rsidRPr="000E7150" w:rsidDel="00662DD8">
        <w:rPr>
          <w:i/>
          <w:sz w:val="22"/>
          <w:szCs w:val="22"/>
          <w:lang w:val="en-GB"/>
        </w:rPr>
        <w:t xml:space="preserve"> </w:t>
      </w:r>
    </w:p>
    <w:p w14:paraId="43B7F891" w14:textId="77777777" w:rsidR="004503F9" w:rsidRDefault="004503F9" w:rsidP="004503F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14:paraId="2949023E" w14:textId="468DCE7C" w:rsidR="00B93BFA" w:rsidRDefault="000E7150" w:rsidP="00B93BFA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following observations and conclusions have been made:</w:t>
      </w:r>
    </w:p>
    <w:p w14:paraId="33840629" w14:textId="23ADDABC" w:rsidR="000E7150" w:rsidRPr="000E7150" w:rsidRDefault="000E7150" w:rsidP="000E7150">
      <w:pPr>
        <w:rPr>
          <w:i/>
          <w:sz w:val="22"/>
          <w:lang w:val="en-GB"/>
        </w:rPr>
      </w:pPr>
      <w:r w:rsidRPr="000E7150">
        <w:rPr>
          <w:b/>
          <w:i/>
          <w:sz w:val="22"/>
          <w:u w:val="single"/>
          <w:lang w:val="en-GB"/>
        </w:rPr>
        <w:lastRenderedPageBreak/>
        <w:t>Observation 1:</w:t>
      </w:r>
      <w:r w:rsidRPr="000E7150">
        <w:rPr>
          <w:i/>
          <w:sz w:val="22"/>
          <w:lang w:val="en-GB"/>
        </w:rPr>
        <w:t xml:space="preserve"> 2RB distributed mapping for CCE to REG, perfo</w:t>
      </w:r>
      <w:bookmarkStart w:id="2" w:name="_GoBack"/>
      <w:bookmarkEnd w:id="2"/>
      <w:r w:rsidRPr="000E7150">
        <w:rPr>
          <w:i/>
          <w:sz w:val="22"/>
          <w:lang w:val="en-GB"/>
        </w:rPr>
        <w:t xml:space="preserve">rms better than localized 6RB CCE to REG mapping </w:t>
      </w:r>
      <w:r w:rsidR="002D4CBD">
        <w:rPr>
          <w:i/>
          <w:sz w:val="22"/>
          <w:lang w:val="en-GB"/>
        </w:rPr>
        <w:t>across</w:t>
      </w:r>
      <w:r w:rsidRPr="000E7150">
        <w:rPr>
          <w:i/>
          <w:sz w:val="22"/>
          <w:lang w:val="en-GB"/>
        </w:rPr>
        <w:t xml:space="preserve"> almost all of the payloads and channel models studied</w:t>
      </w:r>
    </w:p>
    <w:p w14:paraId="6AED11AF" w14:textId="77777777" w:rsidR="000E7150" w:rsidRPr="000E7150" w:rsidRDefault="000E7150" w:rsidP="000E7150">
      <w:pPr>
        <w:rPr>
          <w:i/>
          <w:sz w:val="22"/>
          <w:lang w:val="en-GB"/>
        </w:rPr>
      </w:pPr>
      <w:r w:rsidRPr="000E7150">
        <w:rPr>
          <w:b/>
          <w:i/>
          <w:sz w:val="22"/>
          <w:u w:val="single"/>
          <w:lang w:val="en-GB"/>
        </w:rPr>
        <w:t>Observation 2:</w:t>
      </w:r>
      <w:r w:rsidRPr="000E7150">
        <w:rPr>
          <w:i/>
          <w:sz w:val="22"/>
          <w:lang w:val="en-GB"/>
        </w:rPr>
        <w:t xml:space="preserve"> 2RB distributed mapping for CCE to REG, has non-trivial gain compared to localized 6RB CCE to REG mapping in the following cases at 1% PER point</w:t>
      </w:r>
    </w:p>
    <w:p w14:paraId="23CC48A8" w14:textId="47D33C65" w:rsidR="000E7150" w:rsidRPr="000E7150" w:rsidRDefault="000E7150" w:rsidP="000E7150">
      <w:pPr>
        <w:pStyle w:val="ListParagraph"/>
        <w:numPr>
          <w:ilvl w:val="0"/>
          <w:numId w:val="19"/>
        </w:numPr>
        <w:rPr>
          <w:i/>
        </w:rPr>
      </w:pPr>
      <w:r w:rsidRPr="000E7150">
        <w:rPr>
          <w:i/>
          <w:lang w:val="en-GB"/>
        </w:rPr>
        <w:t xml:space="preserve">At Payload size 20:  </w:t>
      </w:r>
      <m:oMath>
        <m:r>
          <w:rPr>
            <w:rFonts w:ascii="Cambria Math" w:hAnsi="Cambria Math"/>
            <w:lang w:val="en-GB"/>
          </w:rPr>
          <m:t xml:space="preserve">≈&gt;0.3dB </m:t>
        </m:r>
      </m:oMath>
      <w:r w:rsidRPr="000E7150">
        <w:rPr>
          <w:i/>
          <w:lang w:val="en-GB"/>
        </w:rPr>
        <w:t>gain at TDLC-300nsec and TDLC-1000 nsec</w:t>
      </w:r>
    </w:p>
    <w:p w14:paraId="6F0C2607" w14:textId="77777777" w:rsidR="000E7150" w:rsidRPr="000E7150" w:rsidRDefault="000E7150" w:rsidP="000E7150">
      <w:pPr>
        <w:pStyle w:val="ListParagraph"/>
        <w:numPr>
          <w:ilvl w:val="0"/>
          <w:numId w:val="19"/>
        </w:numPr>
        <w:rPr>
          <w:i/>
          <w:lang w:val="en-GB"/>
        </w:rPr>
      </w:pPr>
      <w:r w:rsidRPr="000E7150">
        <w:rPr>
          <w:i/>
          <w:lang w:val="en-GB"/>
        </w:rPr>
        <w:t>At Payload size 30: 0.4dB gain for TDLC-300 and 0.67dB gain at TDL-C 1000nsec</w:t>
      </w:r>
    </w:p>
    <w:p w14:paraId="401BC1F2" w14:textId="77777777" w:rsidR="000E7150" w:rsidRPr="000E7150" w:rsidRDefault="000E7150" w:rsidP="00D93D6B">
      <w:pPr>
        <w:pStyle w:val="ListParagraph"/>
        <w:numPr>
          <w:ilvl w:val="0"/>
          <w:numId w:val="19"/>
        </w:numPr>
        <w:spacing w:after="240"/>
        <w:rPr>
          <w:b/>
          <w:i/>
          <w:lang w:val="en-GB"/>
        </w:rPr>
      </w:pPr>
      <w:r w:rsidRPr="000E7150">
        <w:rPr>
          <w:i/>
          <w:lang w:val="en-GB"/>
        </w:rPr>
        <w:t xml:space="preserve">At Payload size 44: 0.6dB gain for TDLC-300 </w:t>
      </w:r>
      <w:proofErr w:type="spellStart"/>
      <w:r w:rsidRPr="000E7150">
        <w:rPr>
          <w:i/>
          <w:lang w:val="en-GB"/>
        </w:rPr>
        <w:t>nsec</w:t>
      </w:r>
      <w:proofErr w:type="spellEnd"/>
    </w:p>
    <w:p w14:paraId="49D161D5" w14:textId="77777777" w:rsidR="00F02B2D" w:rsidRPr="0030305A" w:rsidRDefault="00F02B2D" w:rsidP="00F02B2D">
      <w:pPr>
        <w:pStyle w:val="bullet"/>
        <w:numPr>
          <w:ilvl w:val="0"/>
          <w:numId w:val="0"/>
        </w:numPr>
        <w:rPr>
          <w:b/>
        </w:rPr>
      </w:pPr>
      <w:r w:rsidRPr="000E7150">
        <w:rPr>
          <w:b/>
          <w:i/>
          <w:sz w:val="22"/>
          <w:szCs w:val="22"/>
          <w:u w:val="single"/>
        </w:rPr>
        <w:t>Proposal:</w:t>
      </w:r>
      <w:r w:rsidRPr="000E7150">
        <w:rPr>
          <w:i/>
          <w:sz w:val="22"/>
          <w:szCs w:val="22"/>
        </w:rPr>
        <w:t xml:space="preserve">  </w:t>
      </w:r>
      <w:r w:rsidRPr="0030305A">
        <w:rPr>
          <w:b/>
        </w:rPr>
        <w:t>To support mapping NR-PDCCH non-contiguously in frequency domain</w:t>
      </w:r>
    </w:p>
    <w:p w14:paraId="00A30EBC" w14:textId="77777777" w:rsidR="00F02B2D" w:rsidRPr="0030305A" w:rsidRDefault="00F02B2D" w:rsidP="00F02B2D">
      <w:pPr>
        <w:pStyle w:val="bullet"/>
        <w:numPr>
          <w:ilvl w:val="0"/>
          <w:numId w:val="21"/>
        </w:numPr>
        <w:rPr>
          <w:b/>
        </w:rPr>
      </w:pPr>
      <w:r w:rsidRPr="0030305A">
        <w:rPr>
          <w:b/>
        </w:rPr>
        <w:t>When there are more than one REG bundles per CCE, distributed CCE to REG bundle mapping is used.</w:t>
      </w:r>
    </w:p>
    <w:p w14:paraId="0A78FA6C" w14:textId="77777777" w:rsidR="00F02B2D" w:rsidRPr="0030305A" w:rsidRDefault="00F02B2D" w:rsidP="00F02B2D">
      <w:pPr>
        <w:pStyle w:val="bullet"/>
        <w:numPr>
          <w:ilvl w:val="0"/>
          <w:numId w:val="21"/>
        </w:numPr>
        <w:rPr>
          <w:b/>
        </w:rPr>
      </w:pPr>
      <w:r w:rsidRPr="0030305A">
        <w:rPr>
          <w:b/>
        </w:rPr>
        <w:t xml:space="preserve">When there is only one REG bundle </w:t>
      </w:r>
      <w:r>
        <w:rPr>
          <w:b/>
        </w:rPr>
        <w:t xml:space="preserve">available </w:t>
      </w:r>
      <w:r w:rsidRPr="0030305A">
        <w:rPr>
          <w:b/>
        </w:rPr>
        <w:t xml:space="preserve">per CCE, </w:t>
      </w:r>
      <w:r>
        <w:rPr>
          <w:b/>
        </w:rPr>
        <w:t>localized</w:t>
      </w:r>
      <w:r w:rsidRPr="0030305A">
        <w:rPr>
          <w:b/>
        </w:rPr>
        <w:t xml:space="preserve"> </w:t>
      </w:r>
      <w:r>
        <w:rPr>
          <w:b/>
        </w:rPr>
        <w:t xml:space="preserve">CCE to REG bundle mapping is used and distributed </w:t>
      </w:r>
      <w:r w:rsidRPr="0030305A">
        <w:rPr>
          <w:b/>
        </w:rPr>
        <w:t>NR-PDCCH to CCE mapping is used.</w:t>
      </w:r>
    </w:p>
    <w:p w14:paraId="43B7F896" w14:textId="29B9C2CE" w:rsidR="00E523F3" w:rsidRPr="000A64D8" w:rsidRDefault="00F02B2D" w:rsidP="00E523F3">
      <w:pPr>
        <w:pStyle w:val="Heading1"/>
        <w:rPr>
          <w:lang w:val="en-US"/>
        </w:rPr>
      </w:pPr>
      <w:r w:rsidRPr="000E7150" w:rsidDel="00662DD8">
        <w:rPr>
          <w:b/>
          <w:i/>
          <w:sz w:val="22"/>
          <w:szCs w:val="22"/>
          <w:u w:val="single"/>
        </w:rPr>
        <w:t xml:space="preserve"> </w:t>
      </w:r>
      <w:r w:rsidR="00E523F3" w:rsidRPr="000A64D8">
        <w:rPr>
          <w:lang w:val="en-US"/>
        </w:rPr>
        <w:t>References</w:t>
      </w:r>
    </w:p>
    <w:p w14:paraId="0D432915" w14:textId="15A4D64A" w:rsidR="006F790E" w:rsidRDefault="00B20128" w:rsidP="00F67C43">
      <w:pPr>
        <w:pStyle w:val="References"/>
      </w:pPr>
      <w:bookmarkStart w:id="3" w:name="_Ref474073736"/>
      <w:r>
        <w:t xml:space="preserve">RAN1 NR Ad-Hoc </w:t>
      </w:r>
      <w:r w:rsidR="00F67C43">
        <w:t>Feb</w:t>
      </w:r>
      <w:r>
        <w:t>-2017 Chairman’s notes</w:t>
      </w:r>
      <w:bookmarkEnd w:id="3"/>
    </w:p>
    <w:p w14:paraId="69E9628D" w14:textId="42A62DD5" w:rsidR="004769E9" w:rsidRDefault="004769E9" w:rsidP="004769E9">
      <w:pPr>
        <w:pStyle w:val="References"/>
        <w:numPr>
          <w:ilvl w:val="0"/>
          <w:numId w:val="0"/>
        </w:numPr>
        <w:ind w:left="360" w:hanging="360"/>
      </w:pPr>
    </w:p>
    <w:p w14:paraId="1A4949D1" w14:textId="3A790B76" w:rsidR="003328E0" w:rsidRDefault="00A45E8D" w:rsidP="00A45E8D">
      <w:pPr>
        <w:pStyle w:val="Heading1"/>
      </w:pPr>
      <w:bookmarkStart w:id="4" w:name="_Ref474082364"/>
      <w:r>
        <w:lastRenderedPageBreak/>
        <w:t>A</w:t>
      </w:r>
      <w:r w:rsidR="003328E0">
        <w:t>ppendix –Simulation Results</w:t>
      </w:r>
    </w:p>
    <w:p w14:paraId="3FB5669C" w14:textId="4A7BF4DE" w:rsidR="005659A1" w:rsidRDefault="005659A1" w:rsidP="005659A1">
      <w:r>
        <w:rPr>
          <w:noProof/>
          <w:lang w:eastAsia="ko-KR"/>
        </w:rPr>
        <w:drawing>
          <wp:inline distT="0" distB="0" distL="0" distR="0" wp14:anchorId="2D2E504E" wp14:editId="64CB8DCF">
            <wp:extent cx="2857500" cy="2857500"/>
            <wp:effectExtent l="0" t="0" r="0" b="0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700C375B" wp14:editId="1FB49340">
            <wp:extent cx="2857500" cy="2857500"/>
            <wp:effectExtent l="0" t="0" r="0" b="0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6D81B505" wp14:editId="240A788E">
            <wp:extent cx="2857500" cy="2857500"/>
            <wp:effectExtent l="0" t="0" r="0" b="0"/>
            <wp:docPr id="24" name="Pictur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40BF9D41" wp14:editId="12008CE6">
            <wp:extent cx="2857500" cy="2857500"/>
            <wp:effectExtent l="0" t="0" r="0" b="0"/>
            <wp:docPr id="18" name="Pictur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lastRenderedPageBreak/>
        <w:drawing>
          <wp:inline distT="0" distB="0" distL="0" distR="0" wp14:anchorId="3A2A1591" wp14:editId="7B8A367C">
            <wp:extent cx="2857500" cy="2857500"/>
            <wp:effectExtent l="0" t="0" r="0" b="0"/>
            <wp:docPr id="17" name="Pictur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005938F3" wp14:editId="79EA662A">
            <wp:extent cx="2857500" cy="285750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4DF81EC5" wp14:editId="7E826521">
            <wp:extent cx="2857500" cy="2857500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0CF37886" wp14:editId="736358F6">
            <wp:extent cx="2857500" cy="2857500"/>
            <wp:effectExtent l="0" t="0" r="0" b="0"/>
            <wp:docPr id="11" name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lastRenderedPageBreak/>
        <w:drawing>
          <wp:inline distT="0" distB="0" distL="0" distR="0" wp14:anchorId="4558BC9E" wp14:editId="7848DEEC">
            <wp:extent cx="2857500" cy="2857500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0A259A78" wp14:editId="106DCC9B">
            <wp:extent cx="2857500" cy="28575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257229AD" wp14:editId="27B5961C">
            <wp:extent cx="2857500" cy="2857500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ko-KR"/>
        </w:rPr>
        <w:drawing>
          <wp:inline distT="0" distB="0" distL="0" distR="0" wp14:anchorId="7C4C75DA" wp14:editId="1C52298E">
            <wp:extent cx="2857500" cy="28575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4"/>
    <w:p w14:paraId="3976AA91" w14:textId="1CF2F8EA" w:rsidR="004769E9" w:rsidRPr="00B20128" w:rsidRDefault="004769E9" w:rsidP="005659A1"/>
    <w:sectPr w:rsidR="004769E9" w:rsidRPr="00B20128" w:rsidSect="00671B4F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89653A" w14:textId="77777777" w:rsidR="00EF5B9A" w:rsidRDefault="00EF5B9A">
      <w:r>
        <w:separator/>
      </w:r>
    </w:p>
  </w:endnote>
  <w:endnote w:type="continuationSeparator" w:id="0">
    <w:p w14:paraId="4432F662" w14:textId="77777777" w:rsidR="00EF5B9A" w:rsidRDefault="00EF5B9A">
      <w:r>
        <w:continuationSeparator/>
      </w:r>
    </w:p>
  </w:endnote>
  <w:endnote w:type="continuationNotice" w:id="1">
    <w:p w14:paraId="3EB432A2" w14:textId="77777777" w:rsidR="00EF5B9A" w:rsidRDefault="00EF5B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C6267C" w:rsidRDefault="00C6267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C6267C" w:rsidRDefault="00C6267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078CD2BB" w:rsidR="00C6267C" w:rsidRDefault="00C6267C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5D29B" w14:textId="77777777" w:rsidR="00EF5B9A" w:rsidRDefault="00EF5B9A">
      <w:r>
        <w:separator/>
      </w:r>
    </w:p>
  </w:footnote>
  <w:footnote w:type="continuationSeparator" w:id="0">
    <w:p w14:paraId="3B94115F" w14:textId="77777777" w:rsidR="00EF5B9A" w:rsidRDefault="00EF5B9A">
      <w:r>
        <w:continuationSeparator/>
      </w:r>
    </w:p>
  </w:footnote>
  <w:footnote w:type="continuationNotice" w:id="1">
    <w:p w14:paraId="3DD8DE54" w14:textId="77777777" w:rsidR="00EF5B9A" w:rsidRDefault="00EF5B9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C6267C" w:rsidRDefault="00C626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3E1DF2"/>
    <w:multiLevelType w:val="hybridMultilevel"/>
    <w:tmpl w:val="20EA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465CB"/>
    <w:multiLevelType w:val="hybridMultilevel"/>
    <w:tmpl w:val="E050E130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1E76544E"/>
    <w:multiLevelType w:val="hybridMultilevel"/>
    <w:tmpl w:val="FB7A0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0484F"/>
    <w:multiLevelType w:val="hybridMultilevel"/>
    <w:tmpl w:val="7B2838DC"/>
    <w:lvl w:ilvl="0" w:tplc="AE903F2A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9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102F95"/>
    <w:multiLevelType w:val="hybridMultilevel"/>
    <w:tmpl w:val="21729A96"/>
    <w:lvl w:ilvl="0" w:tplc="ADE00A5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115CE"/>
    <w:multiLevelType w:val="hybridMultilevel"/>
    <w:tmpl w:val="0290C5BA"/>
    <w:lvl w:ilvl="0" w:tplc="C5DA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284CA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205DC2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CE334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BA7E19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D45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A2F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A604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962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5822023"/>
    <w:multiLevelType w:val="hybridMultilevel"/>
    <w:tmpl w:val="39641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52CF6"/>
    <w:multiLevelType w:val="multilevel"/>
    <w:tmpl w:val="27D20F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DC64A5"/>
    <w:multiLevelType w:val="hybridMultilevel"/>
    <w:tmpl w:val="D77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12"/>
  </w:num>
  <w:num w:numId="5">
    <w:abstractNumId w:val="3"/>
  </w:num>
  <w:num w:numId="6">
    <w:abstractNumId w:val="6"/>
  </w:num>
  <w:num w:numId="7">
    <w:abstractNumId w:val="9"/>
  </w:num>
  <w:num w:numId="8">
    <w:abstractNumId w:val="1"/>
  </w:num>
  <w:num w:numId="9">
    <w:abstractNumId w:val="20"/>
    <w:lvlOverride w:ilvl="0">
      <w:startOverride w:val="1"/>
    </w:lvlOverride>
  </w:num>
  <w:num w:numId="10">
    <w:abstractNumId w:val="13"/>
  </w:num>
  <w:num w:numId="11">
    <w:abstractNumId w:val="17"/>
  </w:num>
  <w:num w:numId="12">
    <w:abstractNumId w:val="14"/>
  </w:num>
  <w:num w:numId="13">
    <w:abstractNumId w:val="5"/>
  </w:num>
  <w:num w:numId="14">
    <w:abstractNumId w:val="15"/>
  </w:num>
  <w:num w:numId="15">
    <w:abstractNumId w:val="11"/>
  </w:num>
  <w:num w:numId="16">
    <w:abstractNumId w:val="19"/>
  </w:num>
  <w:num w:numId="17">
    <w:abstractNumId w:val="7"/>
  </w:num>
  <w:num w:numId="18">
    <w:abstractNumId w:val="16"/>
  </w:num>
  <w:num w:numId="19">
    <w:abstractNumId w:val="4"/>
  </w:num>
  <w:num w:numId="20">
    <w:abstractNumId w:val="8"/>
  </w:num>
  <w:num w:numId="21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A20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BD2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043A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4CE0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B5A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19B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7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150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0F7E7B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5A7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2EA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4BDA"/>
    <w:rsid w:val="001B522B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05A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2A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40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3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FB0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B38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A7DD2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D11"/>
    <w:rsid w:val="002C1B17"/>
    <w:rsid w:val="002C1BE2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6147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162D"/>
    <w:rsid w:val="002D2A64"/>
    <w:rsid w:val="002D2B4E"/>
    <w:rsid w:val="002D3968"/>
    <w:rsid w:val="002D425A"/>
    <w:rsid w:val="002D4314"/>
    <w:rsid w:val="002D4A54"/>
    <w:rsid w:val="002D4CBD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2D71"/>
    <w:rsid w:val="002E306D"/>
    <w:rsid w:val="002E3653"/>
    <w:rsid w:val="002E38B7"/>
    <w:rsid w:val="002E38C9"/>
    <w:rsid w:val="002E4301"/>
    <w:rsid w:val="002E58E1"/>
    <w:rsid w:val="002E5BDD"/>
    <w:rsid w:val="002E5C56"/>
    <w:rsid w:val="002E5D86"/>
    <w:rsid w:val="002E5DD7"/>
    <w:rsid w:val="002E6809"/>
    <w:rsid w:val="002E79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2ECE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8E0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674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AC2"/>
    <w:rsid w:val="00361B1A"/>
    <w:rsid w:val="0036227D"/>
    <w:rsid w:val="0036262C"/>
    <w:rsid w:val="00362C5A"/>
    <w:rsid w:val="003635B6"/>
    <w:rsid w:val="00363FC9"/>
    <w:rsid w:val="00365023"/>
    <w:rsid w:val="003652FD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2F61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D39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7B5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027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CEC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1F0A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BF6"/>
    <w:rsid w:val="003C6CCB"/>
    <w:rsid w:val="003C6DA9"/>
    <w:rsid w:val="003C7106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57B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249C"/>
    <w:rsid w:val="00412697"/>
    <w:rsid w:val="00413369"/>
    <w:rsid w:val="004145AE"/>
    <w:rsid w:val="004147F4"/>
    <w:rsid w:val="00414C3F"/>
    <w:rsid w:val="00414F6B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3DF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6F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F48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9E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30A"/>
    <w:rsid w:val="00481607"/>
    <w:rsid w:val="00481611"/>
    <w:rsid w:val="004818FF"/>
    <w:rsid w:val="0048215F"/>
    <w:rsid w:val="00482389"/>
    <w:rsid w:val="00482943"/>
    <w:rsid w:val="00482ADC"/>
    <w:rsid w:val="00482BD8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2E8"/>
    <w:rsid w:val="004B3C3F"/>
    <w:rsid w:val="004B45A2"/>
    <w:rsid w:val="004B46C3"/>
    <w:rsid w:val="004B4789"/>
    <w:rsid w:val="004B4A0F"/>
    <w:rsid w:val="004B4F6B"/>
    <w:rsid w:val="004B4FA8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DFB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D7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5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C9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58"/>
    <w:rsid w:val="00564EB9"/>
    <w:rsid w:val="005659A1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3E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3858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2DA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DD8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B32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5F22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0F2B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275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632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C5"/>
    <w:rsid w:val="006F1D86"/>
    <w:rsid w:val="006F1E30"/>
    <w:rsid w:val="006F20A6"/>
    <w:rsid w:val="006F291E"/>
    <w:rsid w:val="006F3052"/>
    <w:rsid w:val="006F314D"/>
    <w:rsid w:val="006F350A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90E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02"/>
    <w:rsid w:val="00717267"/>
    <w:rsid w:val="00717890"/>
    <w:rsid w:val="007178EE"/>
    <w:rsid w:val="00720759"/>
    <w:rsid w:val="00720A0C"/>
    <w:rsid w:val="007215A9"/>
    <w:rsid w:val="0072190B"/>
    <w:rsid w:val="007219FA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6AE"/>
    <w:rsid w:val="00732885"/>
    <w:rsid w:val="0073335E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BF8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3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3F2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D77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44B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21F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51"/>
    <w:rsid w:val="007E2B64"/>
    <w:rsid w:val="007E2B9D"/>
    <w:rsid w:val="007E3182"/>
    <w:rsid w:val="007E36F8"/>
    <w:rsid w:val="007E42F2"/>
    <w:rsid w:val="007E4744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6A2"/>
    <w:rsid w:val="008127B0"/>
    <w:rsid w:val="00812FE3"/>
    <w:rsid w:val="0081315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40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B12"/>
    <w:rsid w:val="00846C77"/>
    <w:rsid w:val="00846E99"/>
    <w:rsid w:val="00847964"/>
    <w:rsid w:val="00847991"/>
    <w:rsid w:val="00847C4E"/>
    <w:rsid w:val="00847F69"/>
    <w:rsid w:val="00850AE8"/>
    <w:rsid w:val="00850B13"/>
    <w:rsid w:val="00850CAD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011"/>
    <w:rsid w:val="008647DE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939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283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5CCB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ECF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36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0EF4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39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3C5F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1C0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1E9"/>
    <w:rsid w:val="00A45371"/>
    <w:rsid w:val="00A4570E"/>
    <w:rsid w:val="00A4579D"/>
    <w:rsid w:val="00A45A3B"/>
    <w:rsid w:val="00A45C5B"/>
    <w:rsid w:val="00A45E8D"/>
    <w:rsid w:val="00A45EFA"/>
    <w:rsid w:val="00A46FAD"/>
    <w:rsid w:val="00A47B4B"/>
    <w:rsid w:val="00A5044D"/>
    <w:rsid w:val="00A50B00"/>
    <w:rsid w:val="00A50D49"/>
    <w:rsid w:val="00A511FB"/>
    <w:rsid w:val="00A514EB"/>
    <w:rsid w:val="00A5173D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7B7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1FB3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5DF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66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128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6C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816"/>
    <w:rsid w:val="00B70A49"/>
    <w:rsid w:val="00B70EDB"/>
    <w:rsid w:val="00B71A5D"/>
    <w:rsid w:val="00B720C6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BFA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4FE2"/>
    <w:rsid w:val="00BA54FB"/>
    <w:rsid w:val="00BA5C97"/>
    <w:rsid w:val="00BA5EFB"/>
    <w:rsid w:val="00BA659A"/>
    <w:rsid w:val="00BA68C1"/>
    <w:rsid w:val="00BA6D50"/>
    <w:rsid w:val="00BA712E"/>
    <w:rsid w:val="00BA7423"/>
    <w:rsid w:val="00BA7430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3C3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949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1C4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8A5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35A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67C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194"/>
    <w:rsid w:val="00CA6BDF"/>
    <w:rsid w:val="00CA7E28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A1E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715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650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FA7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68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6F5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D6B"/>
    <w:rsid w:val="00D93EF4"/>
    <w:rsid w:val="00D94732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2FE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343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B99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59DA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97C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3D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14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48C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5B9A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2D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08B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703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43"/>
    <w:rsid w:val="00F67D0D"/>
    <w:rsid w:val="00F71026"/>
    <w:rsid w:val="00F71042"/>
    <w:rsid w:val="00F710A0"/>
    <w:rsid w:val="00F710D9"/>
    <w:rsid w:val="00F71612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782"/>
    <w:rsid w:val="00F82A7D"/>
    <w:rsid w:val="00F82D8E"/>
    <w:rsid w:val="00F83301"/>
    <w:rsid w:val="00F83516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07D4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86401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A847B7"/>
    <w:rPr>
      <w:rFonts w:ascii="Arial" w:hAnsi="Arial"/>
      <w:b/>
      <w:i/>
      <w:noProof/>
      <w:sz w:val="18"/>
      <w:lang w:eastAsia="en-US"/>
    </w:rPr>
  </w:style>
  <w:style w:type="paragraph" w:customStyle="1" w:styleId="bullet">
    <w:name w:val="bullet"/>
    <w:basedOn w:val="Normal"/>
    <w:link w:val="bulletChar"/>
    <w:qFormat/>
    <w:rsid w:val="00662DD8"/>
    <w:pPr>
      <w:numPr>
        <w:numId w:val="20"/>
      </w:numPr>
      <w:spacing w:after="120"/>
      <w:ind w:left="360"/>
    </w:pPr>
    <w:rPr>
      <w:lang w:val="en-GB"/>
    </w:rPr>
  </w:style>
  <w:style w:type="character" w:customStyle="1" w:styleId="bulletChar">
    <w:name w:val="bullet Char"/>
    <w:basedOn w:val="DefaultParagraphFont"/>
    <w:link w:val="bullet"/>
    <w:rsid w:val="00662D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HR33RHYHUWRF-4-2199</_dlc_DocId>
    <_dlc_DocIdUrl xmlns="c06861ca-3f08-4d07-bff7-bb15bac121f4">
      <Url>https://projects.qualcomm.com/sites/pentari/_layouts/15/DocIdRedir.aspx?ID=HR33RHYHUWRF-4-2199</Url>
      <Description>HR33RHYHUWRF-4-2199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BE201C03-EF2B-4413-BB5F-E2679222A1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985C94-3ECF-4F12-94AC-FFD76D769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Non-contiguous frequency allocation</vt:lpstr>
    </vt:vector>
  </TitlesOfParts>
  <Company>Qualcomm Inc.</Company>
  <LinksUpToDate>false</LinksUpToDate>
  <CharactersWithSpaces>5288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Non-contiguous frequency allocation</dc:title>
  <dc:subject/>
  <dc:creator>Qualcomm Inc.</dc:creator>
  <cp:keywords/>
  <cp:lastModifiedBy>Heechoon Lee</cp:lastModifiedBy>
  <cp:revision>3</cp:revision>
  <cp:lastPrinted>2014-11-07T05:38:00Z</cp:lastPrinted>
  <dcterms:created xsi:type="dcterms:W3CDTF">2017-03-25T03:57:00Z</dcterms:created>
  <dcterms:modified xsi:type="dcterms:W3CDTF">2017-03-25T04:04:00Z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fbe4a969-cc87-4a8f-9a20-3f4b5b9ada93</vt:lpwstr>
  </property>
</Properties>
</file>