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E5056" w14:textId="65CB404B" w:rsidR="00C07E87" w:rsidRPr="00CF4D90" w:rsidRDefault="00812072" w:rsidP="00C07E87">
      <w:pPr>
        <w:pStyle w:val="3GPPHeader"/>
        <w:spacing w:after="60"/>
        <w:rPr>
          <w:sz w:val="32"/>
          <w:szCs w:val="32"/>
          <w:lang w:val="en-US"/>
        </w:rPr>
      </w:pPr>
      <w:r w:rsidRPr="00F26775">
        <w:rPr>
          <w:lang w:val="en-US"/>
        </w:rPr>
        <w:t xml:space="preserve">3GPP TSG-RAN WG1 </w:t>
      </w:r>
      <w:r w:rsidR="001C2C68" w:rsidRPr="00F26775">
        <w:rPr>
          <w:lang w:val="en-US"/>
        </w:rPr>
        <w:t>#88</w:t>
      </w:r>
      <w:r w:rsidR="00C07E87" w:rsidRPr="00F26775">
        <w:rPr>
          <w:lang w:val="en-US"/>
        </w:rPr>
        <w:tab/>
      </w:r>
      <w:r w:rsidR="00240B51" w:rsidRPr="00CF4D90">
        <w:rPr>
          <w:sz w:val="32"/>
          <w:szCs w:val="32"/>
          <w:lang w:val="en-US"/>
        </w:rPr>
        <w:t>R1-</w:t>
      </w:r>
      <w:r w:rsidR="00AE553B" w:rsidRPr="00CF4D90">
        <w:rPr>
          <w:sz w:val="32"/>
          <w:szCs w:val="32"/>
          <w:lang w:val="en-US"/>
        </w:rPr>
        <w:t>17</w:t>
      </w:r>
      <w:r w:rsidR="00CF4D90" w:rsidRPr="00CF4D90">
        <w:rPr>
          <w:sz w:val="32"/>
          <w:szCs w:val="32"/>
          <w:lang w:val="en-US"/>
        </w:rPr>
        <w:t>03288</w:t>
      </w:r>
    </w:p>
    <w:p w14:paraId="0AE713F2" w14:textId="77777777" w:rsidR="00CE227E" w:rsidRDefault="00CE227E" w:rsidP="00CE227E">
      <w:pPr>
        <w:pStyle w:val="CRCoverPage"/>
        <w:outlineLvl w:val="0"/>
        <w:rPr>
          <w:b/>
          <w:noProof/>
          <w:sz w:val="24"/>
        </w:rPr>
      </w:pPr>
      <w:r w:rsidRPr="00CF4D90">
        <w:rPr>
          <w:b/>
          <w:noProof/>
          <w:sz w:val="24"/>
        </w:rPr>
        <w:t>Athens, Greece, 13</w:t>
      </w:r>
      <w:r w:rsidRPr="00CF4D90">
        <w:rPr>
          <w:b/>
          <w:noProof/>
          <w:sz w:val="24"/>
          <w:vertAlign w:val="superscript"/>
        </w:rPr>
        <w:t>th</w:t>
      </w:r>
      <w:r w:rsidRPr="00CF4D90">
        <w:rPr>
          <w:b/>
          <w:noProof/>
          <w:sz w:val="24"/>
        </w:rPr>
        <w:t>- 17</w:t>
      </w:r>
      <w:r w:rsidRPr="00CF4D90">
        <w:rPr>
          <w:b/>
          <w:noProof/>
          <w:sz w:val="24"/>
          <w:vertAlign w:val="superscript"/>
        </w:rPr>
        <w:t>th</w:t>
      </w:r>
      <w:r w:rsidRPr="00CF4D90">
        <w:rPr>
          <w:b/>
          <w:noProof/>
          <w:sz w:val="24"/>
        </w:rPr>
        <w:t xml:space="preserve"> February 2017</w:t>
      </w:r>
    </w:p>
    <w:p w14:paraId="189863E3" w14:textId="77777777" w:rsidR="00C07E87" w:rsidRPr="00CE0424" w:rsidRDefault="00C07E87" w:rsidP="00C07E87">
      <w:pPr>
        <w:pStyle w:val="3GPPHeader"/>
      </w:pPr>
    </w:p>
    <w:p w14:paraId="293CC8DE" w14:textId="1386F3CD" w:rsidR="00C07E87" w:rsidRPr="0015001A" w:rsidRDefault="00C07E87" w:rsidP="00C07E87">
      <w:pPr>
        <w:pStyle w:val="3GPPHeader"/>
        <w:rPr>
          <w:sz w:val="22"/>
          <w:szCs w:val="22"/>
          <w:lang w:val="en-US"/>
        </w:rPr>
      </w:pPr>
      <w:r w:rsidRPr="0015001A">
        <w:rPr>
          <w:sz w:val="22"/>
          <w:szCs w:val="22"/>
          <w:lang w:val="en-US"/>
        </w:rPr>
        <w:t>Agenda Item:</w:t>
      </w:r>
      <w:r w:rsidRPr="0015001A">
        <w:rPr>
          <w:sz w:val="22"/>
          <w:szCs w:val="22"/>
          <w:lang w:val="en-US"/>
        </w:rPr>
        <w:tab/>
      </w:r>
      <w:r w:rsidR="00AE553B" w:rsidRPr="00AE553B">
        <w:rPr>
          <w:sz w:val="22"/>
          <w:szCs w:val="22"/>
          <w:lang w:val="en-US"/>
        </w:rPr>
        <w:t>8.1.3.1.5</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1339E4E0" w:rsidR="00E90E49" w:rsidRPr="00CE0424" w:rsidRDefault="003D3C45" w:rsidP="00311702">
      <w:pPr>
        <w:pStyle w:val="3GPPHeader"/>
        <w:rPr>
          <w:sz w:val="22"/>
          <w:szCs w:val="22"/>
        </w:rPr>
      </w:pPr>
      <w:r>
        <w:rPr>
          <w:sz w:val="22"/>
          <w:szCs w:val="22"/>
        </w:rPr>
        <w:t>Title:</w:t>
      </w:r>
      <w:r w:rsidR="00E90E49" w:rsidRPr="00CE0424">
        <w:rPr>
          <w:sz w:val="22"/>
          <w:szCs w:val="22"/>
        </w:rPr>
        <w:tab/>
      </w:r>
      <w:r w:rsidR="00AE553B">
        <w:rPr>
          <w:sz w:val="22"/>
          <w:szCs w:val="22"/>
        </w:rPr>
        <w:t>On Two-Stage DCI</w:t>
      </w:r>
    </w:p>
    <w:p w14:paraId="00BFF626" w14:textId="11E1CA34" w:rsidR="00E90E49" w:rsidRPr="007369A2" w:rsidRDefault="00E90E49" w:rsidP="00C704D9">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1406196E" w14:textId="3DD979C4" w:rsidR="008E0156" w:rsidRDefault="00E30225" w:rsidP="00F26775">
      <w:pPr>
        <w:pStyle w:val="Heading1"/>
      </w:pPr>
      <w:r w:rsidRPr="00CE0424">
        <w:t>Introduction</w:t>
      </w:r>
    </w:p>
    <w:p w14:paraId="437F726B" w14:textId="657D4D69" w:rsidR="007A4FAC" w:rsidRPr="007A4FAC" w:rsidRDefault="007A4FAC" w:rsidP="00E30225">
      <w:pPr>
        <w:pStyle w:val="BodyText"/>
      </w:pPr>
      <w:r>
        <w:t xml:space="preserve">At RAN1#86bis, the need for a two-stage control channel design was raised. The discussion continued in the follow-up email discussion [86b-23] and the outcome of email discussions as well as other inputs were discussed in RAN1#87. </w:t>
      </w:r>
      <w:r w:rsidR="00FC05A1">
        <w:t xml:space="preserve">The discussion continued in the NR ad-hoc meeting in January 2017 with yet another follow-up </w:t>
      </w:r>
      <w:bookmarkStart w:id="0" w:name="_GoBack"/>
      <w:bookmarkEnd w:id="0"/>
      <w:r w:rsidR="00FC05A1">
        <w:t xml:space="preserve">email discussion. </w:t>
      </w:r>
      <w:r>
        <w:t xml:space="preserve">In this contribution we </w:t>
      </w:r>
      <w:r w:rsidR="00FC05A1">
        <w:t xml:space="preserve">discuss the status of this topic and </w:t>
      </w:r>
      <w:r>
        <w:t>provide some views on having a two-step DCI.</w:t>
      </w:r>
    </w:p>
    <w:p w14:paraId="412AA818" w14:textId="0699650A" w:rsidR="00E30225" w:rsidRDefault="00E30225" w:rsidP="00E30225">
      <w:pPr>
        <w:pStyle w:val="Heading1"/>
      </w:pPr>
      <w:bookmarkStart w:id="1" w:name="_Ref178064866"/>
      <w:r w:rsidRPr="00CE0424">
        <w:t>Discussion</w:t>
      </w:r>
      <w:bookmarkEnd w:id="1"/>
    </w:p>
    <w:p w14:paraId="68146150" w14:textId="130F9B6D" w:rsidR="007A4FAC" w:rsidRDefault="007A4FAC" w:rsidP="007A4FAC">
      <w:pPr>
        <w:pStyle w:val="BodyText"/>
      </w:pPr>
      <w:r>
        <w:t>The term ‘two-step DCI’ (or in general multi-step DCI) can be interpreted in many different ways. Herein we assume it means that the DCI content intended for one UE is split into two parts.</w:t>
      </w:r>
    </w:p>
    <w:p w14:paraId="70E61865" w14:textId="77777777" w:rsidR="007A4FAC" w:rsidRDefault="007A4FAC" w:rsidP="007A4FAC">
      <w:pPr>
        <w:pStyle w:val="BodyText"/>
      </w:pPr>
      <w:r>
        <w:t xml:space="preserve">It is discussed that the two-step DCI can potentially provide benefits in terms of </w:t>
      </w:r>
      <w:r>
        <w:fldChar w:fldCharType="begin"/>
      </w:r>
      <w:r>
        <w:instrText xml:space="preserve"> REF _Ref470613638 \n \h </w:instrText>
      </w:r>
      <w:r>
        <w:fldChar w:fldCharType="separate"/>
      </w:r>
      <w:r>
        <w:t>[1]</w:t>
      </w:r>
      <w:r>
        <w:fldChar w:fldCharType="end"/>
      </w:r>
    </w:p>
    <w:p w14:paraId="4642CED5" w14:textId="77777777" w:rsidR="007A4FAC" w:rsidRDefault="007A4FAC" w:rsidP="007A4FAC">
      <w:pPr>
        <w:pStyle w:val="BodyText"/>
        <w:numPr>
          <w:ilvl w:val="0"/>
          <w:numId w:val="38"/>
        </w:numPr>
        <w:overflowPunct/>
        <w:autoSpaceDE/>
        <w:autoSpaceDN/>
        <w:adjustRightInd/>
        <w:textAlignment w:val="auto"/>
      </w:pPr>
      <w:r>
        <w:t xml:space="preserve">Processing timeline improvement; </w:t>
      </w:r>
    </w:p>
    <w:p w14:paraId="0C0589D7" w14:textId="77777777" w:rsidR="007A4FAC" w:rsidRDefault="007A4FAC" w:rsidP="007A4FAC">
      <w:pPr>
        <w:pStyle w:val="BodyText"/>
        <w:numPr>
          <w:ilvl w:val="1"/>
          <w:numId w:val="38"/>
        </w:numPr>
        <w:overflowPunct/>
        <w:autoSpaceDE/>
        <w:autoSpaceDN/>
        <w:adjustRightInd/>
        <w:textAlignment w:val="auto"/>
      </w:pPr>
      <w:r>
        <w:t>time-critical information such as resource allocation can be provided in the first part and less time-critical information such as HARQ information can be provided in the second part.</w:t>
      </w:r>
    </w:p>
    <w:p w14:paraId="4B85A305" w14:textId="77777777" w:rsidR="007A4FAC" w:rsidRPr="007146C7" w:rsidRDefault="007A4FAC" w:rsidP="007A4FAC">
      <w:pPr>
        <w:pStyle w:val="ListParagraph"/>
        <w:numPr>
          <w:ilvl w:val="1"/>
          <w:numId w:val="38"/>
        </w:numPr>
        <w:contextualSpacing/>
        <w:rPr>
          <w:rFonts w:ascii="Arial" w:hAnsi="Arial" w:cs="Arial"/>
          <w:lang w:val="en-US"/>
        </w:rPr>
      </w:pPr>
      <w:r w:rsidRPr="007146C7">
        <w:rPr>
          <w:rFonts w:ascii="Arial" w:hAnsi="Arial" w:cs="Arial"/>
          <w:lang w:val="en-US"/>
        </w:rPr>
        <w:t>gNB side: quick gNB DL scheduling turn-around where the first DCI is transmitted before the gNB has finished decoding HARQ feedback from PUCCH</w:t>
      </w:r>
    </w:p>
    <w:p w14:paraId="60CBCD35" w14:textId="77777777" w:rsidR="007A4FAC" w:rsidRPr="007146C7" w:rsidRDefault="007A4FAC" w:rsidP="007A4FAC">
      <w:pPr>
        <w:pStyle w:val="ListParagraph"/>
        <w:numPr>
          <w:ilvl w:val="1"/>
          <w:numId w:val="38"/>
        </w:numPr>
        <w:contextualSpacing/>
        <w:rPr>
          <w:rFonts w:ascii="Arial" w:hAnsi="Arial" w:cs="Arial"/>
          <w:lang w:val="en-US"/>
        </w:rPr>
      </w:pPr>
      <w:r w:rsidRPr="007146C7">
        <w:rPr>
          <w:rFonts w:ascii="Arial" w:hAnsi="Arial" w:cs="Arial"/>
          <w:kern w:val="2"/>
          <w:lang w:val="en-US" w:eastAsia="zh-CN"/>
        </w:rPr>
        <w:t xml:space="preserve">UE side: only minimum control information necessary for starting channel estimation and demodulation at UE is </w:t>
      </w:r>
      <w:r w:rsidRPr="007146C7">
        <w:rPr>
          <w:rFonts w:ascii="Arial" w:eastAsiaTheme="minorEastAsia" w:hAnsi="Arial" w:cs="Arial"/>
          <w:kern w:val="2"/>
          <w:lang w:val="en-US" w:eastAsia="zh-CN"/>
        </w:rPr>
        <w:t>contained</w:t>
      </w:r>
      <w:r w:rsidRPr="007146C7">
        <w:rPr>
          <w:rFonts w:ascii="Arial" w:hAnsi="Arial" w:cs="Arial"/>
          <w:kern w:val="2"/>
          <w:lang w:val="en-US" w:eastAsia="zh-CN"/>
        </w:rPr>
        <w:t xml:space="preserve"> </w:t>
      </w:r>
      <w:r w:rsidRPr="007146C7">
        <w:rPr>
          <w:rFonts w:ascii="Arial" w:eastAsiaTheme="minorEastAsia" w:hAnsi="Arial" w:cs="Arial"/>
          <w:kern w:val="2"/>
          <w:lang w:val="en-US" w:eastAsia="zh-CN"/>
        </w:rPr>
        <w:t>in</w:t>
      </w:r>
      <w:r w:rsidRPr="007146C7">
        <w:rPr>
          <w:rFonts w:ascii="Arial" w:hAnsi="Arial" w:cs="Arial"/>
          <w:kern w:val="2"/>
          <w:lang w:val="en-US" w:eastAsia="zh-CN"/>
        </w:rPr>
        <w:t xml:space="preserve"> the </w:t>
      </w:r>
      <w:r w:rsidRPr="007146C7">
        <w:rPr>
          <w:rFonts w:ascii="Arial" w:eastAsiaTheme="minorEastAsia" w:hAnsi="Arial" w:cs="Arial"/>
          <w:kern w:val="2"/>
          <w:lang w:val="en-US" w:eastAsia="zh-CN"/>
        </w:rPr>
        <w:t>first-</w:t>
      </w:r>
      <w:r w:rsidRPr="007146C7">
        <w:rPr>
          <w:rFonts w:ascii="Arial" w:hAnsi="Arial" w:cs="Arial"/>
          <w:kern w:val="2"/>
          <w:lang w:val="en-US" w:eastAsia="zh-CN"/>
        </w:rPr>
        <w:t>step DCI</w:t>
      </w:r>
      <w:r w:rsidRPr="007146C7">
        <w:rPr>
          <w:rFonts w:ascii="Arial" w:eastAsiaTheme="minorEastAsia" w:hAnsi="Arial" w:cs="Arial"/>
          <w:kern w:val="2"/>
          <w:lang w:val="en-US" w:eastAsia="zh-CN"/>
        </w:rPr>
        <w:t xml:space="preserve"> in the first OFDM symbol of a slot</w:t>
      </w:r>
    </w:p>
    <w:p w14:paraId="058C54A8" w14:textId="77777777" w:rsidR="007A4FAC" w:rsidRDefault="007A4FAC" w:rsidP="007A4FAC">
      <w:pPr>
        <w:ind w:left="1080"/>
      </w:pPr>
    </w:p>
    <w:p w14:paraId="739861CF" w14:textId="77777777" w:rsidR="007A4FAC" w:rsidRDefault="007A4FAC" w:rsidP="007A4FAC">
      <w:pPr>
        <w:pStyle w:val="BodyText"/>
        <w:numPr>
          <w:ilvl w:val="0"/>
          <w:numId w:val="38"/>
        </w:numPr>
        <w:overflowPunct/>
        <w:autoSpaceDE/>
        <w:autoSpaceDN/>
        <w:adjustRightInd/>
        <w:textAlignment w:val="auto"/>
      </w:pPr>
      <w:r>
        <w:t>DCI extension; locating part of the DCI in the assigned downlink resources is one way to extend the DCI with additional information not fitting into the first OFDM symbol(s) used for downlink control signaling.</w:t>
      </w:r>
    </w:p>
    <w:p w14:paraId="37ED258E" w14:textId="77777777" w:rsidR="007A4FAC" w:rsidRDefault="007A4FAC" w:rsidP="007A4FAC">
      <w:pPr>
        <w:pStyle w:val="BodyText"/>
        <w:numPr>
          <w:ilvl w:val="0"/>
          <w:numId w:val="38"/>
        </w:numPr>
        <w:overflowPunct/>
        <w:autoSpaceDE/>
        <w:autoSpaceDN/>
        <w:adjustRightInd/>
        <w:textAlignment w:val="auto"/>
      </w:pPr>
      <w:r>
        <w:t>Control payload offloading; to save control resources for DL assignments in the first-step DCI, with more spectrally efficient transmission of the second-step DCI</w:t>
      </w:r>
    </w:p>
    <w:p w14:paraId="1FC68D08" w14:textId="77777777" w:rsidR="007A4FAC" w:rsidRDefault="007A4FAC" w:rsidP="007A4FAC">
      <w:pPr>
        <w:pStyle w:val="BodyText"/>
      </w:pPr>
      <w:r>
        <w:t>In these examples the first part provides information on where to find the second part of the DCI and hence no separate blind decoding of the second part is needed.</w:t>
      </w:r>
    </w:p>
    <w:p w14:paraId="1F1D3A95" w14:textId="77777777" w:rsidR="007A4FAC" w:rsidRDefault="007A4FAC" w:rsidP="007A4FAC">
      <w:pPr>
        <w:pStyle w:val="BodyText"/>
      </w:pPr>
      <w:r>
        <w:t>However, a two-step DCI in principle has a couple of disadvantages</w:t>
      </w:r>
    </w:p>
    <w:p w14:paraId="3F5D3554" w14:textId="77777777" w:rsidR="007A4FAC" w:rsidRDefault="007A4FAC" w:rsidP="007A4FAC">
      <w:pPr>
        <w:pStyle w:val="BodyText"/>
        <w:numPr>
          <w:ilvl w:val="0"/>
          <w:numId w:val="39"/>
        </w:numPr>
        <w:overflowPunct/>
        <w:autoSpaceDE/>
        <w:autoSpaceDN/>
        <w:adjustRightInd/>
        <w:textAlignment w:val="auto"/>
      </w:pPr>
      <w:r>
        <w:t>Reduced coding efficiency as the two DCI parts needs to be coded separately.</w:t>
      </w:r>
    </w:p>
    <w:p w14:paraId="75D3B120" w14:textId="77777777" w:rsidR="007A4FAC" w:rsidRDefault="007A4FAC" w:rsidP="007A4FAC">
      <w:pPr>
        <w:pStyle w:val="BodyText"/>
        <w:numPr>
          <w:ilvl w:val="0"/>
          <w:numId w:val="39"/>
        </w:numPr>
        <w:overflowPunct/>
        <w:autoSpaceDE/>
        <w:autoSpaceDN/>
        <w:adjustRightInd/>
        <w:textAlignment w:val="auto"/>
      </w:pPr>
      <w:r>
        <w:t>Additional overhead. Either the two parts need separate CRCs or the first part has a CRC spanning both parts in which case the RNTI needs to be explicitly included in the first part (instead of being implicitly encoded in the CRC).</w:t>
      </w:r>
    </w:p>
    <w:p w14:paraId="553F221E" w14:textId="77777777" w:rsidR="007A4FAC" w:rsidRDefault="007A4FAC" w:rsidP="007A4FAC">
      <w:pPr>
        <w:pStyle w:val="BodyText"/>
        <w:numPr>
          <w:ilvl w:val="0"/>
          <w:numId w:val="39"/>
        </w:numPr>
        <w:overflowPunct/>
        <w:autoSpaceDE/>
        <w:autoSpaceDN/>
        <w:adjustRightInd/>
        <w:textAlignment w:val="auto"/>
      </w:pPr>
      <w:r>
        <w:t>Potentially reduces reliability as both DCI messages need to be successfully decoded prior to receiving downlink data/transmitting uplink data.</w:t>
      </w:r>
    </w:p>
    <w:p w14:paraId="720CBEB9" w14:textId="77777777" w:rsidR="007A4FAC" w:rsidRDefault="007A4FAC" w:rsidP="007A4FAC">
      <w:pPr>
        <w:pStyle w:val="BodyText"/>
      </w:pPr>
      <w:r>
        <w:lastRenderedPageBreak/>
        <w:t>Hence more investigations including performance evaluations are needed to demonstrate the performance gains in spite of the inherent disadvantages mentioned above. Few examples are listed below to motivate the need for further study for potential support for two stage DCI.</w:t>
      </w:r>
    </w:p>
    <w:p w14:paraId="6DFDB9A3" w14:textId="77777777" w:rsidR="007A4FAC" w:rsidRDefault="007A4FAC" w:rsidP="007A4FAC">
      <w:pPr>
        <w:pStyle w:val="BodyText"/>
        <w:numPr>
          <w:ilvl w:val="0"/>
          <w:numId w:val="41"/>
        </w:numPr>
        <w:overflowPunct/>
        <w:autoSpaceDE/>
        <w:autoSpaceDN/>
        <w:adjustRightInd/>
        <w:textAlignment w:val="auto"/>
      </w:pPr>
      <w:r>
        <w:t>Whether the improvement in channel estimation for demodulation purposes compensates for the reduced reliability of the overall DCI message and whether alternative means such as cross-slot scheduling are not able to achieve the same goal.</w:t>
      </w:r>
    </w:p>
    <w:p w14:paraId="39C79AED" w14:textId="77777777" w:rsidR="007A4FAC" w:rsidRDefault="007A4FAC" w:rsidP="007A4FAC">
      <w:pPr>
        <w:pStyle w:val="BodyText"/>
        <w:numPr>
          <w:ilvl w:val="0"/>
          <w:numId w:val="41"/>
        </w:numPr>
        <w:overflowPunct/>
        <w:autoSpaceDE/>
        <w:autoSpaceDN/>
        <w:adjustRightInd/>
        <w:textAlignment w:val="auto"/>
      </w:pPr>
      <w:r>
        <w:t xml:space="preserve">Whether enabling quick turn-around time at gNB provides any advantages in practice considering the complexity of the scheduler. For instance, it appears that in this case the scheduler should decide in advance to schedule data to the user with HARQ feedback in the next slot either as new or re-transmission being determined in the second stage. </w:t>
      </w:r>
    </w:p>
    <w:p w14:paraId="398F418D" w14:textId="77777777" w:rsidR="007A4FAC" w:rsidRDefault="007A4FAC" w:rsidP="007A4FAC">
      <w:pPr>
        <w:pStyle w:val="BodyText"/>
        <w:numPr>
          <w:ilvl w:val="0"/>
          <w:numId w:val="41"/>
        </w:numPr>
        <w:overflowPunct/>
        <w:autoSpaceDE/>
        <w:autoSpaceDN/>
        <w:adjustRightInd/>
        <w:textAlignment w:val="auto"/>
      </w:pPr>
      <w:r>
        <w:t xml:space="preserve">How the design and information included in the first stage needed for decoding the second stage, impacts the overall system performance </w:t>
      </w:r>
      <w:r>
        <w:rPr>
          <w:highlight w:val="yellow"/>
        </w:rPr>
        <w:fldChar w:fldCharType="begin"/>
      </w:r>
      <w:r>
        <w:instrText xml:space="preserve"> REF _Ref470613638 \n \h </w:instrText>
      </w:r>
      <w:r>
        <w:rPr>
          <w:highlight w:val="yellow"/>
        </w:rPr>
      </w:r>
      <w:r>
        <w:rPr>
          <w:highlight w:val="yellow"/>
        </w:rPr>
        <w:fldChar w:fldCharType="separate"/>
      </w:r>
      <w:r>
        <w:t>[1]</w:t>
      </w:r>
      <w:r>
        <w:rPr>
          <w:highlight w:val="yellow"/>
        </w:rPr>
        <w:fldChar w:fldCharType="end"/>
      </w:r>
      <w:r>
        <w:t xml:space="preserve">. For example, different alternatives were mentioned for beamforming as well as the transmission modes of two steps, mainly applying the same (e.g. wide beamforming) for both stages or only the first stage </w:t>
      </w:r>
      <w:r>
        <w:rPr>
          <w:highlight w:val="yellow"/>
        </w:rPr>
        <w:fldChar w:fldCharType="begin"/>
      </w:r>
      <w:r>
        <w:instrText xml:space="preserve"> REF _Ref470613638 \n \h </w:instrText>
      </w:r>
      <w:r>
        <w:rPr>
          <w:highlight w:val="yellow"/>
        </w:rPr>
      </w:r>
      <w:r>
        <w:rPr>
          <w:highlight w:val="yellow"/>
        </w:rPr>
        <w:fldChar w:fldCharType="separate"/>
      </w:r>
      <w:r>
        <w:t>[1]</w:t>
      </w:r>
      <w:r>
        <w:rPr>
          <w:highlight w:val="yellow"/>
        </w:rPr>
        <w:fldChar w:fldCharType="end"/>
      </w:r>
      <w:r>
        <w:t>. Any choice has an impact on the DCI reliability and load as well as scheduler flexibility and system performance. The same applies to different alternatives that are considered for resource allocation in the first stage which is needed for data reception after the second stage.</w:t>
      </w:r>
    </w:p>
    <w:p w14:paraId="47D294B1" w14:textId="77777777" w:rsidR="007A4FAC" w:rsidRDefault="007A4FAC" w:rsidP="007A4FAC">
      <w:pPr>
        <w:pStyle w:val="BodyText"/>
      </w:pPr>
      <w:r>
        <w:t>Moreover, without having a clear picture of the single-stage DCI design it is immature to speculate on excessive DCI load and the need for a two-stage DCI design in the first phase of NR design. Still, many details related to single-stage DCI are remained to be resolved, particularly the identification of DCI fields and their corresponding sizes. Having the single-stage DCI design in place, the corresponding DCI-load will be measured more closely based on the expected design.  Hence follow-up assessments to identify use cases where DCI would potentially be overloaded would be more accurate and consequently, the need for potential solutions such as two-stage DCI for improvement would be more convincing.</w:t>
      </w:r>
      <w:r w:rsidRPr="00651CEA">
        <w:t xml:space="preserve"> </w:t>
      </w:r>
      <w:r>
        <w:t>At this stage it is suggested to use a single-step DCI as the baseline for downlink control signaling in NR. Two-step DCI can be studied as a possible enhancement once the baseline design in in place.</w:t>
      </w:r>
    </w:p>
    <w:p w14:paraId="749F154D" w14:textId="77777777" w:rsidR="007A4FAC" w:rsidRPr="002612DA" w:rsidRDefault="007A4FAC" w:rsidP="007A4FAC">
      <w:pPr>
        <w:pStyle w:val="BodyText"/>
      </w:pPr>
      <w:r w:rsidRPr="002612DA">
        <w:t>Based on the above discussion we propose the following observations and proposal:</w:t>
      </w:r>
    </w:p>
    <w:p w14:paraId="1601245C" w14:textId="77777777" w:rsidR="007A4FAC" w:rsidRPr="002612DA" w:rsidRDefault="007A4FAC" w:rsidP="007A4FAC">
      <w:pPr>
        <w:pStyle w:val="BodyText"/>
        <w:rPr>
          <w:b/>
        </w:rPr>
      </w:pPr>
      <w:r w:rsidRPr="002612DA">
        <w:rPr>
          <w:b/>
        </w:rPr>
        <w:t>Observation</w:t>
      </w:r>
      <w:r>
        <w:rPr>
          <w:b/>
        </w:rPr>
        <w:t>s</w:t>
      </w:r>
      <w:r w:rsidRPr="002612DA">
        <w:rPr>
          <w:b/>
        </w:rPr>
        <w:t>:</w:t>
      </w:r>
    </w:p>
    <w:p w14:paraId="44DC9ACA" w14:textId="77777777" w:rsidR="007A4FAC" w:rsidRDefault="007A4FAC" w:rsidP="007A4FAC">
      <w:pPr>
        <w:pStyle w:val="BodyText"/>
        <w:numPr>
          <w:ilvl w:val="0"/>
          <w:numId w:val="40"/>
        </w:numPr>
        <w:overflowPunct/>
        <w:autoSpaceDE/>
        <w:autoSpaceDN/>
        <w:adjustRightInd/>
        <w:textAlignment w:val="auto"/>
      </w:pPr>
      <w:r>
        <w:t>The potential benefits of the two-stage DCI are questionable.</w:t>
      </w:r>
    </w:p>
    <w:p w14:paraId="5E2B0827" w14:textId="670052CB" w:rsidR="007A4FAC" w:rsidRPr="002612DA" w:rsidRDefault="007A4FAC" w:rsidP="007A4FAC">
      <w:pPr>
        <w:pStyle w:val="BodyText"/>
        <w:numPr>
          <w:ilvl w:val="0"/>
          <w:numId w:val="40"/>
        </w:numPr>
        <w:overflowPunct/>
        <w:autoSpaceDE/>
        <w:autoSpaceDN/>
        <w:adjustRightInd/>
        <w:textAlignment w:val="auto"/>
      </w:pPr>
      <w:r>
        <w:t>Without having a clear picture of the single-stage DCI design it is immature to speculate on the stated benefits or the need for a two-stage DCI design in the first phase of NR design.</w:t>
      </w:r>
    </w:p>
    <w:p w14:paraId="33E4B907" w14:textId="77777777" w:rsidR="007A4FAC" w:rsidRPr="002612DA" w:rsidRDefault="007A4FAC" w:rsidP="007A4FAC">
      <w:pPr>
        <w:pStyle w:val="BodyText"/>
        <w:rPr>
          <w:b/>
        </w:rPr>
      </w:pPr>
      <w:r w:rsidRPr="002612DA">
        <w:rPr>
          <w:b/>
        </w:rPr>
        <w:t>Proposal:</w:t>
      </w:r>
    </w:p>
    <w:p w14:paraId="7080F3D9" w14:textId="34F704B6" w:rsidR="00AE553B" w:rsidRPr="00AE553B" w:rsidRDefault="007A4FAC" w:rsidP="00AE553B">
      <w:r>
        <w:t>At this stage it is suggested to use a single-step DCI as the baseline for downlink control signaling in NR. Two-step DCI can be studied as a possible enhancement once the baseline design is in place.</w:t>
      </w:r>
    </w:p>
    <w:p w14:paraId="52194F8F" w14:textId="4D447D41" w:rsidR="00AE553B" w:rsidRDefault="00AE553B" w:rsidP="00AE553B">
      <w:pPr>
        <w:pStyle w:val="Heading1"/>
      </w:pPr>
      <w:r>
        <w:t>Conclusion</w:t>
      </w:r>
    </w:p>
    <w:p w14:paraId="4B71EC54" w14:textId="77777777" w:rsidR="007A4FAC" w:rsidRPr="00B013EE" w:rsidRDefault="007A4FAC" w:rsidP="007A4FAC">
      <w:pPr>
        <w:pStyle w:val="BodyText"/>
      </w:pPr>
      <w:r>
        <w:t>In this contribution we provided some views on having a two-step DCI. Based on our discussion we made the following proposal:</w:t>
      </w:r>
    </w:p>
    <w:p w14:paraId="6C842875" w14:textId="77777777" w:rsidR="007A4FAC" w:rsidRPr="00B013EE" w:rsidRDefault="007A4FAC" w:rsidP="007A4FAC">
      <w:pPr>
        <w:pStyle w:val="BodyText"/>
        <w:rPr>
          <w:b/>
        </w:rPr>
      </w:pPr>
      <w:r w:rsidRPr="00B013EE">
        <w:rPr>
          <w:b/>
        </w:rPr>
        <w:t>Proposal:</w:t>
      </w:r>
    </w:p>
    <w:p w14:paraId="578600D3" w14:textId="3530C381" w:rsidR="00AE553B" w:rsidRPr="00AE553B" w:rsidRDefault="007A4FAC" w:rsidP="000E12F0">
      <w:pPr>
        <w:pStyle w:val="BodyText"/>
        <w:overflowPunct/>
        <w:autoSpaceDE/>
        <w:autoSpaceDN/>
        <w:adjustRightInd/>
        <w:ind w:left="720"/>
        <w:textAlignment w:val="auto"/>
      </w:pPr>
      <w:r>
        <w:t>At this stage it is suggested to use a single-step DCI as the baseline for downlink control signaling in NR. Two-step DCI can be studied as a possible enhancement once the baseline design is in place.</w:t>
      </w:r>
    </w:p>
    <w:p w14:paraId="3CA25FCB" w14:textId="67E15E7F" w:rsidR="00F507D1" w:rsidRPr="00CE0424" w:rsidRDefault="00F507D1" w:rsidP="0009033B">
      <w:pPr>
        <w:pStyle w:val="Heading1"/>
      </w:pPr>
      <w:bookmarkStart w:id="2" w:name="_In-sequence_SDU_delivery"/>
      <w:bookmarkEnd w:id="2"/>
      <w:r w:rsidRPr="00CE0424">
        <w:t>References</w:t>
      </w:r>
    </w:p>
    <w:p w14:paraId="7BD1958E" w14:textId="2AC8E9C1" w:rsidR="002F43C5" w:rsidRPr="003B365D" w:rsidRDefault="007A4FAC" w:rsidP="003B365D">
      <w:pPr>
        <w:pStyle w:val="Reference"/>
        <w:rPr>
          <w:lang w:val="en-US"/>
        </w:rPr>
      </w:pPr>
      <w:bookmarkStart w:id="3" w:name="_Ref470613638"/>
      <w:bookmarkStart w:id="4" w:name="_Ref465931227"/>
      <w:bookmarkStart w:id="5" w:name="_Ref458515583"/>
      <w:bookmarkStart w:id="6" w:name="_Ref174151459"/>
      <w:bookmarkStart w:id="7" w:name="_Ref189809556"/>
      <w:bookmarkStart w:id="8" w:name="_Ref458165837"/>
      <w:r w:rsidRPr="007A4FAC">
        <w:t>R1-1611656</w:t>
      </w:r>
      <w:r w:rsidRPr="007A4FAC">
        <w:tab/>
      </w:r>
      <w:r w:rsidRPr="007A4FAC">
        <w:tab/>
        <w:t>Email discussion [86b-23] on multi-steps DL control channel design; Huawei</w:t>
      </w:r>
      <w:bookmarkEnd w:id="3"/>
      <w:bookmarkEnd w:id="4"/>
      <w:bookmarkEnd w:id="5"/>
      <w:bookmarkEnd w:id="6"/>
      <w:bookmarkEnd w:id="7"/>
      <w:bookmarkEnd w:id="8"/>
    </w:p>
    <w:sectPr w:rsidR="002F43C5" w:rsidRPr="003B365D">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79335" w14:textId="77777777" w:rsidR="003C70A5" w:rsidRDefault="003C70A5">
      <w:r>
        <w:separator/>
      </w:r>
    </w:p>
  </w:endnote>
  <w:endnote w:type="continuationSeparator" w:id="0">
    <w:p w14:paraId="5D98597E" w14:textId="77777777" w:rsidR="003C70A5" w:rsidRDefault="003C70A5">
      <w:r>
        <w:continuationSeparator/>
      </w:r>
    </w:p>
  </w:endnote>
  <w:endnote w:type="continuationNotice" w:id="1">
    <w:p w14:paraId="09D41C4C" w14:textId="77777777" w:rsidR="003C70A5" w:rsidRDefault="003C70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4C908682" w:rsidR="00562566" w:rsidRDefault="0056256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C5A0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5A02">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52F482" w14:textId="77777777" w:rsidR="003C70A5" w:rsidRDefault="003C70A5">
      <w:r>
        <w:separator/>
      </w:r>
    </w:p>
  </w:footnote>
  <w:footnote w:type="continuationSeparator" w:id="0">
    <w:p w14:paraId="77DD736F" w14:textId="77777777" w:rsidR="003C70A5" w:rsidRDefault="003C70A5">
      <w:r>
        <w:continuationSeparator/>
      </w:r>
    </w:p>
  </w:footnote>
  <w:footnote w:type="continuationNotice" w:id="1">
    <w:p w14:paraId="430D6DE9" w14:textId="77777777" w:rsidR="003C70A5" w:rsidRDefault="003C70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562566" w:rsidRDefault="0056256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8C26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AA62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D74DBC4"/>
    <w:lvl w:ilvl="0">
      <w:start w:val="1"/>
      <w:numFmt w:val="decimal"/>
      <w:lvlText w:val="%1."/>
      <w:lvlJc w:val="left"/>
      <w:pPr>
        <w:tabs>
          <w:tab w:val="num" w:pos="926"/>
        </w:tabs>
        <w:ind w:left="926" w:hanging="360"/>
      </w:pPr>
    </w:lvl>
  </w:abstractNum>
  <w:abstractNum w:abstractNumId="4" w15:restartNumberingAfterBreak="0">
    <w:nsid w:val="00CE194C"/>
    <w:multiLevelType w:val="hybridMultilevel"/>
    <w:tmpl w:val="70143B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D865AF"/>
    <w:multiLevelType w:val="hybridMultilevel"/>
    <w:tmpl w:val="6F466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355C00"/>
    <w:multiLevelType w:val="hybridMultilevel"/>
    <w:tmpl w:val="69460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B50837"/>
    <w:multiLevelType w:val="hybridMultilevel"/>
    <w:tmpl w:val="B09C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5568BA"/>
    <w:multiLevelType w:val="hybridMultilevel"/>
    <w:tmpl w:val="0246A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CD1B5A"/>
    <w:multiLevelType w:val="hybridMultilevel"/>
    <w:tmpl w:val="F26238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CDD0D93"/>
    <w:multiLevelType w:val="hybridMultilevel"/>
    <w:tmpl w:val="D06072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9"/>
  </w:num>
  <w:num w:numId="3">
    <w:abstractNumId w:val="22"/>
  </w:num>
  <w:num w:numId="4">
    <w:abstractNumId w:val="23"/>
  </w:num>
  <w:num w:numId="5">
    <w:abstractNumId w:val="17"/>
  </w:num>
  <w:num w:numId="6">
    <w:abstractNumId w:val="26"/>
  </w:num>
  <w:num w:numId="7">
    <w:abstractNumId w:val="32"/>
  </w:num>
  <w:num w:numId="8">
    <w:abstractNumId w:val="18"/>
  </w:num>
  <w:num w:numId="9">
    <w:abstractNumId w:val="13"/>
  </w:num>
  <w:num w:numId="10">
    <w:abstractNumId w:val="3"/>
  </w:num>
  <w:num w:numId="11">
    <w:abstractNumId w:val="2"/>
  </w:num>
  <w:num w:numId="12">
    <w:abstractNumId w:val="1"/>
  </w:num>
  <w:num w:numId="13">
    <w:abstractNumId w:val="31"/>
  </w:num>
  <w:num w:numId="14">
    <w:abstractNumId w:val="0"/>
  </w:num>
  <w:num w:numId="15">
    <w:abstractNumId w:val="14"/>
  </w:num>
  <w:num w:numId="16">
    <w:abstractNumId w:val="33"/>
  </w:num>
  <w:num w:numId="17">
    <w:abstractNumId w:val="24"/>
  </w:num>
  <w:num w:numId="18">
    <w:abstractNumId w:val="28"/>
  </w:num>
  <w:num w:numId="19">
    <w:abstractNumId w:val="8"/>
  </w:num>
  <w:num w:numId="20">
    <w:abstractNumId w:val="21"/>
  </w:num>
  <w:num w:numId="21">
    <w:abstractNumId w:val="11"/>
  </w:num>
  <w:num w:numId="22">
    <w:abstractNumId w:val="6"/>
  </w:num>
  <w:num w:numId="23">
    <w:abstractNumId w:val="27"/>
  </w:num>
  <w:num w:numId="24">
    <w:abstractNumId w:val="25"/>
  </w:num>
  <w:num w:numId="25">
    <w:abstractNumId w:val="15"/>
  </w:num>
  <w:num w:numId="26">
    <w:abstractNumId w:val="9"/>
  </w:num>
  <w:num w:numId="27">
    <w:abstractNumId w:val="12"/>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num>
  <w:num w:numId="30">
    <w:abstractNumId w:val="16"/>
  </w:num>
  <w:num w:numId="31">
    <w:abstractNumId w:val="36"/>
  </w:num>
  <w:num w:numId="32">
    <w:abstractNumId w:val="22"/>
    <w:lvlOverride w:ilvl="0">
      <w:startOverride w:val="5"/>
    </w:lvlOverride>
  </w:num>
  <w:num w:numId="33">
    <w:abstractNumId w:val="30"/>
  </w:num>
  <w:num w:numId="34">
    <w:abstractNumId w:val="4"/>
  </w:num>
  <w:num w:numId="35">
    <w:abstractNumId w:val="37"/>
  </w:num>
  <w:num w:numId="36">
    <w:abstractNumId w:val="7"/>
  </w:num>
  <w:num w:numId="37">
    <w:abstractNumId w:val="35"/>
  </w:num>
  <w:num w:numId="38">
    <w:abstractNumId w:val="20"/>
  </w:num>
  <w:num w:numId="39">
    <w:abstractNumId w:val="19"/>
  </w:num>
  <w:num w:numId="40">
    <w:abstractNumId w:val="10"/>
  </w:num>
  <w:num w:numId="41">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B28"/>
    <w:rsid w:val="00015154"/>
    <w:rsid w:val="00015D15"/>
    <w:rsid w:val="00015F6F"/>
    <w:rsid w:val="000211D9"/>
    <w:rsid w:val="0002564D"/>
    <w:rsid w:val="00025ECA"/>
    <w:rsid w:val="000266D4"/>
    <w:rsid w:val="0003178D"/>
    <w:rsid w:val="000325B8"/>
    <w:rsid w:val="00032982"/>
    <w:rsid w:val="000340C8"/>
    <w:rsid w:val="00034C15"/>
    <w:rsid w:val="00036BA1"/>
    <w:rsid w:val="000370CC"/>
    <w:rsid w:val="000422E2"/>
    <w:rsid w:val="00042F22"/>
    <w:rsid w:val="000444EF"/>
    <w:rsid w:val="00045529"/>
    <w:rsid w:val="000476CE"/>
    <w:rsid w:val="00052A07"/>
    <w:rsid w:val="000534E3"/>
    <w:rsid w:val="0005606A"/>
    <w:rsid w:val="0005666E"/>
    <w:rsid w:val="00056D8D"/>
    <w:rsid w:val="00057117"/>
    <w:rsid w:val="000616E7"/>
    <w:rsid w:val="0006478A"/>
    <w:rsid w:val="0006487E"/>
    <w:rsid w:val="00065E1A"/>
    <w:rsid w:val="0007265B"/>
    <w:rsid w:val="00076C39"/>
    <w:rsid w:val="00077E5F"/>
    <w:rsid w:val="0008036A"/>
    <w:rsid w:val="00081AE6"/>
    <w:rsid w:val="000855EB"/>
    <w:rsid w:val="00085B52"/>
    <w:rsid w:val="000866F2"/>
    <w:rsid w:val="0008736E"/>
    <w:rsid w:val="0009009F"/>
    <w:rsid w:val="0009012F"/>
    <w:rsid w:val="0009033B"/>
    <w:rsid w:val="00091557"/>
    <w:rsid w:val="000924C1"/>
    <w:rsid w:val="000924F0"/>
    <w:rsid w:val="00092B4B"/>
    <w:rsid w:val="00093474"/>
    <w:rsid w:val="0009510F"/>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4797"/>
    <w:rsid w:val="000E0527"/>
    <w:rsid w:val="000E12F0"/>
    <w:rsid w:val="000E17AD"/>
    <w:rsid w:val="000E1A1F"/>
    <w:rsid w:val="000E1E92"/>
    <w:rsid w:val="000F06D6"/>
    <w:rsid w:val="000F0839"/>
    <w:rsid w:val="000F0EB1"/>
    <w:rsid w:val="000F1106"/>
    <w:rsid w:val="000F3BE9"/>
    <w:rsid w:val="000F3F6C"/>
    <w:rsid w:val="000F4CE5"/>
    <w:rsid w:val="000F6DF3"/>
    <w:rsid w:val="000F7070"/>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332"/>
    <w:rsid w:val="00142AA9"/>
    <w:rsid w:val="0014596D"/>
    <w:rsid w:val="00145CF2"/>
    <w:rsid w:val="00147B9C"/>
    <w:rsid w:val="001507D7"/>
    <w:rsid w:val="00151E23"/>
    <w:rsid w:val="001526E0"/>
    <w:rsid w:val="001551B5"/>
    <w:rsid w:val="00156F68"/>
    <w:rsid w:val="0016360E"/>
    <w:rsid w:val="00164D4A"/>
    <w:rsid w:val="001659C1"/>
    <w:rsid w:val="00166E7F"/>
    <w:rsid w:val="00167763"/>
    <w:rsid w:val="00170546"/>
    <w:rsid w:val="00170C0D"/>
    <w:rsid w:val="00173A8E"/>
    <w:rsid w:val="00174693"/>
    <w:rsid w:val="001748BD"/>
    <w:rsid w:val="00177795"/>
    <w:rsid w:val="0018129E"/>
    <w:rsid w:val="0018143F"/>
    <w:rsid w:val="00181E9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2C68"/>
    <w:rsid w:val="001C3D2A"/>
    <w:rsid w:val="001C7626"/>
    <w:rsid w:val="001D51BA"/>
    <w:rsid w:val="001D6342"/>
    <w:rsid w:val="001D6D53"/>
    <w:rsid w:val="001E1C24"/>
    <w:rsid w:val="001E58E2"/>
    <w:rsid w:val="001E6E7C"/>
    <w:rsid w:val="001E7AED"/>
    <w:rsid w:val="001F1728"/>
    <w:rsid w:val="001F238A"/>
    <w:rsid w:val="001F344D"/>
    <w:rsid w:val="001F3916"/>
    <w:rsid w:val="001F54C5"/>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17C2F"/>
    <w:rsid w:val="00220600"/>
    <w:rsid w:val="0022138B"/>
    <w:rsid w:val="002224DB"/>
    <w:rsid w:val="00223847"/>
    <w:rsid w:val="00223FCB"/>
    <w:rsid w:val="002252C3"/>
    <w:rsid w:val="00225C54"/>
    <w:rsid w:val="00230765"/>
    <w:rsid w:val="002319E4"/>
    <w:rsid w:val="00231A9A"/>
    <w:rsid w:val="00232D4C"/>
    <w:rsid w:val="0023309C"/>
    <w:rsid w:val="002342CA"/>
    <w:rsid w:val="00235632"/>
    <w:rsid w:val="00235872"/>
    <w:rsid w:val="00240B51"/>
    <w:rsid w:val="00241559"/>
    <w:rsid w:val="002432E4"/>
    <w:rsid w:val="002435B3"/>
    <w:rsid w:val="002458EB"/>
    <w:rsid w:val="002500C8"/>
    <w:rsid w:val="002512D7"/>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5F5"/>
    <w:rsid w:val="00280751"/>
    <w:rsid w:val="0028280A"/>
    <w:rsid w:val="00286ACD"/>
    <w:rsid w:val="00287838"/>
    <w:rsid w:val="002901B1"/>
    <w:rsid w:val="002907B5"/>
    <w:rsid w:val="00290F51"/>
    <w:rsid w:val="00292EB7"/>
    <w:rsid w:val="002944FD"/>
    <w:rsid w:val="00296227"/>
    <w:rsid w:val="00296F44"/>
    <w:rsid w:val="0029745E"/>
    <w:rsid w:val="0029777D"/>
    <w:rsid w:val="002A055E"/>
    <w:rsid w:val="002A10CB"/>
    <w:rsid w:val="002A1D4E"/>
    <w:rsid w:val="002A24B9"/>
    <w:rsid w:val="002A2869"/>
    <w:rsid w:val="002B0227"/>
    <w:rsid w:val="002B0907"/>
    <w:rsid w:val="002B24D6"/>
    <w:rsid w:val="002B4CE9"/>
    <w:rsid w:val="002C406E"/>
    <w:rsid w:val="002C41E6"/>
    <w:rsid w:val="002C6788"/>
    <w:rsid w:val="002D071A"/>
    <w:rsid w:val="002D1464"/>
    <w:rsid w:val="002D34B2"/>
    <w:rsid w:val="002D4A15"/>
    <w:rsid w:val="002D565F"/>
    <w:rsid w:val="002D7225"/>
    <w:rsid w:val="002D7637"/>
    <w:rsid w:val="002E01DD"/>
    <w:rsid w:val="002E0CF4"/>
    <w:rsid w:val="002E17F2"/>
    <w:rsid w:val="002E6D28"/>
    <w:rsid w:val="002E6DDB"/>
    <w:rsid w:val="002E7CAE"/>
    <w:rsid w:val="002F05A6"/>
    <w:rsid w:val="002F2771"/>
    <w:rsid w:val="002F37A9"/>
    <w:rsid w:val="002F43C5"/>
    <w:rsid w:val="002F5BBD"/>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203ED"/>
    <w:rsid w:val="00322C9F"/>
    <w:rsid w:val="003244F4"/>
    <w:rsid w:val="00324D23"/>
    <w:rsid w:val="003268E0"/>
    <w:rsid w:val="00327A7D"/>
    <w:rsid w:val="00331751"/>
    <w:rsid w:val="00334579"/>
    <w:rsid w:val="00335858"/>
    <w:rsid w:val="0033662A"/>
    <w:rsid w:val="00336BDA"/>
    <w:rsid w:val="00337F45"/>
    <w:rsid w:val="0034246D"/>
    <w:rsid w:val="00342BD7"/>
    <w:rsid w:val="00343A07"/>
    <w:rsid w:val="00344600"/>
    <w:rsid w:val="00346DB5"/>
    <w:rsid w:val="003477B1"/>
    <w:rsid w:val="00357380"/>
    <w:rsid w:val="003602D9"/>
    <w:rsid w:val="003604CE"/>
    <w:rsid w:val="003639EA"/>
    <w:rsid w:val="00365F79"/>
    <w:rsid w:val="00370E47"/>
    <w:rsid w:val="003742AC"/>
    <w:rsid w:val="003766F3"/>
    <w:rsid w:val="00377CE1"/>
    <w:rsid w:val="00385BF0"/>
    <w:rsid w:val="0038707C"/>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EF3"/>
    <w:rsid w:val="003B159C"/>
    <w:rsid w:val="003B34DC"/>
    <w:rsid w:val="003B365D"/>
    <w:rsid w:val="003B369F"/>
    <w:rsid w:val="003B36A3"/>
    <w:rsid w:val="003B4E27"/>
    <w:rsid w:val="003B7FE5"/>
    <w:rsid w:val="003C11C8"/>
    <w:rsid w:val="003C2702"/>
    <w:rsid w:val="003C3308"/>
    <w:rsid w:val="003C6056"/>
    <w:rsid w:val="003C70A5"/>
    <w:rsid w:val="003C7806"/>
    <w:rsid w:val="003C78E0"/>
    <w:rsid w:val="003D02F2"/>
    <w:rsid w:val="003D0CD4"/>
    <w:rsid w:val="003D109F"/>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4DE"/>
    <w:rsid w:val="00437447"/>
    <w:rsid w:val="00441A92"/>
    <w:rsid w:val="00444F56"/>
    <w:rsid w:val="00446488"/>
    <w:rsid w:val="00447DDB"/>
    <w:rsid w:val="004517AA"/>
    <w:rsid w:val="00452B53"/>
    <w:rsid w:val="00452CAC"/>
    <w:rsid w:val="00457565"/>
    <w:rsid w:val="00457B71"/>
    <w:rsid w:val="004669E2"/>
    <w:rsid w:val="00470C31"/>
    <w:rsid w:val="004734D0"/>
    <w:rsid w:val="0047447B"/>
    <w:rsid w:val="00474CE8"/>
    <w:rsid w:val="0047556B"/>
    <w:rsid w:val="00477768"/>
    <w:rsid w:val="00484FD1"/>
    <w:rsid w:val="004903E5"/>
    <w:rsid w:val="00492BC5"/>
    <w:rsid w:val="004964F1"/>
    <w:rsid w:val="004A163A"/>
    <w:rsid w:val="004A16BC"/>
    <w:rsid w:val="004A2B94"/>
    <w:rsid w:val="004B6991"/>
    <w:rsid w:val="004B7C0C"/>
    <w:rsid w:val="004C3898"/>
    <w:rsid w:val="004C4D69"/>
    <w:rsid w:val="004C6818"/>
    <w:rsid w:val="004D204A"/>
    <w:rsid w:val="004D36B1"/>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16F9"/>
    <w:rsid w:val="005153A7"/>
    <w:rsid w:val="005219CF"/>
    <w:rsid w:val="00534B59"/>
    <w:rsid w:val="00536759"/>
    <w:rsid w:val="00537C62"/>
    <w:rsid w:val="00543986"/>
    <w:rsid w:val="00544D5B"/>
    <w:rsid w:val="00545E72"/>
    <w:rsid w:val="00546970"/>
    <w:rsid w:val="00546C74"/>
    <w:rsid w:val="00554E19"/>
    <w:rsid w:val="00555435"/>
    <w:rsid w:val="00557D7C"/>
    <w:rsid w:val="0056121F"/>
    <w:rsid w:val="00562566"/>
    <w:rsid w:val="00566E2B"/>
    <w:rsid w:val="0057036A"/>
    <w:rsid w:val="00572505"/>
    <w:rsid w:val="00582809"/>
    <w:rsid w:val="0058798C"/>
    <w:rsid w:val="005900FA"/>
    <w:rsid w:val="005935A4"/>
    <w:rsid w:val="005948C2"/>
    <w:rsid w:val="00595DCA"/>
    <w:rsid w:val="00595EC8"/>
    <w:rsid w:val="0059779B"/>
    <w:rsid w:val="005A0A5B"/>
    <w:rsid w:val="005A209A"/>
    <w:rsid w:val="005A2E25"/>
    <w:rsid w:val="005A61E5"/>
    <w:rsid w:val="005A662D"/>
    <w:rsid w:val="005B35D7"/>
    <w:rsid w:val="005B392A"/>
    <w:rsid w:val="005B3AA3"/>
    <w:rsid w:val="005B3F59"/>
    <w:rsid w:val="005B6F83"/>
    <w:rsid w:val="005C0B51"/>
    <w:rsid w:val="005C0C58"/>
    <w:rsid w:val="005C74FB"/>
    <w:rsid w:val="005D1602"/>
    <w:rsid w:val="005D22E6"/>
    <w:rsid w:val="005E0F14"/>
    <w:rsid w:val="005E1A85"/>
    <w:rsid w:val="005E3240"/>
    <w:rsid w:val="005E385F"/>
    <w:rsid w:val="005E5469"/>
    <w:rsid w:val="005E5B81"/>
    <w:rsid w:val="005F10E8"/>
    <w:rsid w:val="005F2CB1"/>
    <w:rsid w:val="005F3025"/>
    <w:rsid w:val="005F618C"/>
    <w:rsid w:val="005F70BD"/>
    <w:rsid w:val="005F70DE"/>
    <w:rsid w:val="0060283C"/>
    <w:rsid w:val="00604F14"/>
    <w:rsid w:val="00611B83"/>
    <w:rsid w:val="00613257"/>
    <w:rsid w:val="00617C2C"/>
    <w:rsid w:val="00620A71"/>
    <w:rsid w:val="00620D80"/>
    <w:rsid w:val="00621B29"/>
    <w:rsid w:val="006234A6"/>
    <w:rsid w:val="0062431E"/>
    <w:rsid w:val="00624B66"/>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50AB9"/>
    <w:rsid w:val="00652923"/>
    <w:rsid w:val="00652E10"/>
    <w:rsid w:val="00655733"/>
    <w:rsid w:val="00655ACD"/>
    <w:rsid w:val="00656734"/>
    <w:rsid w:val="00656A92"/>
    <w:rsid w:val="00656DDE"/>
    <w:rsid w:val="00660020"/>
    <w:rsid w:val="0066011D"/>
    <w:rsid w:val="006607C0"/>
    <w:rsid w:val="006613A6"/>
    <w:rsid w:val="006627A2"/>
    <w:rsid w:val="00662E0C"/>
    <w:rsid w:val="006634E6"/>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E97"/>
    <w:rsid w:val="00695FC2"/>
    <w:rsid w:val="00696949"/>
    <w:rsid w:val="00697052"/>
    <w:rsid w:val="0069729E"/>
    <w:rsid w:val="006A46FB"/>
    <w:rsid w:val="006A5717"/>
    <w:rsid w:val="006A5E28"/>
    <w:rsid w:val="006A697B"/>
    <w:rsid w:val="006A7AFF"/>
    <w:rsid w:val="006B1816"/>
    <w:rsid w:val="006B2099"/>
    <w:rsid w:val="006B32FA"/>
    <w:rsid w:val="006B4B81"/>
    <w:rsid w:val="006B50CF"/>
    <w:rsid w:val="006B5BE6"/>
    <w:rsid w:val="006B6278"/>
    <w:rsid w:val="006B6614"/>
    <w:rsid w:val="006C03B8"/>
    <w:rsid w:val="006C3409"/>
    <w:rsid w:val="006C5761"/>
    <w:rsid w:val="006C5EC9"/>
    <w:rsid w:val="006C6059"/>
    <w:rsid w:val="006C7522"/>
    <w:rsid w:val="006D1623"/>
    <w:rsid w:val="006D20E1"/>
    <w:rsid w:val="006D2139"/>
    <w:rsid w:val="006D2CB6"/>
    <w:rsid w:val="006D6F08"/>
    <w:rsid w:val="006E062C"/>
    <w:rsid w:val="006E28B7"/>
    <w:rsid w:val="006E3310"/>
    <w:rsid w:val="006E3F07"/>
    <w:rsid w:val="006E4E39"/>
    <w:rsid w:val="006E565E"/>
    <w:rsid w:val="006E673D"/>
    <w:rsid w:val="006E7D3B"/>
    <w:rsid w:val="006E7EDA"/>
    <w:rsid w:val="006F03E4"/>
    <w:rsid w:val="006F14F2"/>
    <w:rsid w:val="006F1B70"/>
    <w:rsid w:val="006F341D"/>
    <w:rsid w:val="006F3CDE"/>
    <w:rsid w:val="006F58D4"/>
    <w:rsid w:val="006F642D"/>
    <w:rsid w:val="0070346E"/>
    <w:rsid w:val="00703C66"/>
    <w:rsid w:val="00704EDB"/>
    <w:rsid w:val="00706101"/>
    <w:rsid w:val="0070655A"/>
    <w:rsid w:val="00707072"/>
    <w:rsid w:val="00707D61"/>
    <w:rsid w:val="00711B0A"/>
    <w:rsid w:val="00712287"/>
    <w:rsid w:val="00712772"/>
    <w:rsid w:val="007146C7"/>
    <w:rsid w:val="007148D3"/>
    <w:rsid w:val="0071565A"/>
    <w:rsid w:val="00715B9A"/>
    <w:rsid w:val="00716F2B"/>
    <w:rsid w:val="00720D98"/>
    <w:rsid w:val="00721857"/>
    <w:rsid w:val="00722D34"/>
    <w:rsid w:val="00726EA6"/>
    <w:rsid w:val="00727208"/>
    <w:rsid w:val="00727680"/>
    <w:rsid w:val="00730A5D"/>
    <w:rsid w:val="007348B1"/>
    <w:rsid w:val="007362A6"/>
    <w:rsid w:val="007369A2"/>
    <w:rsid w:val="00736D7D"/>
    <w:rsid w:val="00740E58"/>
    <w:rsid w:val="00742371"/>
    <w:rsid w:val="007445A0"/>
    <w:rsid w:val="0074524B"/>
    <w:rsid w:val="00747D8B"/>
    <w:rsid w:val="007501F3"/>
    <w:rsid w:val="00750E8F"/>
    <w:rsid w:val="00751228"/>
    <w:rsid w:val="00753C5D"/>
    <w:rsid w:val="00753C7D"/>
    <w:rsid w:val="007557B4"/>
    <w:rsid w:val="007571E1"/>
    <w:rsid w:val="007604B2"/>
    <w:rsid w:val="0076267E"/>
    <w:rsid w:val="00763252"/>
    <w:rsid w:val="00765281"/>
    <w:rsid w:val="00766BAD"/>
    <w:rsid w:val="007705B8"/>
    <w:rsid w:val="007730BD"/>
    <w:rsid w:val="007755F2"/>
    <w:rsid w:val="0077585D"/>
    <w:rsid w:val="00776971"/>
    <w:rsid w:val="00777130"/>
    <w:rsid w:val="0078177E"/>
    <w:rsid w:val="0078304C"/>
    <w:rsid w:val="00783673"/>
    <w:rsid w:val="00785490"/>
    <w:rsid w:val="0079075E"/>
    <w:rsid w:val="00791306"/>
    <w:rsid w:val="007925EA"/>
    <w:rsid w:val="00793CD8"/>
    <w:rsid w:val="00795C92"/>
    <w:rsid w:val="00796231"/>
    <w:rsid w:val="00797D7F"/>
    <w:rsid w:val="007A1CB3"/>
    <w:rsid w:val="007A306F"/>
    <w:rsid w:val="007A43A6"/>
    <w:rsid w:val="007A4FAC"/>
    <w:rsid w:val="007A512C"/>
    <w:rsid w:val="007A58A6"/>
    <w:rsid w:val="007A7157"/>
    <w:rsid w:val="007B3BCA"/>
    <w:rsid w:val="007B3D2D"/>
    <w:rsid w:val="007B50AE"/>
    <w:rsid w:val="007B51DF"/>
    <w:rsid w:val="007B5283"/>
    <w:rsid w:val="007B71A3"/>
    <w:rsid w:val="007C05DD"/>
    <w:rsid w:val="007C3D18"/>
    <w:rsid w:val="007C5A02"/>
    <w:rsid w:val="007C60BF"/>
    <w:rsid w:val="007C6A07"/>
    <w:rsid w:val="007C75A1"/>
    <w:rsid w:val="007C77A5"/>
    <w:rsid w:val="007D04E5"/>
    <w:rsid w:val="007D304B"/>
    <w:rsid w:val="007D386C"/>
    <w:rsid w:val="007D497F"/>
    <w:rsid w:val="007D5506"/>
    <w:rsid w:val="007D5901"/>
    <w:rsid w:val="007D7526"/>
    <w:rsid w:val="007E1602"/>
    <w:rsid w:val="007E4610"/>
    <w:rsid w:val="007E4715"/>
    <w:rsid w:val="007E505B"/>
    <w:rsid w:val="007E7091"/>
    <w:rsid w:val="007F09D8"/>
    <w:rsid w:val="00803FAE"/>
    <w:rsid w:val="00804708"/>
    <w:rsid w:val="00805E0E"/>
    <w:rsid w:val="0080605F"/>
    <w:rsid w:val="00807786"/>
    <w:rsid w:val="00811FCB"/>
    <w:rsid w:val="00812072"/>
    <w:rsid w:val="00813AAC"/>
    <w:rsid w:val="00814FE6"/>
    <w:rsid w:val="008158D6"/>
    <w:rsid w:val="00817196"/>
    <w:rsid w:val="0081782A"/>
    <w:rsid w:val="0082276B"/>
    <w:rsid w:val="008235DB"/>
    <w:rsid w:val="00824AB4"/>
    <w:rsid w:val="00825C42"/>
    <w:rsid w:val="00825D25"/>
    <w:rsid w:val="00826F90"/>
    <w:rsid w:val="00827D6F"/>
    <w:rsid w:val="00830A27"/>
    <w:rsid w:val="00836B3D"/>
    <w:rsid w:val="008376AC"/>
    <w:rsid w:val="00840358"/>
    <w:rsid w:val="0084390D"/>
    <w:rsid w:val="008444E8"/>
    <w:rsid w:val="00844E80"/>
    <w:rsid w:val="008457DE"/>
    <w:rsid w:val="00846FE7"/>
    <w:rsid w:val="0085128C"/>
    <w:rsid w:val="00851771"/>
    <w:rsid w:val="00852D00"/>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5CD7"/>
    <w:rsid w:val="00876A4D"/>
    <w:rsid w:val="00876B4D"/>
    <w:rsid w:val="00877F18"/>
    <w:rsid w:val="00883405"/>
    <w:rsid w:val="008903FE"/>
    <w:rsid w:val="00894A88"/>
    <w:rsid w:val="00895386"/>
    <w:rsid w:val="00895561"/>
    <w:rsid w:val="00895AD9"/>
    <w:rsid w:val="008967DC"/>
    <w:rsid w:val="008A21FF"/>
    <w:rsid w:val="008A2CE2"/>
    <w:rsid w:val="008A2FFC"/>
    <w:rsid w:val="008A30AC"/>
    <w:rsid w:val="008A44B8"/>
    <w:rsid w:val="008A51A8"/>
    <w:rsid w:val="008A54C7"/>
    <w:rsid w:val="008A77D8"/>
    <w:rsid w:val="008A7A95"/>
    <w:rsid w:val="008B0483"/>
    <w:rsid w:val="008B120C"/>
    <w:rsid w:val="008B3562"/>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156"/>
    <w:rsid w:val="008E065E"/>
    <w:rsid w:val="008E0927"/>
    <w:rsid w:val="008E1909"/>
    <w:rsid w:val="008E5110"/>
    <w:rsid w:val="008F1EAB"/>
    <w:rsid w:val="008F33DC"/>
    <w:rsid w:val="008F477F"/>
    <w:rsid w:val="00902350"/>
    <w:rsid w:val="0090336B"/>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31BD9"/>
    <w:rsid w:val="009368F3"/>
    <w:rsid w:val="009413F8"/>
    <w:rsid w:val="009414E8"/>
    <w:rsid w:val="00941636"/>
    <w:rsid w:val="00943742"/>
    <w:rsid w:val="00943F21"/>
    <w:rsid w:val="00945C05"/>
    <w:rsid w:val="00946945"/>
    <w:rsid w:val="00947713"/>
    <w:rsid w:val="00950DE7"/>
    <w:rsid w:val="009525B1"/>
    <w:rsid w:val="00953920"/>
    <w:rsid w:val="00953D47"/>
    <w:rsid w:val="0095681E"/>
    <w:rsid w:val="009572D4"/>
    <w:rsid w:val="00961921"/>
    <w:rsid w:val="0096430A"/>
    <w:rsid w:val="0096518D"/>
    <w:rsid w:val="0096554B"/>
    <w:rsid w:val="0096584A"/>
    <w:rsid w:val="00971F08"/>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4DCA"/>
    <w:rsid w:val="00995A19"/>
    <w:rsid w:val="009960EC"/>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403E"/>
    <w:rsid w:val="009C5D6A"/>
    <w:rsid w:val="009D475A"/>
    <w:rsid w:val="009D4FF0"/>
    <w:rsid w:val="009D60A6"/>
    <w:rsid w:val="009D6F94"/>
    <w:rsid w:val="009D703C"/>
    <w:rsid w:val="009D718F"/>
    <w:rsid w:val="009E068F"/>
    <w:rsid w:val="009E14E0"/>
    <w:rsid w:val="009E35DB"/>
    <w:rsid w:val="009E47A3"/>
    <w:rsid w:val="009E6849"/>
    <w:rsid w:val="009F08F3"/>
    <w:rsid w:val="009F18A9"/>
    <w:rsid w:val="009F344F"/>
    <w:rsid w:val="00A02E75"/>
    <w:rsid w:val="00A048A8"/>
    <w:rsid w:val="00A04F49"/>
    <w:rsid w:val="00A13E54"/>
    <w:rsid w:val="00A17F63"/>
    <w:rsid w:val="00A207DD"/>
    <w:rsid w:val="00A2193B"/>
    <w:rsid w:val="00A220BC"/>
    <w:rsid w:val="00A2351A"/>
    <w:rsid w:val="00A264A9"/>
    <w:rsid w:val="00A275C6"/>
    <w:rsid w:val="00A27785"/>
    <w:rsid w:val="00A30187"/>
    <w:rsid w:val="00A3448A"/>
    <w:rsid w:val="00A36297"/>
    <w:rsid w:val="00A40019"/>
    <w:rsid w:val="00A41B97"/>
    <w:rsid w:val="00A41E2B"/>
    <w:rsid w:val="00A45B74"/>
    <w:rsid w:val="00A52E1D"/>
    <w:rsid w:val="00A54210"/>
    <w:rsid w:val="00A54B08"/>
    <w:rsid w:val="00A570F2"/>
    <w:rsid w:val="00A5758B"/>
    <w:rsid w:val="00A61499"/>
    <w:rsid w:val="00A62A77"/>
    <w:rsid w:val="00A63483"/>
    <w:rsid w:val="00A653DB"/>
    <w:rsid w:val="00A657D7"/>
    <w:rsid w:val="00A660AC"/>
    <w:rsid w:val="00A67E6C"/>
    <w:rsid w:val="00A71B99"/>
    <w:rsid w:val="00A7315F"/>
    <w:rsid w:val="00A739D0"/>
    <w:rsid w:val="00A761D4"/>
    <w:rsid w:val="00A77441"/>
    <w:rsid w:val="00A77EC4"/>
    <w:rsid w:val="00A8033B"/>
    <w:rsid w:val="00A80920"/>
    <w:rsid w:val="00A927F1"/>
    <w:rsid w:val="00A92879"/>
    <w:rsid w:val="00A9367F"/>
    <w:rsid w:val="00A93F55"/>
    <w:rsid w:val="00A93FC2"/>
    <w:rsid w:val="00A9442A"/>
    <w:rsid w:val="00A94AD8"/>
    <w:rsid w:val="00A95CF5"/>
    <w:rsid w:val="00A967B9"/>
    <w:rsid w:val="00AA016F"/>
    <w:rsid w:val="00AA1ED6"/>
    <w:rsid w:val="00AA3BFA"/>
    <w:rsid w:val="00AA4801"/>
    <w:rsid w:val="00AA51D6"/>
    <w:rsid w:val="00AB0BC8"/>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D571B"/>
    <w:rsid w:val="00AD6819"/>
    <w:rsid w:val="00AE27AC"/>
    <w:rsid w:val="00AE3270"/>
    <w:rsid w:val="00AE40E0"/>
    <w:rsid w:val="00AE4DBA"/>
    <w:rsid w:val="00AE4F07"/>
    <w:rsid w:val="00AE553B"/>
    <w:rsid w:val="00AE5AE8"/>
    <w:rsid w:val="00AE6B46"/>
    <w:rsid w:val="00AE6CFE"/>
    <w:rsid w:val="00AE7CA0"/>
    <w:rsid w:val="00AF1C5D"/>
    <w:rsid w:val="00AF42D7"/>
    <w:rsid w:val="00B006FE"/>
    <w:rsid w:val="00B007CB"/>
    <w:rsid w:val="00B02AA9"/>
    <w:rsid w:val="00B02FA3"/>
    <w:rsid w:val="00B05084"/>
    <w:rsid w:val="00B05920"/>
    <w:rsid w:val="00B07227"/>
    <w:rsid w:val="00B10020"/>
    <w:rsid w:val="00B119E8"/>
    <w:rsid w:val="00B1337F"/>
    <w:rsid w:val="00B157F9"/>
    <w:rsid w:val="00B20256"/>
    <w:rsid w:val="00B20D09"/>
    <w:rsid w:val="00B25305"/>
    <w:rsid w:val="00B2763F"/>
    <w:rsid w:val="00B27AAC"/>
    <w:rsid w:val="00B30929"/>
    <w:rsid w:val="00B372AA"/>
    <w:rsid w:val="00B40445"/>
    <w:rsid w:val="00B41888"/>
    <w:rsid w:val="00B4408D"/>
    <w:rsid w:val="00B45A52"/>
    <w:rsid w:val="00B46175"/>
    <w:rsid w:val="00B47E43"/>
    <w:rsid w:val="00B5198C"/>
    <w:rsid w:val="00B52376"/>
    <w:rsid w:val="00B5335A"/>
    <w:rsid w:val="00B5723B"/>
    <w:rsid w:val="00B5724B"/>
    <w:rsid w:val="00B60EF1"/>
    <w:rsid w:val="00B6188F"/>
    <w:rsid w:val="00B64E41"/>
    <w:rsid w:val="00B664C7"/>
    <w:rsid w:val="00B739F6"/>
    <w:rsid w:val="00B81A6C"/>
    <w:rsid w:val="00B81BE4"/>
    <w:rsid w:val="00B842A0"/>
    <w:rsid w:val="00B85DE5"/>
    <w:rsid w:val="00B90F73"/>
    <w:rsid w:val="00B9371D"/>
    <w:rsid w:val="00B93B59"/>
    <w:rsid w:val="00B9406A"/>
    <w:rsid w:val="00BA2280"/>
    <w:rsid w:val="00BA2A08"/>
    <w:rsid w:val="00BA56D2"/>
    <w:rsid w:val="00BA62FA"/>
    <w:rsid w:val="00BA6C49"/>
    <w:rsid w:val="00BA76E0"/>
    <w:rsid w:val="00BB0976"/>
    <w:rsid w:val="00BB207A"/>
    <w:rsid w:val="00BB2A25"/>
    <w:rsid w:val="00BB51E9"/>
    <w:rsid w:val="00BB5C77"/>
    <w:rsid w:val="00BC0FDC"/>
    <w:rsid w:val="00BC3053"/>
    <w:rsid w:val="00BC4D2E"/>
    <w:rsid w:val="00BC5E44"/>
    <w:rsid w:val="00BD48AC"/>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07E87"/>
    <w:rsid w:val="00C10478"/>
    <w:rsid w:val="00C1093B"/>
    <w:rsid w:val="00C12107"/>
    <w:rsid w:val="00C14D4B"/>
    <w:rsid w:val="00C154BB"/>
    <w:rsid w:val="00C20166"/>
    <w:rsid w:val="00C25F2F"/>
    <w:rsid w:val="00C27624"/>
    <w:rsid w:val="00C279B5"/>
    <w:rsid w:val="00C27C45"/>
    <w:rsid w:val="00C3719D"/>
    <w:rsid w:val="00C47B3C"/>
    <w:rsid w:val="00C5028B"/>
    <w:rsid w:val="00C54995"/>
    <w:rsid w:val="00C54D41"/>
    <w:rsid w:val="00C57688"/>
    <w:rsid w:val="00C57B03"/>
    <w:rsid w:val="00C60783"/>
    <w:rsid w:val="00C64672"/>
    <w:rsid w:val="00C66FD4"/>
    <w:rsid w:val="00C704D9"/>
    <w:rsid w:val="00C70697"/>
    <w:rsid w:val="00C72EF4"/>
    <w:rsid w:val="00C75D2F"/>
    <w:rsid w:val="00C767BE"/>
    <w:rsid w:val="00C76E3C"/>
    <w:rsid w:val="00C77721"/>
    <w:rsid w:val="00C7775C"/>
    <w:rsid w:val="00C80444"/>
    <w:rsid w:val="00C80973"/>
    <w:rsid w:val="00C81568"/>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7B45"/>
    <w:rsid w:val="00CD0321"/>
    <w:rsid w:val="00CD1188"/>
    <w:rsid w:val="00CD2ED1"/>
    <w:rsid w:val="00CD337B"/>
    <w:rsid w:val="00CD582F"/>
    <w:rsid w:val="00CD60E3"/>
    <w:rsid w:val="00CD676E"/>
    <w:rsid w:val="00CD7A35"/>
    <w:rsid w:val="00CE0424"/>
    <w:rsid w:val="00CE1295"/>
    <w:rsid w:val="00CE227E"/>
    <w:rsid w:val="00CE2C58"/>
    <w:rsid w:val="00CE36CF"/>
    <w:rsid w:val="00CE6967"/>
    <w:rsid w:val="00CE7561"/>
    <w:rsid w:val="00CF010C"/>
    <w:rsid w:val="00CF1354"/>
    <w:rsid w:val="00CF3B1F"/>
    <w:rsid w:val="00CF3BF6"/>
    <w:rsid w:val="00CF4D90"/>
    <w:rsid w:val="00CF625B"/>
    <w:rsid w:val="00CF687E"/>
    <w:rsid w:val="00D00035"/>
    <w:rsid w:val="00D0349B"/>
    <w:rsid w:val="00D10249"/>
    <w:rsid w:val="00D115C3"/>
    <w:rsid w:val="00D11897"/>
    <w:rsid w:val="00D13135"/>
    <w:rsid w:val="00D13E4E"/>
    <w:rsid w:val="00D17D6A"/>
    <w:rsid w:val="00D2323C"/>
    <w:rsid w:val="00D239A7"/>
    <w:rsid w:val="00D23F47"/>
    <w:rsid w:val="00D2450E"/>
    <w:rsid w:val="00D31A4C"/>
    <w:rsid w:val="00D34D96"/>
    <w:rsid w:val="00D3599B"/>
    <w:rsid w:val="00D36BB2"/>
    <w:rsid w:val="00D36E71"/>
    <w:rsid w:val="00D37186"/>
    <w:rsid w:val="00D37D87"/>
    <w:rsid w:val="00D40B33"/>
    <w:rsid w:val="00D4318F"/>
    <w:rsid w:val="00D438BF"/>
    <w:rsid w:val="00D440F8"/>
    <w:rsid w:val="00D500FF"/>
    <w:rsid w:val="00D50F97"/>
    <w:rsid w:val="00D5231F"/>
    <w:rsid w:val="00D546FF"/>
    <w:rsid w:val="00D55AD5"/>
    <w:rsid w:val="00D576CA"/>
    <w:rsid w:val="00D61AF5"/>
    <w:rsid w:val="00D61F8F"/>
    <w:rsid w:val="00D64104"/>
    <w:rsid w:val="00D644C1"/>
    <w:rsid w:val="00D64519"/>
    <w:rsid w:val="00D652B5"/>
    <w:rsid w:val="00D65797"/>
    <w:rsid w:val="00D66155"/>
    <w:rsid w:val="00D708B0"/>
    <w:rsid w:val="00D71D2F"/>
    <w:rsid w:val="00D73712"/>
    <w:rsid w:val="00D76A8B"/>
    <w:rsid w:val="00D77B1D"/>
    <w:rsid w:val="00D8021F"/>
    <w:rsid w:val="00D80383"/>
    <w:rsid w:val="00D823C6"/>
    <w:rsid w:val="00D86CA3"/>
    <w:rsid w:val="00D871CE"/>
    <w:rsid w:val="00D9196D"/>
    <w:rsid w:val="00D92982"/>
    <w:rsid w:val="00DA305E"/>
    <w:rsid w:val="00DA5417"/>
    <w:rsid w:val="00DA55EB"/>
    <w:rsid w:val="00DA56E8"/>
    <w:rsid w:val="00DB0A9F"/>
    <w:rsid w:val="00DB2E53"/>
    <w:rsid w:val="00DB377D"/>
    <w:rsid w:val="00DB6E61"/>
    <w:rsid w:val="00DC015E"/>
    <w:rsid w:val="00DC2D36"/>
    <w:rsid w:val="00DC2D80"/>
    <w:rsid w:val="00DC3716"/>
    <w:rsid w:val="00DC53EF"/>
    <w:rsid w:val="00DD5680"/>
    <w:rsid w:val="00DD6CB5"/>
    <w:rsid w:val="00DE306E"/>
    <w:rsid w:val="00DE5608"/>
    <w:rsid w:val="00DE58D0"/>
    <w:rsid w:val="00DE654F"/>
    <w:rsid w:val="00DF0B6E"/>
    <w:rsid w:val="00DF15E0"/>
    <w:rsid w:val="00DF31B7"/>
    <w:rsid w:val="00DF37A0"/>
    <w:rsid w:val="00DF4917"/>
    <w:rsid w:val="00E110E7"/>
    <w:rsid w:val="00E11B20"/>
    <w:rsid w:val="00E17FA2"/>
    <w:rsid w:val="00E21714"/>
    <w:rsid w:val="00E22330"/>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46F1"/>
    <w:rsid w:val="00E45919"/>
    <w:rsid w:val="00E46886"/>
    <w:rsid w:val="00E47AEF"/>
    <w:rsid w:val="00E53B75"/>
    <w:rsid w:val="00E54E3B"/>
    <w:rsid w:val="00E55DFA"/>
    <w:rsid w:val="00E57565"/>
    <w:rsid w:val="00E62CF0"/>
    <w:rsid w:val="00E63838"/>
    <w:rsid w:val="00E64434"/>
    <w:rsid w:val="00E67C51"/>
    <w:rsid w:val="00E71CF8"/>
    <w:rsid w:val="00E71E34"/>
    <w:rsid w:val="00E72EFC"/>
    <w:rsid w:val="00E758EC"/>
    <w:rsid w:val="00E76E18"/>
    <w:rsid w:val="00E80385"/>
    <w:rsid w:val="00E8234C"/>
    <w:rsid w:val="00E82C4D"/>
    <w:rsid w:val="00E83AA9"/>
    <w:rsid w:val="00E85928"/>
    <w:rsid w:val="00E87822"/>
    <w:rsid w:val="00E90395"/>
    <w:rsid w:val="00E90E49"/>
    <w:rsid w:val="00E917F9"/>
    <w:rsid w:val="00E9291C"/>
    <w:rsid w:val="00E93FFE"/>
    <w:rsid w:val="00E94F8A"/>
    <w:rsid w:val="00EA41B8"/>
    <w:rsid w:val="00EA4A9E"/>
    <w:rsid w:val="00EA7A41"/>
    <w:rsid w:val="00EB077B"/>
    <w:rsid w:val="00EB3AF5"/>
    <w:rsid w:val="00EB4EA2"/>
    <w:rsid w:val="00EB5722"/>
    <w:rsid w:val="00EC24C5"/>
    <w:rsid w:val="00EC27C6"/>
    <w:rsid w:val="00EC2A94"/>
    <w:rsid w:val="00EC4207"/>
    <w:rsid w:val="00EC5653"/>
    <w:rsid w:val="00EC7041"/>
    <w:rsid w:val="00EC71CE"/>
    <w:rsid w:val="00EC78F2"/>
    <w:rsid w:val="00ED1006"/>
    <w:rsid w:val="00ED3BA3"/>
    <w:rsid w:val="00ED4531"/>
    <w:rsid w:val="00EE66C7"/>
    <w:rsid w:val="00EE7DBF"/>
    <w:rsid w:val="00EF18FE"/>
    <w:rsid w:val="00EF191A"/>
    <w:rsid w:val="00EF1EA9"/>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D34"/>
    <w:rsid w:val="00F15FA5"/>
    <w:rsid w:val="00F209B7"/>
    <w:rsid w:val="00F2376F"/>
    <w:rsid w:val="00F243D8"/>
    <w:rsid w:val="00F25A1E"/>
    <w:rsid w:val="00F26775"/>
    <w:rsid w:val="00F30828"/>
    <w:rsid w:val="00F313D6"/>
    <w:rsid w:val="00F32B3E"/>
    <w:rsid w:val="00F40F0C"/>
    <w:rsid w:val="00F4766C"/>
    <w:rsid w:val="00F507D1"/>
    <w:rsid w:val="00F50BCC"/>
    <w:rsid w:val="00F519CE"/>
    <w:rsid w:val="00F51ADA"/>
    <w:rsid w:val="00F56BBD"/>
    <w:rsid w:val="00F607C5"/>
    <w:rsid w:val="00F60DEA"/>
    <w:rsid w:val="00F61CF3"/>
    <w:rsid w:val="00F6302A"/>
    <w:rsid w:val="00F63775"/>
    <w:rsid w:val="00F64C2B"/>
    <w:rsid w:val="00F651BE"/>
    <w:rsid w:val="00F66B02"/>
    <w:rsid w:val="00F66EB7"/>
    <w:rsid w:val="00F67F53"/>
    <w:rsid w:val="00F703BE"/>
    <w:rsid w:val="00F71F69"/>
    <w:rsid w:val="00F72B72"/>
    <w:rsid w:val="00F74BB9"/>
    <w:rsid w:val="00F75582"/>
    <w:rsid w:val="00F76CA5"/>
    <w:rsid w:val="00F76EFA"/>
    <w:rsid w:val="00F804BE"/>
    <w:rsid w:val="00F814C2"/>
    <w:rsid w:val="00F817CE"/>
    <w:rsid w:val="00F84440"/>
    <w:rsid w:val="00F8456C"/>
    <w:rsid w:val="00F859D8"/>
    <w:rsid w:val="00F868F5"/>
    <w:rsid w:val="00F9056A"/>
    <w:rsid w:val="00F90F8D"/>
    <w:rsid w:val="00F92782"/>
    <w:rsid w:val="00F93AA9"/>
    <w:rsid w:val="00F96985"/>
    <w:rsid w:val="00F97838"/>
    <w:rsid w:val="00FA2BB3"/>
    <w:rsid w:val="00FA46B8"/>
    <w:rsid w:val="00FA5448"/>
    <w:rsid w:val="00FA6F0B"/>
    <w:rsid w:val="00FB0938"/>
    <w:rsid w:val="00FB40B5"/>
    <w:rsid w:val="00FB4C80"/>
    <w:rsid w:val="00FB6A6A"/>
    <w:rsid w:val="00FC05A1"/>
    <w:rsid w:val="00FC7429"/>
    <w:rsid w:val="00FD0620"/>
    <w:rsid w:val="00FD07F6"/>
    <w:rsid w:val="00FD1EC8"/>
    <w:rsid w:val="00FD47ED"/>
    <w:rsid w:val="00FD5DD1"/>
    <w:rsid w:val="00FD74DB"/>
    <w:rsid w:val="00FD7660"/>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3.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4.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6.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7.xml><?xml version="1.0" encoding="utf-8"?>
<ds:datastoreItem xmlns:ds="http://schemas.openxmlformats.org/officeDocument/2006/customXml" ds:itemID="{0132374F-F95C-4564-BCD0-9E47EFF1C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TotalTime>
  <Pages>2</Pages>
  <Words>896</Words>
  <Characters>5112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Ericsson 1</cp:lastModifiedBy>
  <cp:revision>3</cp:revision>
  <cp:lastPrinted>2008-01-31T07:09:00Z</cp:lastPrinted>
  <dcterms:created xsi:type="dcterms:W3CDTF">2017-02-07T04:29:00Z</dcterms:created>
  <dcterms:modified xsi:type="dcterms:W3CDTF">2017-02-07T04:30:00Z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